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Fonts w:ascii="ＭＳ 明朝" w:cs="ＭＳ 明朝" w:hAnsi="ＭＳ 明朝" w:eastAsia="ＭＳ 明朝"/>
          <w:outline w:val="0"/>
          <w:color w:val="000000"/>
          <w:kern w:val="0"/>
          <w:u w:color="000000"/>
          <w:rtl w:val="0"/>
          <w:lang w:val="en-US"/>
          <w14:textFill>
            <w14:solidFill>
              <w14:srgbClr w14:val="000000"/>
            </w14:solidFill>
          </w14:textFill>
        </w:rPr>
        <w:t>3</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"https://cgi.city.yokohama.lg.jp/somu/reiki/reiki_honbun/g202RG00000570.html#e000001194"</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前</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の規定により、法人課税信託</w:t>
      </w:r>
    </w:p>
    <w:tbl>
      <w:tblPr>
        <w:tblW w:w="21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5630"/>
        <w:gridCol w:w="5615"/>
        <w:gridCol w:w="10355"/>
      </w:tblGrid>
      <w:tr>
        <w:tblPrEx>
          <w:shd w:val="clear" w:color="auto" w:fill="156082"/>
        </w:tblPrEx>
        <w:trPr>
          <w:trHeight w:val="285" w:hRule="atLeast"/>
          <w:tblHeader/>
        </w:trPr>
        <w:tc>
          <w:tcPr>
            <w:tcW w:type="dxa" w:w="5630"/>
            <w:tcBorders>
              <w:top w:val="nil"/>
              <w:left w:val="nil"/>
              <w:bottom w:val="single" w:color="000000" w:sz="12" w:space="0" w:shadow="0" w:frame="0"/>
              <w:right w:val="nil"/>
            </w:tcBorders>
            <w:shd w:val="clear" w:color="auto" w:fill="auto"/>
            <w:tcMar>
              <w:top w:type="dxa" w:w="80"/>
              <w:left w:type="dxa" w:w="80"/>
              <w:bottom w:type="dxa" w:w="80"/>
              <w:right w:type="dxa" w:w="80"/>
            </w:tcMar>
            <w:vAlign w:val="top"/>
          </w:tcPr>
          <w:p/>
        </w:tc>
        <w:tc>
          <w:tcPr>
            <w:tcW w:type="dxa" w:w="5615"/>
            <w:tcBorders>
              <w:top w:val="nil"/>
              <w:left w:val="nil"/>
              <w:bottom w:val="single" w:color="000000" w:sz="12" w:space="0" w:shadow="0" w:frame="0"/>
              <w:right w:val="nil"/>
            </w:tcBorders>
            <w:shd w:val="clear" w:color="auto" w:fill="auto"/>
            <w:tcMar>
              <w:top w:type="dxa" w:w="80"/>
              <w:left w:type="dxa" w:w="80"/>
              <w:bottom w:type="dxa" w:w="80"/>
              <w:right w:type="dxa" w:w="80"/>
            </w:tcMar>
            <w:vAlign w:val="top"/>
          </w:tcPr>
          <w:p/>
        </w:tc>
        <w:tc>
          <w:tcPr>
            <w:tcW w:type="dxa" w:w="10355"/>
            <w:tcBorders>
              <w:top w:val="nil"/>
              <w:left w:val="nil"/>
              <w:bottom w:val="single" w:color="000000" w:sz="12" w:space="0" w:shadow="0" w:frame="0"/>
              <w:right w:val="nil"/>
            </w:tcBorders>
            <w:shd w:val="clear" w:color="auto" w:fill="auto"/>
            <w:tcMar>
              <w:top w:type="dxa" w:w="80"/>
              <w:left w:type="dxa" w:w="80"/>
              <w:bottom w:type="dxa" w:w="80"/>
              <w:right w:type="dxa" w:w="80"/>
            </w:tcMar>
            <w:vAlign w:val="top"/>
          </w:tcPr>
          <w:p/>
        </w:tc>
      </w:tr>
      <w:tr>
        <w:tblPrEx>
          <w:shd w:val="clear" w:color="auto" w:fill="cad1d7"/>
        </w:tblPrEx>
        <w:trPr>
          <w:trHeight w:val="948" w:hRule="atLeast"/>
        </w:trPr>
        <w:tc>
          <w:tcPr>
            <w:tcW w:type="dxa" w:w="5630"/>
            <w:tcBorders>
              <w:top w:val="single" w:color="000000" w:sz="12" w:space="0" w:shadow="0" w:frame="0"/>
              <w:left w:val="single" w:color="000000" w:sz="1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fldChar w:fldCharType="begin" w:fldLock="0"/>
            </w: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instrText xml:space="preserve"> HYPERLINK "https://cgi.city.yokohama.lg.jp/somu/reiki/reiki_honbun/g202RG00000570.html#e000001338"</w:instrText>
            </w: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fldChar w:fldCharType="separate" w:fldLock="0"/>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第</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26</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条の</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2</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第</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1</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項の表</w:t>
            </w:r>
            <w:r>
              <w:rPr>
                <w:rFonts w:ascii="ＭＳ Ｐゴシック" w:cs="ＭＳ Ｐゴシック" w:hAnsi="ＭＳ Ｐゴシック" w:eastAsia="ＭＳ Ｐゴシック"/>
                <w:kern w:val="0"/>
              </w:rPr>
              <w:fldChar w:fldCharType="end" w:fldLock="0"/>
            </w:r>
            <w:r>
              <w:rPr>
                <w:rStyle w:val="なし"/>
                <w:rFonts w:ascii="ＭＳ Ｐゴシック" w:cs="ＭＳ Ｐゴシック" w:hAnsi="ＭＳ Ｐゴシック" w:eastAsia="ＭＳ Ｐゴシック"/>
                <w:kern w:val="0"/>
                <w:shd w:val="nil" w:color="auto" w:fill="auto"/>
                <w:rtl w:val="0"/>
                <w:lang w:val="ja-JP" w:eastAsia="ja-JP"/>
              </w:rPr>
              <w:t>の第</w:t>
            </w:r>
            <w:r>
              <w:rPr>
                <w:rStyle w:val="なし"/>
                <w:rFonts w:ascii="ＭＳ Ｐゴシック" w:cs="ＭＳ Ｐゴシック" w:hAnsi="ＭＳ Ｐゴシック" w:eastAsia="ＭＳ Ｐゴシック"/>
                <w:kern w:val="0"/>
                <w:shd w:val="nil" w:color="auto" w:fill="auto"/>
                <w:rtl w:val="0"/>
                <w:lang w:val="en-US"/>
              </w:rPr>
              <w:t>1</w:t>
            </w:r>
            <w:r>
              <w:rPr>
                <w:rStyle w:val="なし"/>
                <w:rFonts w:ascii="ＭＳ Ｐゴシック" w:cs="ＭＳ Ｐゴシック" w:hAnsi="ＭＳ Ｐゴシック" w:eastAsia="ＭＳ Ｐゴシック"/>
                <w:kern w:val="0"/>
                <w:shd w:val="nil" w:color="auto" w:fill="auto"/>
                <w:rtl w:val="0"/>
                <w:lang w:val="ja-JP" w:eastAsia="ja-JP"/>
              </w:rPr>
              <w:t>号オ</w:t>
            </w:r>
          </w:p>
        </w:tc>
        <w:tc>
          <w:tcPr>
            <w:tcW w:type="dxa" w:w="5615"/>
            <w:tcBorders>
              <w:top w:val="single" w:color="000000" w:sz="1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資本金等の額が</w:t>
            </w:r>
          </w:p>
        </w:tc>
        <w:tc>
          <w:tcPr>
            <w:tcW w:type="dxa" w:w="10355"/>
            <w:tcBorders>
              <w:top w:val="single" w:color="000000" w:sz="12" w:space="0" w:shadow="0" w:frame="0"/>
              <w:left w:val="single" w:color="000000" w:sz="2" w:space="0" w:shadow="0" w:frame="0"/>
              <w:bottom w:val="single" w:color="000000" w:sz="2" w:space="0" w:shadow="0" w:frame="0"/>
              <w:right w:val="single" w:color="000000" w:sz="1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当該法人に係る固有法人</w:t>
            </w:r>
            <w:r>
              <w:rPr>
                <w:rStyle w:val="なし"/>
                <w:rFonts w:ascii="ＭＳ Ｐゴシック" w:cs="ＭＳ Ｐゴシック" w:hAnsi="ＭＳ Ｐゴシック" w:eastAsia="ＭＳ Ｐゴシック"/>
                <w:kern w:val="0"/>
                <w:shd w:val="nil" w:color="auto" w:fill="auto"/>
                <w:rtl w:val="0"/>
                <w:lang w:val="en-US"/>
              </w:rPr>
              <w:t>(</w:t>
            </w:r>
            <w:r>
              <w:rPr>
                <w:rStyle w:val="なし"/>
                <w:rFonts w:ascii="ＭＳ Ｐゴシック" w:cs="ＭＳ Ｐゴシック" w:hAnsi="ＭＳ Ｐゴシック" w:eastAsia="ＭＳ Ｐゴシック"/>
                <w:kern w:val="0"/>
                <w:shd w:val="nil" w:color="auto" w:fill="auto"/>
                <w:rtl w:val="0"/>
                <w:lang w:val="ja-JP" w:eastAsia="ja-JP"/>
              </w:rPr>
              <w:t>法人課税信託の受託者である法人について、第</w:t>
            </w:r>
            <w:r>
              <w:rPr>
                <w:rStyle w:val="なし"/>
                <w:rFonts w:ascii="ＭＳ Ｐゴシック" w:cs="ＭＳ Ｐゴシック" w:hAnsi="ＭＳ Ｐゴシック" w:eastAsia="ＭＳ Ｐゴシック"/>
                <w:kern w:val="0"/>
                <w:shd w:val="nil" w:color="auto" w:fill="auto"/>
                <w:rtl w:val="0"/>
                <w:lang w:val="en-US"/>
              </w:rPr>
              <w:t>22</w:t>
            </w:r>
            <w:r>
              <w:rPr>
                <w:rStyle w:val="なし"/>
                <w:rFonts w:ascii="ＭＳ Ｐゴシック" w:cs="ＭＳ Ｐゴシック" w:hAnsi="ＭＳ Ｐゴシック" w:eastAsia="ＭＳ Ｐゴシック"/>
                <w:kern w:val="0"/>
                <w:shd w:val="nil" w:color="auto" w:fill="auto"/>
                <w:rtl w:val="0"/>
                <w:lang w:val="ja-JP" w:eastAsia="ja-JP"/>
              </w:rPr>
              <w:t>条の</w:t>
            </w:r>
            <w:r>
              <w:rPr>
                <w:rStyle w:val="なし"/>
                <w:rFonts w:ascii="ＭＳ Ｐゴシック" w:cs="ＭＳ Ｐゴシック" w:hAnsi="ＭＳ Ｐゴシック" w:eastAsia="ＭＳ Ｐゴシック"/>
                <w:kern w:val="0"/>
                <w:shd w:val="nil" w:color="auto" w:fill="auto"/>
                <w:rtl w:val="0"/>
                <w:lang w:val="en-US"/>
              </w:rPr>
              <w:t>2</w:t>
            </w:r>
            <w:r>
              <w:rPr>
                <w:rStyle w:val="なし"/>
                <w:rFonts w:ascii="ＭＳ Ｐゴシック" w:cs="ＭＳ Ｐゴシック" w:hAnsi="ＭＳ Ｐゴシック" w:eastAsia="ＭＳ Ｐゴシック"/>
                <w:kern w:val="0"/>
                <w:shd w:val="nil" w:color="auto" w:fill="auto"/>
                <w:rtl w:val="0"/>
                <w:lang w:val="ja-JP" w:eastAsia="ja-JP"/>
              </w:rPr>
              <w:t>第</w:t>
            </w:r>
            <w:r>
              <w:rPr>
                <w:rStyle w:val="なし"/>
                <w:rFonts w:ascii="ＭＳ Ｐゴシック" w:cs="ＭＳ Ｐゴシック" w:hAnsi="ＭＳ Ｐゴシック" w:eastAsia="ＭＳ Ｐゴシック"/>
                <w:kern w:val="0"/>
                <w:shd w:val="nil" w:color="auto" w:fill="auto"/>
                <w:rtl w:val="0"/>
                <w:lang w:val="en-US"/>
              </w:rPr>
              <w:t>1</w:t>
            </w:r>
            <w:r>
              <w:rPr>
                <w:rStyle w:val="なし"/>
                <w:rFonts w:ascii="ＭＳ Ｐゴシック" w:cs="ＭＳ Ｐゴシック" w:hAnsi="ＭＳ Ｐゴシック" w:eastAsia="ＭＳ Ｐゴシック"/>
                <w:kern w:val="0"/>
                <w:shd w:val="nil" w:color="auto" w:fill="auto"/>
                <w:rtl w:val="0"/>
                <w:lang w:val="ja-JP" w:eastAsia="ja-JP"/>
              </w:rPr>
              <w:t>項及び第</w:t>
            </w:r>
            <w:r>
              <w:rPr>
                <w:rStyle w:val="なし"/>
                <w:rFonts w:ascii="ＭＳ Ｐゴシック" w:cs="ＭＳ Ｐゴシック" w:hAnsi="ＭＳ Ｐゴシック" w:eastAsia="ＭＳ Ｐゴシック"/>
                <w:kern w:val="0"/>
                <w:shd w:val="nil" w:color="auto" w:fill="auto"/>
                <w:rtl w:val="0"/>
                <w:lang w:val="en-US"/>
              </w:rPr>
              <w:t>2</w:t>
            </w:r>
            <w:r>
              <w:rPr>
                <w:rStyle w:val="なし"/>
                <w:rFonts w:ascii="ＭＳ Ｐゴシック" w:cs="ＭＳ Ｐゴシック" w:hAnsi="ＭＳ Ｐゴシック" w:eastAsia="ＭＳ Ｐゴシック"/>
                <w:kern w:val="0"/>
                <w:shd w:val="nil" w:color="auto" w:fill="auto"/>
                <w:rtl w:val="0"/>
                <w:lang w:val="ja-JP" w:eastAsia="ja-JP"/>
              </w:rPr>
              <w:t>項の規定により、当該法人課税信託に係る同条第</w:t>
            </w:r>
            <w:r>
              <w:rPr>
                <w:rStyle w:val="なし"/>
                <w:rFonts w:ascii="ＭＳ Ｐゴシック" w:cs="ＭＳ Ｐゴシック" w:hAnsi="ＭＳ Ｐゴシック" w:eastAsia="ＭＳ Ｐゴシック"/>
                <w:kern w:val="0"/>
                <w:shd w:val="nil" w:color="auto" w:fill="auto"/>
                <w:rtl w:val="0"/>
                <w:lang w:val="en-US"/>
              </w:rPr>
              <w:t>1</w:t>
            </w:r>
            <w:r>
              <w:rPr>
                <w:rStyle w:val="なし"/>
                <w:rFonts w:ascii="ＭＳ Ｐゴシック" w:cs="ＭＳ Ｐゴシック" w:hAnsi="ＭＳ Ｐゴシック" w:eastAsia="ＭＳ Ｐゴシック"/>
                <w:kern w:val="0"/>
                <w:shd w:val="nil" w:color="auto" w:fill="auto"/>
                <w:rtl w:val="0"/>
                <w:lang w:val="ja-JP" w:eastAsia="ja-JP"/>
              </w:rPr>
              <w:t>項に規定する固有資産等が帰属する者としてこの節の規定を適用する場合における当該受託者である法人をいう。以下この節において同じ。</w:t>
            </w:r>
            <w:r>
              <w:rPr>
                <w:rStyle w:val="なし"/>
                <w:rFonts w:ascii="ＭＳ Ｐゴシック" w:cs="ＭＳ Ｐゴシック" w:hAnsi="ＭＳ Ｐゴシック" w:eastAsia="ＭＳ Ｐゴシック"/>
                <w:kern w:val="0"/>
                <w:shd w:val="nil" w:color="auto" w:fill="auto"/>
                <w:rtl w:val="0"/>
                <w:lang w:val="en-US"/>
              </w:rPr>
              <w:t>)</w:t>
            </w:r>
            <w:r>
              <w:rPr>
                <w:rStyle w:val="なし"/>
                <w:rFonts w:ascii="ＭＳ Ｐゴシック" w:cs="ＭＳ Ｐゴシック" w:hAnsi="ＭＳ Ｐゴシック" w:eastAsia="ＭＳ Ｐゴシック"/>
                <w:kern w:val="0"/>
                <w:shd w:val="nil" w:color="auto" w:fill="auto"/>
                <w:rtl w:val="0"/>
                <w:lang w:val="ja-JP" w:eastAsia="ja-JP"/>
              </w:rPr>
              <w:t>の資本金等の額が</w:t>
            </w:r>
          </w:p>
        </w:tc>
      </w:tr>
      <w:tr>
        <w:tblPrEx>
          <w:shd w:val="clear" w:color="auto" w:fill="cad1d7"/>
        </w:tblPrEx>
        <w:trPr>
          <w:trHeight w:val="250" w:hRule="atLeast"/>
        </w:trPr>
        <w:tc>
          <w:tcPr>
            <w:tcW w:type="dxa" w:w="5630"/>
            <w:tcBorders>
              <w:top w:val="single" w:color="000000" w:sz="2" w:space="0" w:shadow="0" w:frame="0"/>
              <w:left w:val="single" w:color="000000" w:sz="1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fldChar w:fldCharType="begin" w:fldLock="0"/>
            </w: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instrText xml:space="preserve"> HYPERLINK "https://cgi.city.yokohama.lg.jp/somu/reiki/reiki_honbun/g202RG00000570.html#e000001338"</w:instrText>
            </w: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fldChar w:fldCharType="separate" w:fldLock="0"/>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第</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26</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条の</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2</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第</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1</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項の表</w:t>
            </w:r>
            <w:r>
              <w:rPr>
                <w:rFonts w:ascii="ＭＳ Ｐゴシック" w:cs="ＭＳ Ｐゴシック" w:hAnsi="ＭＳ Ｐゴシック" w:eastAsia="ＭＳ Ｐゴシック"/>
                <w:kern w:val="0"/>
              </w:rPr>
              <w:fldChar w:fldCharType="end" w:fldLock="0"/>
            </w:r>
            <w:r>
              <w:rPr>
                <w:rStyle w:val="なし"/>
                <w:rFonts w:ascii="ＭＳ Ｐゴシック" w:cs="ＭＳ Ｐゴシック" w:hAnsi="ＭＳ Ｐゴシック" w:eastAsia="ＭＳ Ｐゴシック"/>
                <w:kern w:val="0"/>
                <w:shd w:val="nil" w:color="auto" w:fill="auto"/>
                <w:rtl w:val="0"/>
                <w:lang w:val="ja-JP" w:eastAsia="ja-JP"/>
              </w:rPr>
              <w:t>の第</w:t>
            </w:r>
            <w:r>
              <w:rPr>
                <w:rStyle w:val="なし"/>
                <w:rFonts w:ascii="ＭＳ Ｐゴシック" w:cs="ＭＳ Ｐゴシック" w:hAnsi="ＭＳ Ｐゴシック" w:eastAsia="ＭＳ Ｐゴシック"/>
                <w:kern w:val="0"/>
                <w:shd w:val="nil" w:color="auto" w:fill="auto"/>
                <w:rtl w:val="0"/>
                <w:lang w:val="en-US"/>
              </w:rPr>
              <w:t>2</w:t>
            </w:r>
            <w:r>
              <w:rPr>
                <w:rStyle w:val="なし"/>
                <w:rFonts w:ascii="ＭＳ Ｐゴシック" w:cs="ＭＳ Ｐゴシック" w:hAnsi="ＭＳ Ｐゴシック" w:eastAsia="ＭＳ Ｐゴシック"/>
                <w:kern w:val="0"/>
                <w:shd w:val="nil" w:color="auto" w:fill="auto"/>
                <w:rtl w:val="0"/>
                <w:lang w:val="ja-JP" w:eastAsia="ja-JP"/>
              </w:rPr>
              <w:t>号から第</w:t>
            </w:r>
            <w:r>
              <w:rPr>
                <w:rStyle w:val="なし"/>
                <w:rFonts w:ascii="ＭＳ Ｐゴシック" w:cs="ＭＳ Ｐゴシック" w:hAnsi="ＭＳ Ｐゴシック" w:eastAsia="ＭＳ Ｐゴシック"/>
                <w:kern w:val="0"/>
                <w:shd w:val="nil" w:color="auto" w:fill="auto"/>
                <w:rtl w:val="0"/>
                <w:lang w:val="en-US"/>
              </w:rPr>
              <w:t>9</w:t>
            </w:r>
            <w:r>
              <w:rPr>
                <w:rStyle w:val="なし"/>
                <w:rFonts w:ascii="ＭＳ Ｐゴシック" w:cs="ＭＳ Ｐゴシック" w:hAnsi="ＭＳ Ｐゴシック" w:eastAsia="ＭＳ Ｐゴシック"/>
                <w:kern w:val="0"/>
                <w:shd w:val="nil" w:color="auto" w:fill="auto"/>
                <w:rtl w:val="0"/>
                <w:lang w:val="ja-JP" w:eastAsia="ja-JP"/>
              </w:rPr>
              <w:t>号まで</w:t>
            </w:r>
          </w:p>
        </w:tc>
        <w:tc>
          <w:tcPr>
            <w:tcW w:type="dxa" w:w="56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資本金等の額が</w:t>
            </w:r>
          </w:p>
        </w:tc>
        <w:tc>
          <w:tcPr>
            <w:tcW w:type="dxa" w:w="10355"/>
            <w:tcBorders>
              <w:top w:val="single" w:color="000000" w:sz="2" w:space="0" w:shadow="0" w:frame="0"/>
              <w:left w:val="single" w:color="000000" w:sz="2" w:space="0" w:shadow="0" w:frame="0"/>
              <w:bottom w:val="single" w:color="000000" w:sz="2" w:space="0" w:shadow="0" w:frame="0"/>
              <w:right w:val="single" w:color="000000" w:sz="1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当該法人に係る固有法人の資本金等の額が</w:t>
            </w:r>
          </w:p>
        </w:tc>
      </w:tr>
      <w:tr>
        <w:tblPrEx>
          <w:shd w:val="clear" w:color="auto" w:fill="cad1d7"/>
        </w:tblPrEx>
        <w:trPr>
          <w:trHeight w:val="200" w:hRule="atLeast"/>
        </w:trPr>
        <w:tc>
          <w:tcPr>
            <w:tcW w:type="dxa" w:w="5630"/>
            <w:vMerge w:val="restart"/>
            <w:tcBorders>
              <w:top w:val="single" w:color="000000" w:sz="2" w:space="0" w:shadow="0" w:frame="0"/>
              <w:left w:val="single" w:color="000000" w:sz="1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fldChar w:fldCharType="begin" w:fldLock="0"/>
            </w: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instrText xml:space="preserve"> HYPERLINK "https://cgi.city.yokohama.lg.jp/somu/reiki/reiki_honbun/g202RG00000570.html#e000002057"</w:instrText>
            </w:r>
            <w:r>
              <w:rPr>
                <w:rStyle w:val="Hyperlink.1"/>
                <w:rFonts w:ascii="ＭＳ Ｐゴシック" w:cs="ＭＳ Ｐゴシック" w:hAnsi="ＭＳ Ｐゴシック" w:eastAsia="ＭＳ Ｐゴシック"/>
                <w:outline w:val="0"/>
                <w:color w:val="0000ff"/>
                <w:kern w:val="0"/>
                <w:u w:val="single" w:color="0000ff"/>
                <w:shd w:val="nil" w:color="auto" w:fill="auto"/>
                <w:lang w:val="ja-JP" w:eastAsia="ja-JP"/>
                <w14:textFill>
                  <w14:solidFill>
                    <w14:srgbClr w14:val="0000FF"/>
                  </w14:solidFill>
                </w14:textFill>
              </w:rPr>
              <w:fldChar w:fldCharType="separate" w:fldLock="0"/>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第</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33</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条の</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6</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第</w:t>
            </w:r>
            <w:r>
              <w:rPr>
                <w:rStyle w:val="なし"/>
                <w:rFonts w:ascii="ＭＳ Ｐゴシック" w:cs="ＭＳ Ｐゴシック" w:hAnsi="ＭＳ Ｐゴシック" w:eastAsia="ＭＳ Ｐゴシック"/>
                <w:outline w:val="0"/>
                <w:color w:val="0000ff"/>
                <w:kern w:val="0"/>
                <w:u w:val="single" w:color="0000ff"/>
                <w:shd w:val="nil" w:color="auto" w:fill="auto"/>
                <w:rtl w:val="0"/>
                <w:lang w:val="en-US"/>
                <w14:textFill>
                  <w14:solidFill>
                    <w14:srgbClr w14:val="0000FF"/>
                  </w14:solidFill>
                </w14:textFill>
              </w:rPr>
              <w:t>3</w:t>
            </w:r>
            <w:r>
              <w:rPr>
                <w:rStyle w:val="Hyperlink.1"/>
                <w:rFonts w:ascii="ＭＳ Ｐゴシック" w:cs="ＭＳ Ｐゴシック" w:hAnsi="ＭＳ Ｐゴシック" w:eastAsia="ＭＳ Ｐゴシック"/>
                <w:outline w:val="0"/>
                <w:color w:val="0000ff"/>
                <w:kern w:val="0"/>
                <w:u w:val="single" w:color="0000ff"/>
                <w:shd w:val="nil" w:color="auto" w:fill="auto"/>
                <w:rtl w:val="0"/>
                <w:lang w:val="ja-JP" w:eastAsia="ja-JP"/>
                <w14:textFill>
                  <w14:solidFill>
                    <w14:srgbClr w14:val="0000FF"/>
                  </w14:solidFill>
                </w14:textFill>
              </w:rPr>
              <w:t>項</w:t>
            </w:r>
            <w:r>
              <w:rPr>
                <w:rFonts w:ascii="ＭＳ Ｐゴシック" w:cs="ＭＳ Ｐゴシック" w:hAnsi="ＭＳ Ｐゴシック" w:eastAsia="ＭＳ Ｐゴシック"/>
                <w:kern w:val="0"/>
              </w:rPr>
              <w:fldChar w:fldCharType="end" w:fldLock="0"/>
            </w:r>
          </w:p>
        </w:tc>
        <w:tc>
          <w:tcPr>
            <w:tcW w:type="dxa" w:w="56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義務がある法人</w:t>
            </w:r>
          </w:p>
        </w:tc>
        <w:tc>
          <w:tcPr>
            <w:tcW w:type="dxa" w:w="10355"/>
            <w:tcBorders>
              <w:top w:val="single" w:color="000000" w:sz="2" w:space="0" w:shadow="0" w:frame="0"/>
              <w:left w:val="single" w:color="000000" w:sz="2" w:space="0" w:shadow="0" w:frame="0"/>
              <w:bottom w:val="single" w:color="000000" w:sz="2" w:space="0" w:shadow="0" w:frame="0"/>
              <w:right w:val="single" w:color="000000" w:sz="1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義務がある固有法人</w:t>
            </w:r>
          </w:p>
        </w:tc>
      </w:tr>
      <w:tr>
        <w:tblPrEx>
          <w:shd w:val="clear" w:color="auto" w:fill="cad1d7"/>
        </w:tblPrEx>
        <w:trPr>
          <w:trHeight w:val="200" w:hRule="atLeast"/>
        </w:trPr>
        <w:tc>
          <w:tcPr>
            <w:tcW w:type="dxa" w:w="5630"/>
            <w:vMerge w:val="continue"/>
            <w:tcBorders>
              <w:top w:val="single" w:color="000000" w:sz="2" w:space="0" w:shadow="0" w:frame="0"/>
              <w:left w:val="single" w:color="000000" w:sz="12" w:space="0" w:shadow="0" w:frame="0"/>
              <w:bottom w:val="single" w:color="000000" w:sz="12" w:space="0" w:shadow="0" w:frame="0"/>
              <w:right w:val="single" w:color="000000" w:sz="2" w:space="0" w:shadow="0" w:frame="0"/>
            </w:tcBorders>
            <w:shd w:val="clear" w:color="auto" w:fill="auto"/>
          </w:tcPr>
          <w:p/>
        </w:tc>
        <w:tc>
          <w:tcPr>
            <w:tcW w:type="dxa" w:w="56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提出すべき法人</w:t>
            </w:r>
          </w:p>
        </w:tc>
        <w:tc>
          <w:tcPr>
            <w:tcW w:type="dxa" w:w="10355"/>
            <w:tcBorders>
              <w:top w:val="single" w:color="000000" w:sz="2" w:space="0" w:shadow="0" w:frame="0"/>
              <w:left w:val="single" w:color="000000" w:sz="2" w:space="0" w:shadow="0" w:frame="0"/>
              <w:bottom w:val="single" w:color="000000" w:sz="2" w:space="0" w:shadow="0" w:frame="0"/>
              <w:right w:val="single" w:color="000000" w:sz="1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提出すべき固有法人</w:t>
            </w:r>
          </w:p>
        </w:tc>
      </w:tr>
      <w:tr>
        <w:tblPrEx>
          <w:shd w:val="clear" w:color="auto" w:fill="cad1d7"/>
        </w:tblPrEx>
        <w:trPr>
          <w:trHeight w:val="212" w:hRule="atLeast"/>
        </w:trPr>
        <w:tc>
          <w:tcPr>
            <w:tcW w:type="dxa" w:w="5630"/>
            <w:vMerge w:val="continue"/>
            <w:tcBorders>
              <w:top w:val="single" w:color="000000" w:sz="2" w:space="0" w:shadow="0" w:frame="0"/>
              <w:left w:val="single" w:color="000000" w:sz="12" w:space="0" w:shadow="0" w:frame="0"/>
              <w:bottom w:val="single" w:color="000000" w:sz="12" w:space="0" w:shadow="0" w:frame="0"/>
              <w:right w:val="single" w:color="000000" w:sz="2" w:space="0" w:shadow="0" w:frame="0"/>
            </w:tcBorders>
            <w:shd w:val="clear" w:color="auto" w:fill="auto"/>
          </w:tcPr>
          <w:p/>
        </w:tc>
        <w:tc>
          <w:tcPr>
            <w:tcW w:type="dxa" w:w="5615"/>
            <w:tcBorders>
              <w:top w:val="single" w:color="000000" w:sz="2" w:space="0" w:shadow="0" w:frame="0"/>
              <w:left w:val="single" w:color="000000" w:sz="2" w:space="0" w:shadow="0" w:frame="0"/>
              <w:bottom w:val="single" w:color="000000" w:sz="12" w:space="0" w:shadow="0" w:frame="0"/>
              <w:right w:val="single" w:color="000000" w:sz="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寮等</w:t>
            </w:r>
          </w:p>
        </w:tc>
        <w:tc>
          <w:tcPr>
            <w:tcW w:type="dxa" w:w="10355"/>
            <w:tcBorders>
              <w:top w:val="single" w:color="000000" w:sz="2" w:space="0" w:shadow="0" w:frame="0"/>
              <w:left w:val="single" w:color="000000" w:sz="2" w:space="0" w:shadow="0" w:frame="0"/>
              <w:bottom w:val="single" w:color="000000" w:sz="12" w:space="0" w:shadow="0" w:frame="0"/>
              <w:right w:val="single" w:color="000000" w:sz="12" w:space="0" w:shadow="0" w:frame="0"/>
            </w:tcBorders>
            <w:shd w:val="clear" w:color="auto" w:fill="auto"/>
            <w:tcMar>
              <w:top w:type="dxa" w:w="80"/>
              <w:left w:type="dxa" w:w="80"/>
              <w:bottom w:type="dxa" w:w="80"/>
              <w:right w:type="dxa" w:w="80"/>
            </w:tcMar>
            <w:vAlign w:val="top"/>
          </w:tcPr>
          <w:p>
            <w:pPr>
              <w:pStyle w:val="Normal.0"/>
              <w:widowControl w:val="1"/>
              <w:jc w:val="left"/>
            </w:pPr>
            <w:r>
              <w:rPr>
                <w:rStyle w:val="なし"/>
                <w:rFonts w:ascii="ＭＳ Ｐゴシック" w:cs="ＭＳ Ｐゴシック" w:hAnsi="ＭＳ Ｐゴシック" w:eastAsia="ＭＳ Ｐゴシック"/>
                <w:kern w:val="0"/>
                <w:shd w:val="nil" w:color="auto" w:fill="auto"/>
                <w:rtl w:val="0"/>
                <w:lang w:val="ja-JP" w:eastAsia="ja-JP"/>
              </w:rPr>
              <w:t>当該固有法人に係る法人課税信託の受託者の有する寮等</w:t>
            </w:r>
          </w:p>
        </w:tc>
      </w:tr>
    </w:tbl>
    <w:p>
      <w:pPr>
        <w:pStyle w:val="Normal.0"/>
        <w:jc w:val="left"/>
        <w:rPr>
          <w:rStyle w:val="なし"/>
          <w:rFonts w:ascii="ＭＳ 明朝" w:cs="ＭＳ 明朝" w:hAnsi="ＭＳ 明朝" w:eastAsia="ＭＳ 明朝"/>
          <w:outline w:val="0"/>
          <w:color w:val="000000"/>
          <w:kern w:val="0"/>
          <w:u w:color="000000"/>
          <w14:textFill>
            <w14:solidFill>
              <w14:srgbClr w14:val="000000"/>
            </w14:solidFill>
          </w14:textFill>
        </w:rPr>
      </w:pP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・追加、平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個人の均等割の非課税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295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項の規定により、区内に住所を有する者で均等割のみを課すべきもののうち、当該年度の初日の属する年の前年</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以下この節において「前年」という。</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の合計所得金額が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350,000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円にその者の同一生計配偶者及び扶養親族</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年齢</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歳未満の者及び控除対象扶養親族に限る。以下この条及び</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"https://cgi.city.yokohama.lg.jp/somu/reiki/reiki_honbun/g202RG00000570.html#e000001318"</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26</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において同じ。</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の数に</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を加えた数を乗じて得た金額に</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円を加算した金額</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その者が同一生計配偶者又は扶養親族を有する場合には、当該乗じて得た金額に</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210,000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円を加算した金額</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以下である者に対しては、均等割を課さない。</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昭</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・平元条例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・令</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市民税の課税免除</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次に掲げる者に対しては、市民税の均等割を課さない。</w:t>
      </w:r>
    </w:p>
    <w:p>
      <w:pPr>
        <w:pStyle w:val="Normal.0"/>
        <w:widowControl w:val="1"/>
        <w:shd w:val="clear" w:color="auto" w:fill="ffffff"/>
        <w:ind w:left="480" w:hanging="240"/>
        <w:jc w:val="left"/>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本人またはこれと生計を一にする者が、生活保護法</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昭和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年法律第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144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号</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w:t>
      </w:r>
    </w:p>
    <w:sectPr>
      <w:headerReference w:type="default" r:id="rId4"/>
      <w:footerReference w:type="default" r:id="rId5"/>
      <w:pgSz w:w="12240" w:h="15840" w:orient="portrait"/>
      <w:pgMar w:top="1985" w:right="1701" w:bottom="1701"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游明朝">
    <w:charset w:val="00"/>
    <w:family w:val="roman"/>
    <w:pitch w:val="default"/>
  </w:font>
  <w:font w:name="ＭＳ 明朝">
    <w:charset w:val="00"/>
    <w:family w:val="roman"/>
    <w:pitch w:val="default"/>
  </w:font>
  <w:font w:name="ＭＳ Ｐゴシック">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84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ヘッダとフッタ">
    <w:name w:val="ヘッダとフッタ"/>
    <w:next w:val="ヘッダとフッタ"/>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游明朝" w:cs="游明朝" w:hAnsi="游明朝" w:eastAsia="游明朝"/>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character" w:styleId="なし">
    <w:name w:val="なし"/>
  </w:style>
  <w:style w:type="character" w:styleId="Hyperlink.0">
    <w:name w:val="Hyperlink.0"/>
    <w:basedOn w:val="なし"/>
    <w:next w:val="Hyperlink.0"/>
    <w:rPr>
      <w:rFonts w:ascii="ＭＳ 明朝" w:cs="ＭＳ 明朝" w:hAnsi="ＭＳ 明朝" w:eastAsia="ＭＳ 明朝"/>
      <w:outline w:val="0"/>
      <w:color w:val="0000ff"/>
      <w:kern w:val="0"/>
      <w:u w:val="single" w:color="0000ff"/>
      <w:lang w:val="ja-JP" w:eastAsia="ja-JP"/>
      <w14:textFill>
        <w14:solidFill>
          <w14:srgbClr w14:val="0000FF"/>
        </w14:solidFill>
      </w14:textFill>
    </w:rPr>
  </w:style>
  <w:style w:type="character" w:styleId="Hyperlink.1">
    <w:name w:val="Hyperlink.1"/>
    <w:basedOn w:val="なし"/>
    <w:next w:val="Hyperlink.1"/>
    <w:rPr>
      <w:outline w:val="0"/>
      <w:color w:val="0000ff"/>
      <w:u w:val="single" w:color="0000ff"/>
      <w:shd w:val="nil" w:color="auto" w:fill="auto"/>
      <w:lang w:val="ja-JP" w:eastAsia="ja-JP"/>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テーマ">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