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F76F" w14:textId="77777777" w:rsidR="003F5375" w:rsidRPr="00AD473D" w:rsidRDefault="00C657FF" w:rsidP="00C657FF">
      <w:pPr>
        <w:pStyle w:val="Title"/>
        <w:rPr>
          <w:rFonts w:cstheme="majorHAnsi"/>
          <w:sz w:val="44"/>
        </w:rPr>
      </w:pPr>
      <w:r w:rsidRPr="00AD473D">
        <w:rPr>
          <w:rFonts w:cstheme="majorHAnsi"/>
          <w:sz w:val="44"/>
        </w:rPr>
        <w:t>We hear YOUth – facilitator briefing notes</w:t>
      </w:r>
    </w:p>
    <w:p w14:paraId="26DA1154" w14:textId="77777777" w:rsidR="00C657FF" w:rsidRPr="00C657FF" w:rsidRDefault="00C657FF">
      <w:pPr>
        <w:rPr>
          <w:rFonts w:asciiTheme="majorHAnsi" w:hAnsiTheme="majorHAnsi" w:cstheme="majorHAnsi"/>
        </w:rPr>
      </w:pPr>
    </w:p>
    <w:tbl>
      <w:tblPr>
        <w:tblStyle w:val="TableGrid"/>
        <w:tblW w:w="0" w:type="auto"/>
        <w:tblLook w:val="04A0" w:firstRow="1" w:lastRow="0" w:firstColumn="1" w:lastColumn="0" w:noHBand="0" w:noVBand="1"/>
      </w:tblPr>
      <w:tblGrid>
        <w:gridCol w:w="10343"/>
      </w:tblGrid>
      <w:tr w:rsidR="00C657FF" w:rsidRPr="00C657FF" w14:paraId="019CE907" w14:textId="77777777" w:rsidTr="00936F2A">
        <w:tc>
          <w:tcPr>
            <w:tcW w:w="10343" w:type="dxa"/>
          </w:tcPr>
          <w:p w14:paraId="16D7793E" w14:textId="77777777" w:rsidR="00C657FF" w:rsidRPr="00C657FF" w:rsidRDefault="00C657FF" w:rsidP="00C657FF">
            <w:pPr>
              <w:rPr>
                <w:rFonts w:asciiTheme="majorHAnsi" w:hAnsiTheme="majorHAnsi" w:cstheme="majorHAnsi"/>
                <w:b/>
              </w:rPr>
            </w:pPr>
            <w:r w:rsidRPr="00C657FF">
              <w:rPr>
                <w:rFonts w:asciiTheme="majorHAnsi" w:hAnsiTheme="majorHAnsi" w:cstheme="majorHAnsi"/>
                <w:b/>
              </w:rPr>
              <w:t>1. Project Title</w:t>
            </w:r>
          </w:p>
          <w:p w14:paraId="6352FC10" w14:textId="77777777" w:rsidR="00C657FF" w:rsidRPr="00C657FF" w:rsidRDefault="00C657FF" w:rsidP="00C657FF">
            <w:pPr>
              <w:rPr>
                <w:rFonts w:asciiTheme="majorHAnsi" w:hAnsiTheme="majorHAnsi" w:cstheme="majorHAnsi"/>
              </w:rPr>
            </w:pPr>
            <w:r w:rsidRPr="00C657FF">
              <w:rPr>
                <w:rFonts w:asciiTheme="majorHAnsi" w:hAnsiTheme="majorHAnsi" w:cstheme="majorHAnsi"/>
              </w:rPr>
              <w:t>City of Greater Bendigo Youth Strategy Evaluation – Focus Group Facilitation</w:t>
            </w:r>
          </w:p>
        </w:tc>
      </w:tr>
      <w:tr w:rsidR="00C657FF" w:rsidRPr="00C657FF" w14:paraId="1FAE17B7" w14:textId="77777777" w:rsidTr="00936F2A">
        <w:tc>
          <w:tcPr>
            <w:tcW w:w="10343" w:type="dxa"/>
          </w:tcPr>
          <w:p w14:paraId="7BA464A4"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color w:val="000000"/>
                <w:sz w:val="22"/>
                <w:szCs w:val="22"/>
              </w:rPr>
            </w:pPr>
            <w:r w:rsidRPr="00C657FF">
              <w:rPr>
                <w:rStyle w:val="normaltextrun"/>
                <w:rFonts w:asciiTheme="majorHAnsi" w:hAnsiTheme="majorHAnsi" w:cstheme="majorHAnsi"/>
                <w:b/>
                <w:bCs/>
                <w:color w:val="000000"/>
                <w:sz w:val="22"/>
                <w:szCs w:val="22"/>
              </w:rPr>
              <w:t>2. Description </w:t>
            </w:r>
            <w:r w:rsidRPr="00C657FF">
              <w:rPr>
                <w:rStyle w:val="eop"/>
                <w:rFonts w:asciiTheme="majorHAnsi" w:hAnsiTheme="majorHAnsi" w:cstheme="majorHAnsi"/>
                <w:color w:val="000000"/>
                <w:sz w:val="22"/>
                <w:szCs w:val="22"/>
              </w:rPr>
              <w:t> </w:t>
            </w:r>
          </w:p>
          <w:p w14:paraId="6CB5E322"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color w:val="000000"/>
                <w:sz w:val="22"/>
                <w:szCs w:val="22"/>
              </w:rPr>
            </w:pPr>
            <w:r w:rsidRPr="00C657FF">
              <w:rPr>
                <w:rStyle w:val="normaltextrun"/>
                <w:rFonts w:asciiTheme="majorHAnsi" w:hAnsiTheme="majorHAnsi" w:cstheme="majorHAnsi"/>
                <w:color w:val="000000"/>
                <w:sz w:val="22"/>
                <w:szCs w:val="22"/>
              </w:rPr>
              <w:t>The City of Greater Bendigo (the City) is in the early stages of evaluating the </w:t>
            </w:r>
            <w:r w:rsidRPr="00C657FF">
              <w:rPr>
                <w:rStyle w:val="normaltextrun"/>
                <w:rFonts w:asciiTheme="majorHAnsi" w:hAnsiTheme="majorHAnsi" w:cstheme="majorHAnsi"/>
                <w:i/>
                <w:iCs/>
                <w:color w:val="000000"/>
                <w:sz w:val="22"/>
                <w:szCs w:val="22"/>
              </w:rPr>
              <w:t>Explore Engage Empower: Young People in Greater Bendigo Youth Strategy 2017 – 2021</w:t>
            </w:r>
            <w:r w:rsidRPr="00C657FF">
              <w:rPr>
                <w:rStyle w:val="normaltextrun"/>
                <w:rFonts w:asciiTheme="majorHAnsi" w:hAnsiTheme="majorHAnsi" w:cstheme="majorHAnsi"/>
                <w:color w:val="000000"/>
                <w:sz w:val="22"/>
                <w:szCs w:val="22"/>
              </w:rPr>
              <w:t xml:space="preserve"> and have identified an opportunity to partner with and engage the participants in the We Hear YOUth peer interviewers’ program as focus group facilitators as part of this process.</w:t>
            </w:r>
            <w:r w:rsidRPr="00C657FF">
              <w:rPr>
                <w:rStyle w:val="eop"/>
                <w:rFonts w:asciiTheme="majorHAnsi" w:hAnsiTheme="majorHAnsi" w:cstheme="majorHAnsi"/>
                <w:color w:val="000000"/>
                <w:sz w:val="22"/>
                <w:szCs w:val="22"/>
              </w:rPr>
              <w:t> </w:t>
            </w:r>
          </w:p>
          <w:p w14:paraId="18D788F7" w14:textId="77777777" w:rsidR="00C657FF" w:rsidRPr="00E303C6" w:rsidRDefault="00C657FF" w:rsidP="00C657FF">
            <w:pPr>
              <w:pStyle w:val="paragraph"/>
              <w:spacing w:before="0" w:beforeAutospacing="0" w:after="0" w:afterAutospacing="0"/>
              <w:textAlignment w:val="baseline"/>
              <w:rPr>
                <w:rFonts w:asciiTheme="majorHAnsi" w:hAnsiTheme="majorHAnsi" w:cstheme="majorHAnsi"/>
                <w:color w:val="000000"/>
                <w:sz w:val="22"/>
                <w:szCs w:val="22"/>
              </w:rPr>
            </w:pPr>
            <w:r w:rsidRPr="00C657FF">
              <w:rPr>
                <w:rStyle w:val="normaltextrun"/>
                <w:rFonts w:asciiTheme="majorHAnsi" w:hAnsiTheme="majorHAnsi" w:cstheme="majorHAnsi"/>
                <w:color w:val="000000"/>
                <w:sz w:val="22"/>
                <w:szCs w:val="22"/>
              </w:rPr>
              <w:t>The City is aiming to complete the evaluation by the end of July, and is looking to hold 3 focus group sessions with groups of internal stakeholders (young volunteers from the FReeZA, Ambedo, and Youth Council programs), in addition to a number (TBD) of focus group sessions with external stakeholders (e.g. youth groups run by partner organisations, school SRCs). </w:t>
            </w:r>
            <w:r w:rsidRPr="00C657FF">
              <w:rPr>
                <w:rStyle w:val="eop"/>
                <w:rFonts w:asciiTheme="majorHAnsi" w:hAnsiTheme="majorHAnsi" w:cstheme="majorHAnsi"/>
                <w:color w:val="000000"/>
                <w:sz w:val="22"/>
                <w:szCs w:val="22"/>
              </w:rPr>
              <w:t> </w:t>
            </w:r>
          </w:p>
        </w:tc>
      </w:tr>
      <w:tr w:rsidR="00C657FF" w:rsidRPr="00C657FF" w14:paraId="6E58DAF0" w14:textId="77777777" w:rsidTr="00936F2A">
        <w:tc>
          <w:tcPr>
            <w:tcW w:w="10343" w:type="dxa"/>
          </w:tcPr>
          <w:p w14:paraId="74D092DB" w14:textId="77777777" w:rsidR="00C657FF" w:rsidRPr="00C657FF" w:rsidRDefault="00C657FF">
            <w:pPr>
              <w:rPr>
                <w:rFonts w:asciiTheme="majorHAnsi" w:hAnsiTheme="majorHAnsi" w:cstheme="majorHAnsi"/>
                <w:b/>
              </w:rPr>
            </w:pPr>
            <w:r w:rsidRPr="00C657FF">
              <w:rPr>
                <w:rFonts w:asciiTheme="majorHAnsi" w:hAnsiTheme="majorHAnsi" w:cstheme="majorHAnsi"/>
                <w:b/>
              </w:rPr>
              <w:t>3. Goal of the focus groups</w:t>
            </w:r>
          </w:p>
          <w:p w14:paraId="009ED16D"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color w:val="000000"/>
                <w:sz w:val="22"/>
                <w:szCs w:val="22"/>
              </w:rPr>
            </w:pPr>
            <w:r w:rsidRPr="00C657FF">
              <w:rPr>
                <w:rStyle w:val="normaltextrun"/>
                <w:rFonts w:asciiTheme="majorHAnsi" w:hAnsiTheme="majorHAnsi" w:cstheme="majorHAnsi"/>
                <w:color w:val="000000"/>
                <w:sz w:val="22"/>
                <w:szCs w:val="22"/>
              </w:rPr>
              <w:t>The goal of the evaluation is to measure the impact of the existing youth strategy, including the programs run under that strategy (aka FReeZA, Ambedo, and Youth Council), and beginning to gather data to inform the next strategy. The focus groups sessions with these internal stakeholders will also include some questions evaluating those specific programs. </w:t>
            </w:r>
            <w:r w:rsidRPr="00C657FF">
              <w:rPr>
                <w:rStyle w:val="eop"/>
                <w:rFonts w:asciiTheme="majorHAnsi" w:hAnsiTheme="majorHAnsi" w:cstheme="majorHAnsi"/>
                <w:color w:val="000000"/>
                <w:sz w:val="22"/>
                <w:szCs w:val="22"/>
              </w:rPr>
              <w:t> </w:t>
            </w:r>
          </w:p>
          <w:p w14:paraId="67D4EB6E"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color w:val="000000"/>
                <w:sz w:val="22"/>
                <w:szCs w:val="22"/>
              </w:rPr>
            </w:pPr>
            <w:r w:rsidRPr="00C657FF">
              <w:rPr>
                <w:rStyle w:val="normaltextrun"/>
                <w:rFonts w:asciiTheme="majorHAnsi" w:hAnsiTheme="majorHAnsi" w:cstheme="majorHAnsi"/>
                <w:color w:val="000000"/>
                <w:sz w:val="22"/>
                <w:szCs w:val="22"/>
              </w:rPr>
              <w:t>The City is inviting the We Heart YOUth program participants to facilitate these focus groups as a practical training opportunity as part of their course.</w:t>
            </w:r>
            <w:r w:rsidRPr="00C657FF">
              <w:rPr>
                <w:rStyle w:val="eop"/>
                <w:rFonts w:asciiTheme="majorHAnsi" w:hAnsiTheme="majorHAnsi" w:cstheme="majorHAnsi"/>
                <w:color w:val="000000"/>
                <w:sz w:val="22"/>
                <w:szCs w:val="22"/>
              </w:rPr>
              <w:t> </w:t>
            </w:r>
          </w:p>
        </w:tc>
      </w:tr>
      <w:tr w:rsidR="00C657FF" w:rsidRPr="00C657FF" w14:paraId="74CF1A05" w14:textId="77777777" w:rsidTr="00936F2A">
        <w:tc>
          <w:tcPr>
            <w:tcW w:w="10343" w:type="dxa"/>
          </w:tcPr>
          <w:p w14:paraId="61D417C8" w14:textId="77777777" w:rsidR="00C657FF" w:rsidRPr="00544794" w:rsidRDefault="00C657FF">
            <w:pPr>
              <w:rPr>
                <w:rFonts w:asciiTheme="majorHAnsi" w:hAnsiTheme="majorHAnsi" w:cstheme="majorHAnsi"/>
                <w:b/>
              </w:rPr>
            </w:pPr>
            <w:r w:rsidRPr="00544794">
              <w:rPr>
                <w:rFonts w:asciiTheme="majorHAnsi" w:hAnsiTheme="majorHAnsi" w:cstheme="majorHAnsi"/>
                <w:b/>
              </w:rPr>
              <w:t>4. Background of the youth strategy</w:t>
            </w:r>
          </w:p>
          <w:p w14:paraId="20A13165" w14:textId="77777777" w:rsidR="00C657FF" w:rsidRPr="00C657FF" w:rsidRDefault="00C657FF">
            <w:pPr>
              <w:rPr>
                <w:rFonts w:asciiTheme="majorHAnsi" w:hAnsiTheme="majorHAnsi" w:cstheme="majorHAnsi"/>
              </w:rPr>
            </w:pPr>
            <w:r w:rsidRPr="00C657FF">
              <w:rPr>
                <w:rFonts w:asciiTheme="majorHAnsi" w:hAnsiTheme="majorHAnsi" w:cstheme="majorHAnsi"/>
              </w:rPr>
              <w:t xml:space="preserve">Developed and adopted in 2017, Explore, Engage, </w:t>
            </w:r>
            <w:proofErr w:type="gramStart"/>
            <w:r w:rsidRPr="00C657FF">
              <w:rPr>
                <w:rFonts w:asciiTheme="majorHAnsi" w:hAnsiTheme="majorHAnsi" w:cstheme="majorHAnsi"/>
              </w:rPr>
              <w:t>Empower</w:t>
            </w:r>
            <w:proofErr w:type="gramEnd"/>
            <w:r w:rsidRPr="00C657FF">
              <w:rPr>
                <w:rFonts w:asciiTheme="majorHAnsi" w:hAnsiTheme="majorHAnsi" w:cstheme="majorHAnsi"/>
              </w:rPr>
              <w:t>: Young People in Greater Bendigo (2017-2021) provides the strategic direction of the Engaged Communities YO Bendigo team to provide a range of programs to young people in Greater Bendigo.</w:t>
            </w:r>
          </w:p>
          <w:p w14:paraId="62F0AC15" w14:textId="77777777" w:rsidR="00C657FF" w:rsidRPr="00C657FF" w:rsidRDefault="00C657FF">
            <w:pPr>
              <w:rPr>
                <w:rFonts w:asciiTheme="majorHAnsi" w:hAnsiTheme="majorHAnsi" w:cstheme="majorHAnsi"/>
              </w:rPr>
            </w:pPr>
            <w:r w:rsidRPr="00C657FF">
              <w:rPr>
                <w:rStyle w:val="normaltextrun"/>
                <w:rFonts w:asciiTheme="majorHAnsi" w:hAnsiTheme="majorHAnsi" w:cstheme="majorHAnsi"/>
                <w:color w:val="000000"/>
                <w:shd w:val="clear" w:color="auto" w:fill="FFFFFF"/>
                <w:lang w:val="en-US"/>
              </w:rPr>
              <w:t>The major elements of the Youth Strategy are the:</w:t>
            </w:r>
            <w:r w:rsidRPr="00C657FF">
              <w:rPr>
                <w:rStyle w:val="eop"/>
                <w:rFonts w:asciiTheme="majorHAnsi" w:hAnsiTheme="majorHAnsi" w:cstheme="majorHAnsi"/>
                <w:color w:val="000000"/>
                <w:shd w:val="clear" w:color="auto" w:fill="FFFFFF"/>
              </w:rPr>
              <w:t> </w:t>
            </w:r>
          </w:p>
          <w:p w14:paraId="46068AE7" w14:textId="77777777" w:rsidR="00C657FF" w:rsidRPr="00CC4BD9" w:rsidRDefault="00C657FF" w:rsidP="00C657FF">
            <w:pPr>
              <w:pStyle w:val="paragraph"/>
              <w:spacing w:before="0" w:beforeAutospacing="0" w:after="0" w:afterAutospacing="0"/>
              <w:textAlignment w:val="baseline"/>
              <w:rPr>
                <w:rFonts w:asciiTheme="majorHAnsi" w:hAnsiTheme="majorHAnsi" w:cstheme="majorHAnsi"/>
                <w:b/>
                <w:sz w:val="22"/>
                <w:szCs w:val="22"/>
              </w:rPr>
            </w:pPr>
            <w:r w:rsidRPr="00CC4BD9">
              <w:rPr>
                <w:rStyle w:val="normaltextrun"/>
                <w:rFonts w:asciiTheme="majorHAnsi" w:hAnsiTheme="majorHAnsi" w:cstheme="majorHAnsi"/>
                <w:b/>
                <w:bCs/>
                <w:sz w:val="22"/>
                <w:szCs w:val="22"/>
                <w:lang w:val="en-US"/>
              </w:rPr>
              <w:t>Vision:</w:t>
            </w:r>
            <w:r w:rsidRPr="00CC4BD9">
              <w:rPr>
                <w:rStyle w:val="eop"/>
                <w:rFonts w:asciiTheme="majorHAnsi" w:hAnsiTheme="majorHAnsi" w:cstheme="majorHAnsi"/>
                <w:b/>
                <w:sz w:val="22"/>
                <w:szCs w:val="22"/>
              </w:rPr>
              <w:t> </w:t>
            </w:r>
          </w:p>
          <w:p w14:paraId="040BA1A1"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sz w:val="22"/>
                <w:szCs w:val="22"/>
              </w:rPr>
            </w:pPr>
            <w:r w:rsidRPr="00C657FF">
              <w:rPr>
                <w:rStyle w:val="normaltextrun"/>
                <w:rFonts w:asciiTheme="majorHAnsi" w:hAnsiTheme="majorHAnsi" w:cstheme="majorHAnsi"/>
                <w:sz w:val="22"/>
                <w:szCs w:val="22"/>
                <w:lang w:val="en-US"/>
              </w:rPr>
              <w:t>Young people in Greater Bendigo are heard, valued, connected and inspired so that they make the most of life’s opportunities</w:t>
            </w:r>
            <w:r w:rsidRPr="00C657FF">
              <w:rPr>
                <w:rStyle w:val="eop"/>
                <w:rFonts w:asciiTheme="majorHAnsi" w:hAnsiTheme="majorHAnsi" w:cstheme="majorHAnsi"/>
                <w:sz w:val="22"/>
                <w:szCs w:val="22"/>
              </w:rPr>
              <w:t> </w:t>
            </w:r>
          </w:p>
          <w:p w14:paraId="4D444B92" w14:textId="77777777" w:rsidR="00C657FF" w:rsidRPr="00CC4BD9" w:rsidRDefault="00C657FF" w:rsidP="00C657FF">
            <w:pPr>
              <w:pStyle w:val="paragraph"/>
              <w:spacing w:before="0" w:beforeAutospacing="0" w:after="0" w:afterAutospacing="0"/>
              <w:textAlignment w:val="baseline"/>
              <w:rPr>
                <w:rFonts w:asciiTheme="majorHAnsi" w:hAnsiTheme="majorHAnsi" w:cstheme="majorHAnsi"/>
                <w:b/>
                <w:sz w:val="22"/>
                <w:szCs w:val="22"/>
              </w:rPr>
            </w:pPr>
            <w:r w:rsidRPr="00CC4BD9">
              <w:rPr>
                <w:rStyle w:val="normaltextrun"/>
                <w:rFonts w:asciiTheme="majorHAnsi" w:hAnsiTheme="majorHAnsi" w:cstheme="majorHAnsi"/>
                <w:b/>
                <w:bCs/>
                <w:sz w:val="22"/>
                <w:szCs w:val="22"/>
                <w:lang w:val="en-US"/>
              </w:rPr>
              <w:t>Principles:</w:t>
            </w:r>
            <w:r w:rsidRPr="00CC4BD9">
              <w:rPr>
                <w:rStyle w:val="eop"/>
                <w:rFonts w:asciiTheme="majorHAnsi" w:hAnsiTheme="majorHAnsi" w:cstheme="majorHAnsi"/>
                <w:b/>
                <w:sz w:val="22"/>
                <w:szCs w:val="22"/>
              </w:rPr>
              <w:t> </w:t>
            </w:r>
          </w:p>
          <w:p w14:paraId="5013EEB7"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sz w:val="22"/>
                <w:szCs w:val="22"/>
              </w:rPr>
            </w:pPr>
            <w:r w:rsidRPr="00C657FF">
              <w:rPr>
                <w:rStyle w:val="normaltextrun"/>
                <w:rFonts w:asciiTheme="majorHAnsi" w:hAnsiTheme="majorHAnsi" w:cstheme="majorHAnsi"/>
                <w:sz w:val="22"/>
                <w:szCs w:val="22"/>
                <w:lang w:val="en-US"/>
              </w:rPr>
              <w:t>Explore – We explore opportunities with young people that increase inclusion and connection.</w:t>
            </w:r>
            <w:r w:rsidRPr="00C657FF">
              <w:rPr>
                <w:rStyle w:val="eop"/>
                <w:rFonts w:asciiTheme="majorHAnsi" w:hAnsiTheme="majorHAnsi" w:cstheme="majorHAnsi"/>
                <w:sz w:val="22"/>
                <w:szCs w:val="22"/>
              </w:rPr>
              <w:t> </w:t>
            </w:r>
          </w:p>
          <w:p w14:paraId="27B9B1AE" w14:textId="77777777" w:rsidR="00C657FF" w:rsidRPr="00C657FF" w:rsidRDefault="00C657FF" w:rsidP="00C657FF">
            <w:pPr>
              <w:pStyle w:val="paragraph"/>
              <w:spacing w:before="0" w:beforeAutospacing="0" w:after="0" w:afterAutospacing="0"/>
              <w:textAlignment w:val="baseline"/>
              <w:rPr>
                <w:rFonts w:asciiTheme="majorHAnsi" w:hAnsiTheme="majorHAnsi" w:cstheme="majorHAnsi"/>
                <w:sz w:val="22"/>
                <w:szCs w:val="22"/>
              </w:rPr>
            </w:pPr>
            <w:r w:rsidRPr="00C657FF">
              <w:rPr>
                <w:rStyle w:val="normaltextrun"/>
                <w:rFonts w:asciiTheme="majorHAnsi" w:hAnsiTheme="majorHAnsi" w:cstheme="majorHAnsi"/>
                <w:sz w:val="22"/>
                <w:szCs w:val="22"/>
                <w:lang w:val="en-US"/>
              </w:rPr>
              <w:t>Engage – We engage with young people to ensure their needs and opinions are heard and valued.</w:t>
            </w:r>
            <w:r w:rsidRPr="00C657FF">
              <w:rPr>
                <w:rStyle w:val="eop"/>
                <w:rFonts w:asciiTheme="majorHAnsi" w:hAnsiTheme="majorHAnsi" w:cstheme="majorHAnsi"/>
                <w:sz w:val="22"/>
                <w:szCs w:val="22"/>
              </w:rPr>
              <w:t> </w:t>
            </w:r>
          </w:p>
          <w:p w14:paraId="19E239D4" w14:textId="77777777" w:rsidR="00C657FF" w:rsidRPr="00C657FF" w:rsidRDefault="00C657FF" w:rsidP="00C657FF">
            <w:pPr>
              <w:pStyle w:val="paragraph"/>
              <w:spacing w:before="0" w:beforeAutospacing="0" w:after="0" w:afterAutospacing="0"/>
              <w:textAlignment w:val="baseline"/>
              <w:rPr>
                <w:rStyle w:val="eop"/>
                <w:rFonts w:asciiTheme="majorHAnsi" w:hAnsiTheme="majorHAnsi" w:cstheme="majorHAnsi"/>
                <w:sz w:val="22"/>
                <w:szCs w:val="22"/>
              </w:rPr>
            </w:pPr>
            <w:r w:rsidRPr="00C657FF">
              <w:rPr>
                <w:rStyle w:val="normaltextrun"/>
                <w:rFonts w:asciiTheme="majorHAnsi" w:hAnsiTheme="majorHAnsi" w:cstheme="majorHAnsi"/>
                <w:sz w:val="22"/>
                <w:szCs w:val="22"/>
                <w:lang w:val="en-US"/>
              </w:rPr>
              <w:t>Empower – We empower and inspire young people to shape the world they live in.</w:t>
            </w:r>
            <w:r w:rsidRPr="00C657FF">
              <w:rPr>
                <w:rStyle w:val="eop"/>
                <w:rFonts w:asciiTheme="majorHAnsi" w:hAnsiTheme="majorHAnsi" w:cstheme="majorHAnsi"/>
                <w:sz w:val="22"/>
                <w:szCs w:val="22"/>
              </w:rPr>
              <w:t> </w:t>
            </w:r>
          </w:p>
          <w:p w14:paraId="16D136C9" w14:textId="77777777" w:rsidR="00C657FF" w:rsidRPr="00CC4BD9" w:rsidRDefault="00C657FF" w:rsidP="00C657FF">
            <w:pPr>
              <w:pStyle w:val="paragraph"/>
              <w:spacing w:before="0" w:beforeAutospacing="0" w:after="0" w:afterAutospacing="0"/>
              <w:textAlignment w:val="baseline"/>
              <w:rPr>
                <w:rFonts w:asciiTheme="majorHAnsi" w:hAnsiTheme="majorHAnsi" w:cstheme="majorHAnsi"/>
                <w:b/>
                <w:sz w:val="22"/>
                <w:szCs w:val="22"/>
              </w:rPr>
            </w:pPr>
            <w:r w:rsidRPr="00CC4BD9">
              <w:rPr>
                <w:rFonts w:asciiTheme="majorHAnsi" w:hAnsiTheme="majorHAnsi" w:cstheme="majorHAnsi"/>
                <w:b/>
                <w:sz w:val="22"/>
                <w:szCs w:val="22"/>
              </w:rPr>
              <w:t>Goals:</w:t>
            </w:r>
          </w:p>
          <w:p w14:paraId="732F7C68" w14:textId="77777777" w:rsidR="00C657FF" w:rsidRDefault="00544794"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Provide</w:t>
            </w:r>
            <w:r w:rsidR="00C657FF">
              <w:rPr>
                <w:rFonts w:asciiTheme="majorHAnsi" w:hAnsiTheme="majorHAnsi" w:cstheme="majorHAnsi"/>
                <w:sz w:val="22"/>
                <w:szCs w:val="22"/>
              </w:rPr>
              <w:t xml:space="preserve"> opportunities for young people to have their say</w:t>
            </w:r>
          </w:p>
          <w:p w14:paraId="7FC4953E" w14:textId="77777777" w:rsidR="00C657FF" w:rsidRDefault="00C657FF"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 xml:space="preserve">Promote young people as valuable citizens who make a positive </w:t>
            </w:r>
            <w:r w:rsidR="00544794">
              <w:rPr>
                <w:rFonts w:asciiTheme="majorHAnsi" w:hAnsiTheme="majorHAnsi" w:cstheme="majorHAnsi"/>
                <w:sz w:val="22"/>
                <w:szCs w:val="22"/>
              </w:rPr>
              <w:t>contribution</w:t>
            </w:r>
            <w:r>
              <w:rPr>
                <w:rFonts w:asciiTheme="majorHAnsi" w:hAnsiTheme="majorHAnsi" w:cstheme="majorHAnsi"/>
                <w:sz w:val="22"/>
                <w:szCs w:val="22"/>
              </w:rPr>
              <w:t xml:space="preserve"> to the community </w:t>
            </w:r>
          </w:p>
          <w:p w14:paraId="339E6848" w14:textId="77777777" w:rsidR="00C657FF" w:rsidRDefault="00C657FF"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 xml:space="preserve">Provide innovative </w:t>
            </w:r>
            <w:r w:rsidR="00544794">
              <w:rPr>
                <w:rFonts w:asciiTheme="majorHAnsi" w:hAnsiTheme="majorHAnsi" w:cstheme="majorHAnsi"/>
                <w:sz w:val="22"/>
                <w:szCs w:val="22"/>
              </w:rPr>
              <w:t>opportunities for young people to develop new skills</w:t>
            </w:r>
          </w:p>
          <w:p w14:paraId="5F135644" w14:textId="77777777" w:rsidR="00544794" w:rsidRDefault="00544794"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Increase collaboration with education providers, industry, and community to enhance employment opportunities</w:t>
            </w:r>
          </w:p>
          <w:p w14:paraId="03E14CD1" w14:textId="77777777" w:rsidR="00544794" w:rsidRDefault="00544794"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Deliver inclusive accessible events and programs for all the community</w:t>
            </w:r>
          </w:p>
          <w:p w14:paraId="754CA6CB" w14:textId="77777777" w:rsidR="00544794" w:rsidRDefault="00544794" w:rsidP="00E303C6">
            <w:pPr>
              <w:pStyle w:val="paragraph"/>
              <w:numPr>
                <w:ilvl w:val="0"/>
                <w:numId w:val="7"/>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Increase collaboration to strengthen partnerships, networks, and advocacy in priority areas</w:t>
            </w:r>
          </w:p>
          <w:p w14:paraId="18A7B4C8" w14:textId="77777777" w:rsidR="00544794" w:rsidRPr="00C657FF" w:rsidRDefault="00544794" w:rsidP="00E303C6">
            <w:pPr>
              <w:pStyle w:val="paragraph"/>
              <w:numPr>
                <w:ilvl w:val="0"/>
                <w:numId w:val="6"/>
              </w:numPr>
              <w:spacing w:before="0" w:beforeAutospacing="0" w:after="0" w:afterAutospacing="0"/>
              <w:textAlignment w:val="baseline"/>
              <w:rPr>
                <w:rFonts w:asciiTheme="majorHAnsi" w:hAnsiTheme="majorHAnsi" w:cstheme="majorHAnsi"/>
                <w:sz w:val="22"/>
                <w:szCs w:val="22"/>
              </w:rPr>
            </w:pPr>
            <w:r>
              <w:rPr>
                <w:rFonts w:asciiTheme="majorHAnsi" w:hAnsiTheme="majorHAnsi" w:cstheme="majorHAnsi"/>
                <w:sz w:val="22"/>
                <w:szCs w:val="22"/>
              </w:rPr>
              <w:t>- Create spaces that are inclusive, safe, and welcoming for all the community</w:t>
            </w:r>
          </w:p>
        </w:tc>
      </w:tr>
      <w:tr w:rsidR="00C657FF" w:rsidRPr="00C657FF" w14:paraId="3751389B" w14:textId="77777777" w:rsidTr="00936F2A">
        <w:tc>
          <w:tcPr>
            <w:tcW w:w="10343" w:type="dxa"/>
          </w:tcPr>
          <w:p w14:paraId="482628F4" w14:textId="77777777" w:rsidR="00544794" w:rsidRPr="00544794" w:rsidRDefault="00544794">
            <w:pPr>
              <w:rPr>
                <w:rFonts w:asciiTheme="majorHAnsi" w:hAnsiTheme="majorHAnsi" w:cstheme="majorHAnsi"/>
                <w:b/>
              </w:rPr>
            </w:pPr>
            <w:r w:rsidRPr="00544794">
              <w:rPr>
                <w:rFonts w:asciiTheme="majorHAnsi" w:hAnsiTheme="majorHAnsi" w:cstheme="majorHAnsi"/>
                <w:b/>
              </w:rPr>
              <w:t>5. Overview of Evaluation Plan</w:t>
            </w:r>
          </w:p>
          <w:p w14:paraId="7AFDEB49" w14:textId="77777777" w:rsidR="00E303C6" w:rsidRDefault="00544794">
            <w:pPr>
              <w:rPr>
                <w:rFonts w:asciiTheme="majorHAnsi" w:hAnsiTheme="majorHAnsi" w:cstheme="majorHAnsi"/>
              </w:rPr>
            </w:pPr>
            <w:r>
              <w:rPr>
                <w:rFonts w:asciiTheme="majorHAnsi" w:hAnsiTheme="majorHAnsi" w:cstheme="majorHAnsi"/>
              </w:rPr>
              <w:t xml:space="preserve">The evaluation plan has been developed to focus on process and outcome evaluation of the youth strategy 2017-2021. This will be achieved by asking three overarching questions: </w:t>
            </w:r>
          </w:p>
          <w:p w14:paraId="7A3836C4" w14:textId="77777777" w:rsidR="00E303C6" w:rsidRPr="00E303C6" w:rsidRDefault="00E303C6" w:rsidP="00E303C6">
            <w:pPr>
              <w:pStyle w:val="ListParagraph"/>
              <w:numPr>
                <w:ilvl w:val="0"/>
                <w:numId w:val="6"/>
              </w:numPr>
              <w:rPr>
                <w:rFonts w:asciiTheme="majorHAnsi" w:hAnsiTheme="majorHAnsi" w:cstheme="majorHAnsi"/>
              </w:rPr>
            </w:pPr>
            <w:r w:rsidRPr="00E303C6">
              <w:rPr>
                <w:rFonts w:asciiTheme="majorHAnsi" w:hAnsiTheme="majorHAnsi" w:cstheme="majorHAnsi"/>
              </w:rPr>
              <w:t>W</w:t>
            </w:r>
            <w:r w:rsidR="00544794" w:rsidRPr="00E303C6">
              <w:rPr>
                <w:rFonts w:asciiTheme="majorHAnsi" w:hAnsiTheme="majorHAnsi" w:cstheme="majorHAnsi"/>
              </w:rPr>
              <w:t xml:space="preserve">hat did we do? </w:t>
            </w:r>
          </w:p>
          <w:p w14:paraId="599A0918" w14:textId="77777777" w:rsidR="00E303C6" w:rsidRPr="00E303C6" w:rsidRDefault="00544794" w:rsidP="00E303C6">
            <w:pPr>
              <w:pStyle w:val="ListParagraph"/>
              <w:numPr>
                <w:ilvl w:val="0"/>
                <w:numId w:val="6"/>
              </w:numPr>
              <w:rPr>
                <w:rFonts w:asciiTheme="majorHAnsi" w:hAnsiTheme="majorHAnsi" w:cstheme="majorHAnsi"/>
              </w:rPr>
            </w:pPr>
            <w:r w:rsidRPr="00E303C6">
              <w:rPr>
                <w:rFonts w:asciiTheme="majorHAnsi" w:hAnsiTheme="majorHAnsi" w:cstheme="majorHAnsi"/>
              </w:rPr>
              <w:t xml:space="preserve">How well did we do it? </w:t>
            </w:r>
          </w:p>
          <w:p w14:paraId="055BBC5B" w14:textId="77777777" w:rsidR="00544794" w:rsidRPr="00E303C6" w:rsidRDefault="00544794" w:rsidP="00E303C6">
            <w:pPr>
              <w:pStyle w:val="ListParagraph"/>
              <w:numPr>
                <w:ilvl w:val="0"/>
                <w:numId w:val="6"/>
              </w:numPr>
              <w:rPr>
                <w:rFonts w:asciiTheme="majorHAnsi" w:hAnsiTheme="majorHAnsi" w:cstheme="majorHAnsi"/>
              </w:rPr>
            </w:pPr>
            <w:r w:rsidRPr="00E303C6">
              <w:rPr>
                <w:rFonts w:asciiTheme="majorHAnsi" w:hAnsiTheme="majorHAnsi" w:cstheme="majorHAnsi"/>
              </w:rPr>
              <w:t>And what change did we produce?</w:t>
            </w:r>
          </w:p>
          <w:p w14:paraId="2B55B259" w14:textId="77777777" w:rsidR="00BE7B7B" w:rsidRDefault="00544794">
            <w:pPr>
              <w:rPr>
                <w:rFonts w:asciiTheme="majorHAnsi" w:hAnsiTheme="majorHAnsi" w:cstheme="majorHAnsi"/>
              </w:rPr>
            </w:pPr>
            <w:r>
              <w:rPr>
                <w:rFonts w:asciiTheme="majorHAnsi" w:hAnsiTheme="majorHAnsi" w:cstheme="majorHAnsi"/>
              </w:rPr>
              <w:t xml:space="preserve">Monitoring of all actions, which assess the process evaluation, has already commenced and is reported in progress reports. </w:t>
            </w:r>
            <w:r w:rsidR="00BE7B7B">
              <w:rPr>
                <w:rFonts w:asciiTheme="majorHAnsi" w:hAnsiTheme="majorHAnsi" w:cstheme="majorHAnsi"/>
              </w:rPr>
              <w:t xml:space="preserve">Outcome evaluation </w:t>
            </w:r>
            <w:r w:rsidR="00987541">
              <w:rPr>
                <w:rFonts w:asciiTheme="majorHAnsi" w:hAnsiTheme="majorHAnsi" w:cstheme="majorHAnsi"/>
              </w:rPr>
              <w:t>will assess the overall change produced by the implementation of the strategy, methods used to gather this data include stakeholder survey, stakeholder focus groups, YO Bendigo records, and where appropriate official datasets. The key indicators to be measured in this evaluation process are aligned to each of the seven goals listed above. The indicators are:</w:t>
            </w:r>
          </w:p>
          <w:p w14:paraId="11A7B828"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Young people having a say</w:t>
            </w:r>
          </w:p>
          <w:p w14:paraId="6A50965E"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Awareness and acceptance of young people’s contribution</w:t>
            </w:r>
          </w:p>
          <w:p w14:paraId="30A58B10"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Opportunities to develop new skills</w:t>
            </w:r>
          </w:p>
          <w:p w14:paraId="59D4A267"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Collaboration</w:t>
            </w:r>
          </w:p>
          <w:p w14:paraId="4D672F18"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Youth employment opportunities and pathways</w:t>
            </w:r>
          </w:p>
          <w:p w14:paraId="0A869838"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Accessibility and inclusiveness of events/activities</w:t>
            </w:r>
          </w:p>
          <w:p w14:paraId="688A506B"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Partnerships and networks</w:t>
            </w:r>
          </w:p>
          <w:p w14:paraId="1D3BFBEE" w14:textId="77777777" w:rsidR="00987541" w:rsidRPr="00E303C6" w:rsidRDefault="00987541" w:rsidP="00E303C6">
            <w:pPr>
              <w:pStyle w:val="ListParagraph"/>
              <w:numPr>
                <w:ilvl w:val="0"/>
                <w:numId w:val="6"/>
              </w:numPr>
              <w:rPr>
                <w:rFonts w:asciiTheme="majorHAnsi" w:hAnsiTheme="majorHAnsi" w:cstheme="majorHAnsi"/>
              </w:rPr>
            </w:pPr>
            <w:r w:rsidRPr="00E303C6">
              <w:rPr>
                <w:rFonts w:asciiTheme="majorHAnsi" w:hAnsiTheme="majorHAnsi" w:cstheme="majorHAnsi"/>
              </w:rPr>
              <w:t>Advocacy</w:t>
            </w:r>
          </w:p>
          <w:p w14:paraId="213C91E2" w14:textId="77777777" w:rsidR="00E303C6" w:rsidRDefault="00987541" w:rsidP="00E303C6">
            <w:pPr>
              <w:pStyle w:val="ListParagraph"/>
              <w:numPr>
                <w:ilvl w:val="0"/>
                <w:numId w:val="9"/>
              </w:numPr>
              <w:rPr>
                <w:rFonts w:asciiTheme="majorHAnsi" w:hAnsiTheme="majorHAnsi" w:cstheme="majorHAnsi"/>
              </w:rPr>
            </w:pPr>
            <w:r w:rsidRPr="00E303C6">
              <w:rPr>
                <w:rFonts w:asciiTheme="majorHAnsi" w:hAnsiTheme="majorHAnsi" w:cstheme="majorHAnsi"/>
              </w:rPr>
              <w:t>Perceptions of safety and belonging</w:t>
            </w:r>
          </w:p>
          <w:p w14:paraId="2BB55C53" w14:textId="77777777" w:rsidR="00987541" w:rsidRPr="00E303C6" w:rsidRDefault="00987541" w:rsidP="00E303C6">
            <w:pPr>
              <w:rPr>
                <w:rFonts w:asciiTheme="majorHAnsi" w:hAnsiTheme="majorHAnsi" w:cstheme="majorHAnsi"/>
              </w:rPr>
            </w:pPr>
            <w:r w:rsidRPr="00E303C6">
              <w:rPr>
                <w:rFonts w:asciiTheme="majorHAnsi" w:hAnsiTheme="majorHAnsi" w:cstheme="majorHAnsi"/>
              </w:rPr>
              <w:t xml:space="preserve"> </w:t>
            </w:r>
          </w:p>
          <w:p w14:paraId="67A3B218" w14:textId="77777777" w:rsidR="00E303C6" w:rsidRDefault="00E303C6" w:rsidP="00E303C6">
            <w:pPr>
              <w:rPr>
                <w:rFonts w:asciiTheme="majorHAnsi" w:hAnsiTheme="majorHAnsi" w:cstheme="majorHAnsi"/>
              </w:rPr>
            </w:pPr>
            <w:r>
              <w:rPr>
                <w:rFonts w:asciiTheme="majorHAnsi" w:hAnsiTheme="majorHAnsi" w:cstheme="majorHAnsi"/>
              </w:rPr>
              <w:t>Question 1: What did we do? Identifies the outputs of implementing the youth strategy</w:t>
            </w:r>
          </w:p>
          <w:p w14:paraId="0DF429AC" w14:textId="77777777" w:rsidR="00E303C6" w:rsidRDefault="00E303C6" w:rsidP="00E303C6">
            <w:pPr>
              <w:rPr>
                <w:rFonts w:asciiTheme="majorHAnsi" w:hAnsiTheme="majorHAnsi" w:cstheme="majorHAnsi"/>
              </w:rPr>
            </w:pPr>
            <w:r>
              <w:rPr>
                <w:rFonts w:asciiTheme="majorHAnsi" w:hAnsiTheme="majorHAnsi" w:cstheme="majorHAnsi"/>
              </w:rPr>
              <w:t>Tools used to gather the necessary information: Youth strategy progress reports, attendance and participation records for events, activities, programs etc., attendance records of stakeholder meetings, program steering committee meetings etc.</w:t>
            </w:r>
          </w:p>
          <w:p w14:paraId="6AEF74FD" w14:textId="77777777" w:rsidR="00E303C6" w:rsidRDefault="00E303C6" w:rsidP="00E303C6">
            <w:pPr>
              <w:rPr>
                <w:rFonts w:asciiTheme="majorHAnsi" w:hAnsiTheme="majorHAnsi" w:cstheme="majorHAnsi"/>
              </w:rPr>
            </w:pPr>
          </w:p>
          <w:p w14:paraId="7F67EF04" w14:textId="77777777" w:rsidR="00E303C6" w:rsidRDefault="00E303C6" w:rsidP="00E303C6">
            <w:pPr>
              <w:rPr>
                <w:rFonts w:asciiTheme="majorHAnsi" w:hAnsiTheme="majorHAnsi" w:cstheme="majorHAnsi"/>
              </w:rPr>
            </w:pPr>
            <w:r>
              <w:rPr>
                <w:rFonts w:asciiTheme="majorHAnsi" w:hAnsiTheme="majorHAnsi" w:cstheme="majorHAnsi"/>
              </w:rPr>
              <w:t>Question 2: How well did we do it? Assess the quality of outputs when implementing the youth strategy.</w:t>
            </w:r>
          </w:p>
          <w:p w14:paraId="514955E0" w14:textId="77777777" w:rsidR="00E303C6" w:rsidRDefault="00E303C6" w:rsidP="00E303C6">
            <w:pPr>
              <w:rPr>
                <w:rFonts w:asciiTheme="majorHAnsi" w:hAnsiTheme="majorHAnsi" w:cstheme="majorHAnsi"/>
              </w:rPr>
            </w:pPr>
            <w:r>
              <w:rPr>
                <w:rFonts w:asciiTheme="majorHAnsi" w:hAnsiTheme="majorHAnsi" w:cstheme="majorHAnsi"/>
              </w:rPr>
              <w:t>Data required to answer this question: measure stakeholder perceptions of the quality of implementation, stakeholder expectations/satisfaction, stakeholder perceptions of appropriateness of strategy, and perceptions of what work/didn’t work</w:t>
            </w:r>
          </w:p>
          <w:p w14:paraId="05706219" w14:textId="77777777" w:rsidR="00E303C6" w:rsidRDefault="00E303C6" w:rsidP="00E303C6">
            <w:pPr>
              <w:rPr>
                <w:rFonts w:asciiTheme="majorHAnsi" w:hAnsiTheme="majorHAnsi" w:cstheme="majorHAnsi"/>
              </w:rPr>
            </w:pPr>
            <w:r>
              <w:rPr>
                <w:rFonts w:asciiTheme="majorHAnsi" w:hAnsiTheme="majorHAnsi" w:cstheme="majorHAnsi"/>
              </w:rPr>
              <w:t>Tools used to gather this information: stakeholder survey, supported with additional small focus groups with agency representatives, partners, young people, and Youth Councillors</w:t>
            </w:r>
          </w:p>
          <w:p w14:paraId="437005E4" w14:textId="77777777" w:rsidR="00E303C6" w:rsidRDefault="00E303C6" w:rsidP="00E303C6">
            <w:pPr>
              <w:rPr>
                <w:rFonts w:asciiTheme="majorHAnsi" w:hAnsiTheme="majorHAnsi" w:cstheme="majorHAnsi"/>
              </w:rPr>
            </w:pPr>
          </w:p>
          <w:p w14:paraId="3B9EC722" w14:textId="77777777" w:rsidR="00E303C6" w:rsidRDefault="00E303C6" w:rsidP="00E303C6">
            <w:pPr>
              <w:rPr>
                <w:rFonts w:asciiTheme="majorHAnsi" w:hAnsiTheme="majorHAnsi" w:cstheme="majorHAnsi"/>
              </w:rPr>
            </w:pPr>
            <w:r>
              <w:rPr>
                <w:rFonts w:asciiTheme="majorHAnsi" w:hAnsiTheme="majorHAnsi" w:cstheme="majorHAnsi"/>
              </w:rPr>
              <w:t>Question 3: What change did we produce? Assess if we achieved the goals of the Youth Strategy</w:t>
            </w:r>
          </w:p>
          <w:p w14:paraId="554A2BE2" w14:textId="77777777" w:rsidR="00E303C6" w:rsidRDefault="007D19FB" w:rsidP="00E303C6">
            <w:pPr>
              <w:rPr>
                <w:rFonts w:asciiTheme="majorHAnsi" w:hAnsiTheme="majorHAnsi" w:cstheme="majorHAnsi"/>
              </w:rPr>
            </w:pPr>
            <w:r>
              <w:rPr>
                <w:rFonts w:asciiTheme="majorHAnsi" w:hAnsiTheme="majorHAnsi" w:cstheme="majorHAnsi"/>
              </w:rPr>
              <w:t xml:space="preserve">Evidence required: the outcomes of the Youth Strategy will be assessed by identifying key indicators for each of the strategy’s seven goals as listed above. </w:t>
            </w:r>
          </w:p>
          <w:p w14:paraId="19825059" w14:textId="77777777" w:rsidR="007D19FB" w:rsidRPr="00E303C6" w:rsidRDefault="007D19FB" w:rsidP="00E303C6">
            <w:pPr>
              <w:rPr>
                <w:rFonts w:asciiTheme="majorHAnsi" w:hAnsiTheme="majorHAnsi" w:cstheme="majorHAnsi"/>
              </w:rPr>
            </w:pPr>
            <w:r>
              <w:rPr>
                <w:rFonts w:asciiTheme="majorHAnsi" w:hAnsiTheme="majorHAnsi" w:cstheme="majorHAnsi"/>
              </w:rPr>
              <w:t>Tools used to gather this information: stakeholder survey, supported with additional small focus groups with agency representatives, partners, young people, and Youth Councillors</w:t>
            </w:r>
          </w:p>
        </w:tc>
      </w:tr>
      <w:tr w:rsidR="00C657FF" w:rsidRPr="00C657FF" w14:paraId="0C0E37FC" w14:textId="77777777" w:rsidTr="00936F2A">
        <w:tc>
          <w:tcPr>
            <w:tcW w:w="10343" w:type="dxa"/>
          </w:tcPr>
          <w:p w14:paraId="41F556B8" w14:textId="77777777" w:rsidR="00544794" w:rsidRPr="00544794" w:rsidRDefault="00544794" w:rsidP="00544794">
            <w:pPr>
              <w:rPr>
                <w:rFonts w:asciiTheme="majorHAnsi" w:hAnsiTheme="majorHAnsi" w:cstheme="majorHAnsi"/>
                <w:b/>
              </w:rPr>
            </w:pPr>
            <w:r>
              <w:rPr>
                <w:rFonts w:asciiTheme="majorHAnsi" w:hAnsiTheme="majorHAnsi" w:cstheme="majorHAnsi"/>
                <w:b/>
              </w:rPr>
              <w:t>6</w:t>
            </w:r>
            <w:r w:rsidRPr="00544794">
              <w:rPr>
                <w:rFonts w:asciiTheme="majorHAnsi" w:hAnsiTheme="majorHAnsi" w:cstheme="majorHAnsi"/>
                <w:b/>
              </w:rPr>
              <w:t>. Survey findings</w:t>
            </w:r>
          </w:p>
          <w:p w14:paraId="7C0CA476" w14:textId="77777777" w:rsidR="00C657FF" w:rsidRPr="00C657FF" w:rsidRDefault="00544794" w:rsidP="00544794">
            <w:pPr>
              <w:rPr>
                <w:rFonts w:asciiTheme="majorHAnsi" w:hAnsiTheme="majorHAnsi" w:cstheme="majorHAnsi"/>
              </w:rPr>
            </w:pPr>
            <w:r>
              <w:rPr>
                <w:rFonts w:asciiTheme="majorHAnsi" w:hAnsiTheme="majorHAnsi" w:cstheme="majorHAnsi"/>
              </w:rPr>
              <w:t>TBC</w:t>
            </w:r>
          </w:p>
        </w:tc>
      </w:tr>
      <w:tr w:rsidR="00BD3C81" w:rsidRPr="00C657FF" w14:paraId="0612BDD5" w14:textId="77777777" w:rsidTr="00936F2A">
        <w:tc>
          <w:tcPr>
            <w:tcW w:w="10343" w:type="dxa"/>
          </w:tcPr>
          <w:p w14:paraId="0452A0C3" w14:textId="77777777" w:rsidR="00BD3C81" w:rsidRDefault="00BD3C81" w:rsidP="00544794">
            <w:pPr>
              <w:rPr>
                <w:rFonts w:asciiTheme="majorHAnsi" w:hAnsiTheme="majorHAnsi" w:cstheme="majorHAnsi"/>
              </w:rPr>
            </w:pPr>
            <w:r>
              <w:rPr>
                <w:rFonts w:asciiTheme="majorHAnsi" w:hAnsiTheme="majorHAnsi" w:cstheme="majorHAnsi"/>
                <w:b/>
              </w:rPr>
              <w:t>7: Focus groups</w:t>
            </w:r>
          </w:p>
          <w:p w14:paraId="110AB940" w14:textId="66D4106D" w:rsidR="00BD3C81" w:rsidRDefault="00A3137B" w:rsidP="00544794">
            <w:pPr>
              <w:rPr>
                <w:rFonts w:asciiTheme="majorHAnsi" w:hAnsiTheme="majorHAnsi" w:cstheme="majorHAnsi"/>
              </w:rPr>
            </w:pPr>
            <w:r>
              <w:rPr>
                <w:rFonts w:asciiTheme="majorHAnsi" w:hAnsiTheme="majorHAnsi" w:cstheme="majorHAnsi"/>
              </w:rPr>
              <w:t>Existing</w:t>
            </w:r>
            <w:r w:rsidR="003151FC">
              <w:rPr>
                <w:rFonts w:asciiTheme="majorHAnsi" w:hAnsiTheme="majorHAnsi" w:cstheme="majorHAnsi"/>
              </w:rPr>
              <w:t xml:space="preserve"> internal</w:t>
            </w:r>
            <w:r>
              <w:rPr>
                <w:rFonts w:asciiTheme="majorHAnsi" w:hAnsiTheme="majorHAnsi" w:cstheme="majorHAnsi"/>
              </w:rPr>
              <w:t xml:space="preserve"> stakeholder groups</w:t>
            </w:r>
          </w:p>
          <w:p w14:paraId="12E3E561" w14:textId="77777777" w:rsidR="00A3137B" w:rsidRDefault="00A3137B" w:rsidP="00A3137B">
            <w:pPr>
              <w:pStyle w:val="ListParagraph"/>
              <w:numPr>
                <w:ilvl w:val="0"/>
                <w:numId w:val="9"/>
              </w:numPr>
              <w:rPr>
                <w:rFonts w:asciiTheme="majorHAnsi" w:hAnsiTheme="majorHAnsi" w:cstheme="majorHAnsi"/>
              </w:rPr>
            </w:pPr>
            <w:r>
              <w:rPr>
                <w:rFonts w:asciiTheme="majorHAnsi" w:hAnsiTheme="majorHAnsi" w:cstheme="majorHAnsi"/>
              </w:rPr>
              <w:t>YO Media Team (Ambedo)</w:t>
            </w:r>
          </w:p>
          <w:p w14:paraId="3CE01F3A" w14:textId="77777777" w:rsidR="00A3137B" w:rsidRDefault="00A3137B" w:rsidP="00A3137B">
            <w:pPr>
              <w:pStyle w:val="ListParagraph"/>
              <w:numPr>
                <w:ilvl w:val="0"/>
                <w:numId w:val="9"/>
              </w:numPr>
              <w:rPr>
                <w:rFonts w:asciiTheme="majorHAnsi" w:hAnsiTheme="majorHAnsi" w:cstheme="majorHAnsi"/>
              </w:rPr>
            </w:pPr>
            <w:r>
              <w:rPr>
                <w:rFonts w:asciiTheme="majorHAnsi" w:hAnsiTheme="majorHAnsi" w:cstheme="majorHAnsi"/>
              </w:rPr>
              <w:t>YO Events Team (</w:t>
            </w:r>
            <w:proofErr w:type="spellStart"/>
            <w:r>
              <w:rPr>
                <w:rFonts w:asciiTheme="majorHAnsi" w:hAnsiTheme="majorHAnsi" w:cstheme="majorHAnsi"/>
              </w:rPr>
              <w:t>FReeZa</w:t>
            </w:r>
            <w:proofErr w:type="spellEnd"/>
            <w:r>
              <w:rPr>
                <w:rFonts w:asciiTheme="majorHAnsi" w:hAnsiTheme="majorHAnsi" w:cstheme="majorHAnsi"/>
              </w:rPr>
              <w:t>)</w:t>
            </w:r>
          </w:p>
          <w:p w14:paraId="63C7FB6B" w14:textId="77777777" w:rsidR="00A3137B" w:rsidRDefault="00A3137B" w:rsidP="00A3137B">
            <w:pPr>
              <w:pStyle w:val="ListParagraph"/>
              <w:numPr>
                <w:ilvl w:val="0"/>
                <w:numId w:val="9"/>
              </w:numPr>
              <w:rPr>
                <w:rFonts w:asciiTheme="majorHAnsi" w:hAnsiTheme="majorHAnsi" w:cstheme="majorHAnsi"/>
              </w:rPr>
            </w:pPr>
            <w:r>
              <w:rPr>
                <w:rFonts w:asciiTheme="majorHAnsi" w:hAnsiTheme="majorHAnsi" w:cstheme="majorHAnsi"/>
              </w:rPr>
              <w:t>Youth Councillors</w:t>
            </w:r>
          </w:p>
          <w:p w14:paraId="15CDBC58" w14:textId="77777777" w:rsidR="00A3137B" w:rsidRDefault="003151FC" w:rsidP="00A3137B">
            <w:pPr>
              <w:rPr>
                <w:rFonts w:asciiTheme="majorHAnsi" w:hAnsiTheme="majorHAnsi" w:cstheme="majorHAnsi"/>
              </w:rPr>
            </w:pPr>
            <w:r>
              <w:rPr>
                <w:rFonts w:asciiTheme="majorHAnsi" w:hAnsiTheme="majorHAnsi" w:cstheme="majorHAnsi"/>
              </w:rPr>
              <w:t>Existing external stakeholder groups</w:t>
            </w:r>
          </w:p>
          <w:p w14:paraId="019BCC33" w14:textId="77777777" w:rsidR="003151FC" w:rsidRDefault="006178DA" w:rsidP="003151FC">
            <w:pPr>
              <w:pStyle w:val="ListParagraph"/>
              <w:numPr>
                <w:ilvl w:val="0"/>
                <w:numId w:val="9"/>
              </w:numPr>
              <w:rPr>
                <w:rFonts w:asciiTheme="majorHAnsi" w:hAnsiTheme="majorHAnsi" w:cstheme="majorHAnsi"/>
              </w:rPr>
            </w:pPr>
            <w:r>
              <w:rPr>
                <w:rFonts w:asciiTheme="majorHAnsi" w:hAnsiTheme="majorHAnsi" w:cstheme="majorHAnsi"/>
              </w:rPr>
              <w:t>Access EPIC group</w:t>
            </w:r>
          </w:p>
          <w:p w14:paraId="69D6FC1E" w14:textId="77777777" w:rsidR="006178DA" w:rsidRDefault="006178DA" w:rsidP="003151FC">
            <w:pPr>
              <w:pStyle w:val="ListParagraph"/>
              <w:numPr>
                <w:ilvl w:val="0"/>
                <w:numId w:val="9"/>
              </w:numPr>
              <w:rPr>
                <w:rFonts w:asciiTheme="majorHAnsi" w:hAnsiTheme="majorHAnsi" w:cstheme="majorHAnsi"/>
              </w:rPr>
            </w:pPr>
            <w:r>
              <w:rPr>
                <w:rFonts w:asciiTheme="majorHAnsi" w:hAnsiTheme="majorHAnsi" w:cstheme="majorHAnsi"/>
              </w:rPr>
              <w:t>Headspace reference group</w:t>
            </w:r>
          </w:p>
          <w:p w14:paraId="58C11CC7" w14:textId="77777777" w:rsidR="006178DA" w:rsidRDefault="006178DA" w:rsidP="006178DA">
            <w:pPr>
              <w:rPr>
                <w:rFonts w:asciiTheme="majorHAnsi" w:hAnsiTheme="majorHAnsi" w:cstheme="majorHAnsi"/>
              </w:rPr>
            </w:pPr>
          </w:p>
          <w:p w14:paraId="369F8294" w14:textId="7678BBD0" w:rsidR="006178DA" w:rsidRDefault="00DE5CD4" w:rsidP="006178DA">
            <w:pPr>
              <w:rPr>
                <w:rFonts w:asciiTheme="majorHAnsi" w:hAnsiTheme="majorHAnsi" w:cstheme="majorHAnsi"/>
              </w:rPr>
            </w:pPr>
            <w:r>
              <w:rPr>
                <w:rFonts w:asciiTheme="majorHAnsi" w:hAnsiTheme="majorHAnsi" w:cstheme="majorHAnsi"/>
              </w:rPr>
              <w:t>Potential focus</w:t>
            </w:r>
            <w:r w:rsidR="006178DA">
              <w:rPr>
                <w:rFonts w:asciiTheme="majorHAnsi" w:hAnsiTheme="majorHAnsi" w:cstheme="majorHAnsi"/>
              </w:rPr>
              <w:t xml:space="preserve"> group questions</w:t>
            </w:r>
          </w:p>
          <w:p w14:paraId="04387CA7" w14:textId="7D5FB1C2" w:rsidR="006178DA" w:rsidRPr="006178DA" w:rsidRDefault="006178DA" w:rsidP="006178DA">
            <w:pPr>
              <w:pStyle w:val="ListParagraph"/>
              <w:numPr>
                <w:ilvl w:val="0"/>
                <w:numId w:val="9"/>
              </w:numPr>
              <w:rPr>
                <w:rFonts w:asciiTheme="majorHAnsi" w:hAnsiTheme="majorHAnsi" w:cstheme="majorHAnsi"/>
              </w:rPr>
            </w:pPr>
          </w:p>
        </w:tc>
      </w:tr>
    </w:tbl>
    <w:p w14:paraId="53924DC1" w14:textId="77777777" w:rsidR="00C657FF" w:rsidRPr="00C657FF" w:rsidRDefault="00C657FF">
      <w:pPr>
        <w:rPr>
          <w:rFonts w:asciiTheme="majorHAnsi" w:hAnsiTheme="majorHAnsi" w:cstheme="majorHAnsi"/>
        </w:rPr>
      </w:pPr>
    </w:p>
    <w:sectPr w:rsidR="00C657FF" w:rsidRPr="00C657FF" w:rsidSect="00936F2A">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E6636" w14:textId="77777777" w:rsidR="00CA0513" w:rsidRDefault="00CA0513" w:rsidP="00113F86">
      <w:pPr>
        <w:spacing w:after="0" w:line="240" w:lineRule="auto"/>
      </w:pPr>
      <w:r>
        <w:separator/>
      </w:r>
    </w:p>
  </w:endnote>
  <w:endnote w:type="continuationSeparator" w:id="0">
    <w:p w14:paraId="7FA00381" w14:textId="77777777" w:rsidR="00CA0513" w:rsidRDefault="00CA0513" w:rsidP="0011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E7C9" w14:textId="77777777" w:rsidR="00113F86" w:rsidRDefault="00113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5523E" w14:textId="77777777" w:rsidR="00113F86" w:rsidRDefault="00113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7A4B" w14:textId="77777777" w:rsidR="00113F86" w:rsidRDefault="0011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C46DE" w14:textId="77777777" w:rsidR="00CA0513" w:rsidRDefault="00CA0513" w:rsidP="00113F86">
      <w:pPr>
        <w:spacing w:after="0" w:line="240" w:lineRule="auto"/>
      </w:pPr>
      <w:r>
        <w:separator/>
      </w:r>
    </w:p>
  </w:footnote>
  <w:footnote w:type="continuationSeparator" w:id="0">
    <w:p w14:paraId="5A016932" w14:textId="77777777" w:rsidR="00CA0513" w:rsidRDefault="00CA0513" w:rsidP="0011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7F258" w14:textId="77777777" w:rsidR="00113F86" w:rsidRDefault="00113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869146"/>
      <w:docPartObj>
        <w:docPartGallery w:val="Watermarks"/>
        <w:docPartUnique/>
      </w:docPartObj>
    </w:sdtPr>
    <w:sdtEndPr/>
    <w:sdtContent>
      <w:p w14:paraId="7AE2D00C" w14:textId="4FFA3012" w:rsidR="00113F86" w:rsidRDefault="00CA0513">
        <w:pPr>
          <w:pStyle w:val="Header"/>
        </w:pPr>
        <w:r>
          <w:rPr>
            <w:noProof/>
          </w:rPr>
          <w:pict w14:anchorId="675B59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5568" w14:textId="77777777" w:rsidR="00113F86" w:rsidRDefault="00113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264F"/>
    <w:multiLevelType w:val="hybridMultilevel"/>
    <w:tmpl w:val="DEBEA458"/>
    <w:lvl w:ilvl="0" w:tplc="4CDA9B3C">
      <w:start w:val="4"/>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DC0E1D"/>
    <w:multiLevelType w:val="hybridMultilevel"/>
    <w:tmpl w:val="9B2C5CEA"/>
    <w:lvl w:ilvl="0" w:tplc="5FBAE270">
      <w:start w:val="5"/>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E86C03"/>
    <w:multiLevelType w:val="hybridMultilevel"/>
    <w:tmpl w:val="28FA453A"/>
    <w:lvl w:ilvl="0" w:tplc="3760C59A">
      <w:start w:val="5"/>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159E0"/>
    <w:multiLevelType w:val="hybridMultilevel"/>
    <w:tmpl w:val="E48444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447195"/>
    <w:multiLevelType w:val="hybridMultilevel"/>
    <w:tmpl w:val="88E06DC0"/>
    <w:lvl w:ilvl="0" w:tplc="3760C59A">
      <w:start w:val="5"/>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A26BE6"/>
    <w:multiLevelType w:val="hybridMultilevel"/>
    <w:tmpl w:val="51F6A180"/>
    <w:lvl w:ilvl="0" w:tplc="CC36D5C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7360F5"/>
    <w:multiLevelType w:val="hybridMultilevel"/>
    <w:tmpl w:val="BCE42B0C"/>
    <w:lvl w:ilvl="0" w:tplc="3760C59A">
      <w:start w:val="5"/>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C44F97"/>
    <w:multiLevelType w:val="hybridMultilevel"/>
    <w:tmpl w:val="DE26F0F2"/>
    <w:lvl w:ilvl="0" w:tplc="985EEC0A">
      <w:start w:val="5"/>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6717C1"/>
    <w:multiLevelType w:val="hybridMultilevel"/>
    <w:tmpl w:val="24A07870"/>
    <w:lvl w:ilvl="0" w:tplc="CC36D5C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FF"/>
    <w:rsid w:val="00113F86"/>
    <w:rsid w:val="003151FC"/>
    <w:rsid w:val="003F5375"/>
    <w:rsid w:val="00412C2B"/>
    <w:rsid w:val="00544794"/>
    <w:rsid w:val="006178DA"/>
    <w:rsid w:val="007D19FB"/>
    <w:rsid w:val="007D31F2"/>
    <w:rsid w:val="00936F2A"/>
    <w:rsid w:val="00987541"/>
    <w:rsid w:val="00A3137B"/>
    <w:rsid w:val="00AD473D"/>
    <w:rsid w:val="00BD3C81"/>
    <w:rsid w:val="00BE7B7B"/>
    <w:rsid w:val="00C657FF"/>
    <w:rsid w:val="00CA0513"/>
    <w:rsid w:val="00CC4BD9"/>
    <w:rsid w:val="00DE5CD4"/>
    <w:rsid w:val="00E30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E671F0"/>
  <w15:chartTrackingRefBased/>
  <w15:docId w15:val="{6AA08821-2CB0-4F86-91B7-95A77527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7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7FF"/>
    <w:pPr>
      <w:ind w:left="720"/>
      <w:contextualSpacing/>
    </w:pPr>
  </w:style>
  <w:style w:type="paragraph" w:customStyle="1" w:styleId="paragraph">
    <w:name w:val="paragraph"/>
    <w:basedOn w:val="Normal"/>
    <w:rsid w:val="00C657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C657FF"/>
  </w:style>
  <w:style w:type="character" w:customStyle="1" w:styleId="eop">
    <w:name w:val="eop"/>
    <w:basedOn w:val="DefaultParagraphFont"/>
    <w:rsid w:val="00C657FF"/>
  </w:style>
  <w:style w:type="paragraph" w:styleId="Header">
    <w:name w:val="header"/>
    <w:basedOn w:val="Normal"/>
    <w:link w:val="HeaderChar"/>
    <w:uiPriority w:val="99"/>
    <w:unhideWhenUsed/>
    <w:rsid w:val="00113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F86"/>
  </w:style>
  <w:style w:type="paragraph" w:styleId="Footer">
    <w:name w:val="footer"/>
    <w:basedOn w:val="Normal"/>
    <w:link w:val="FooterChar"/>
    <w:uiPriority w:val="99"/>
    <w:unhideWhenUsed/>
    <w:rsid w:val="00113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532280">
      <w:bodyDiv w:val="1"/>
      <w:marLeft w:val="0"/>
      <w:marRight w:val="0"/>
      <w:marTop w:val="0"/>
      <w:marBottom w:val="0"/>
      <w:divBdr>
        <w:top w:val="none" w:sz="0" w:space="0" w:color="auto"/>
        <w:left w:val="none" w:sz="0" w:space="0" w:color="auto"/>
        <w:bottom w:val="none" w:sz="0" w:space="0" w:color="auto"/>
        <w:right w:val="none" w:sz="0" w:space="0" w:color="auto"/>
      </w:divBdr>
    </w:div>
    <w:div w:id="1230845771">
      <w:bodyDiv w:val="1"/>
      <w:marLeft w:val="0"/>
      <w:marRight w:val="0"/>
      <w:marTop w:val="0"/>
      <w:marBottom w:val="0"/>
      <w:divBdr>
        <w:top w:val="none" w:sz="0" w:space="0" w:color="auto"/>
        <w:left w:val="none" w:sz="0" w:space="0" w:color="auto"/>
        <w:bottom w:val="none" w:sz="0" w:space="0" w:color="auto"/>
        <w:right w:val="none" w:sz="0" w:space="0" w:color="auto"/>
      </w:divBdr>
      <w:divsChild>
        <w:div w:id="437219790">
          <w:marLeft w:val="0"/>
          <w:marRight w:val="0"/>
          <w:marTop w:val="0"/>
          <w:marBottom w:val="0"/>
          <w:divBdr>
            <w:top w:val="none" w:sz="0" w:space="0" w:color="auto"/>
            <w:left w:val="none" w:sz="0" w:space="0" w:color="auto"/>
            <w:bottom w:val="none" w:sz="0" w:space="0" w:color="auto"/>
            <w:right w:val="none" w:sz="0" w:space="0" w:color="auto"/>
          </w:divBdr>
        </w:div>
        <w:div w:id="54134154">
          <w:marLeft w:val="0"/>
          <w:marRight w:val="0"/>
          <w:marTop w:val="0"/>
          <w:marBottom w:val="0"/>
          <w:divBdr>
            <w:top w:val="none" w:sz="0" w:space="0" w:color="auto"/>
            <w:left w:val="none" w:sz="0" w:space="0" w:color="auto"/>
            <w:bottom w:val="none" w:sz="0" w:space="0" w:color="auto"/>
            <w:right w:val="none" w:sz="0" w:space="0" w:color="auto"/>
          </w:divBdr>
        </w:div>
        <w:div w:id="324935400">
          <w:marLeft w:val="0"/>
          <w:marRight w:val="0"/>
          <w:marTop w:val="0"/>
          <w:marBottom w:val="0"/>
          <w:divBdr>
            <w:top w:val="none" w:sz="0" w:space="0" w:color="auto"/>
            <w:left w:val="none" w:sz="0" w:space="0" w:color="auto"/>
            <w:bottom w:val="none" w:sz="0" w:space="0" w:color="auto"/>
            <w:right w:val="none" w:sz="0" w:space="0" w:color="auto"/>
          </w:divBdr>
        </w:div>
        <w:div w:id="1090932646">
          <w:marLeft w:val="0"/>
          <w:marRight w:val="0"/>
          <w:marTop w:val="0"/>
          <w:marBottom w:val="0"/>
          <w:divBdr>
            <w:top w:val="none" w:sz="0" w:space="0" w:color="auto"/>
            <w:left w:val="none" w:sz="0" w:space="0" w:color="auto"/>
            <w:bottom w:val="none" w:sz="0" w:space="0" w:color="auto"/>
            <w:right w:val="none" w:sz="0" w:space="0" w:color="auto"/>
          </w:divBdr>
        </w:div>
        <w:div w:id="1163667520">
          <w:marLeft w:val="0"/>
          <w:marRight w:val="0"/>
          <w:marTop w:val="0"/>
          <w:marBottom w:val="0"/>
          <w:divBdr>
            <w:top w:val="none" w:sz="0" w:space="0" w:color="auto"/>
            <w:left w:val="none" w:sz="0" w:space="0" w:color="auto"/>
            <w:bottom w:val="none" w:sz="0" w:space="0" w:color="auto"/>
            <w:right w:val="none" w:sz="0" w:space="0" w:color="auto"/>
          </w:divBdr>
        </w:div>
        <w:div w:id="1021198386">
          <w:marLeft w:val="0"/>
          <w:marRight w:val="0"/>
          <w:marTop w:val="0"/>
          <w:marBottom w:val="0"/>
          <w:divBdr>
            <w:top w:val="none" w:sz="0" w:space="0" w:color="auto"/>
            <w:left w:val="none" w:sz="0" w:space="0" w:color="auto"/>
            <w:bottom w:val="none" w:sz="0" w:space="0" w:color="auto"/>
            <w:right w:val="none" w:sz="0" w:space="0" w:color="auto"/>
          </w:divBdr>
        </w:div>
      </w:divsChild>
    </w:div>
    <w:div w:id="1505127112">
      <w:bodyDiv w:val="1"/>
      <w:marLeft w:val="0"/>
      <w:marRight w:val="0"/>
      <w:marTop w:val="0"/>
      <w:marBottom w:val="0"/>
      <w:divBdr>
        <w:top w:val="none" w:sz="0" w:space="0" w:color="auto"/>
        <w:left w:val="none" w:sz="0" w:space="0" w:color="auto"/>
        <w:bottom w:val="none" w:sz="0" w:space="0" w:color="auto"/>
        <w:right w:val="none" w:sz="0" w:space="0" w:color="auto"/>
      </w:divBdr>
      <w:divsChild>
        <w:div w:id="1673724169">
          <w:marLeft w:val="0"/>
          <w:marRight w:val="0"/>
          <w:marTop w:val="0"/>
          <w:marBottom w:val="0"/>
          <w:divBdr>
            <w:top w:val="none" w:sz="0" w:space="0" w:color="auto"/>
            <w:left w:val="none" w:sz="0" w:space="0" w:color="auto"/>
            <w:bottom w:val="none" w:sz="0" w:space="0" w:color="auto"/>
            <w:right w:val="none" w:sz="0" w:space="0" w:color="auto"/>
          </w:divBdr>
        </w:div>
        <w:div w:id="861935045">
          <w:marLeft w:val="0"/>
          <w:marRight w:val="0"/>
          <w:marTop w:val="0"/>
          <w:marBottom w:val="0"/>
          <w:divBdr>
            <w:top w:val="none" w:sz="0" w:space="0" w:color="auto"/>
            <w:left w:val="none" w:sz="0" w:space="0" w:color="auto"/>
            <w:bottom w:val="none" w:sz="0" w:space="0" w:color="auto"/>
            <w:right w:val="none" w:sz="0" w:space="0" w:color="auto"/>
          </w:divBdr>
        </w:div>
        <w:div w:id="753405704">
          <w:marLeft w:val="0"/>
          <w:marRight w:val="0"/>
          <w:marTop w:val="0"/>
          <w:marBottom w:val="0"/>
          <w:divBdr>
            <w:top w:val="none" w:sz="0" w:space="0" w:color="auto"/>
            <w:left w:val="none" w:sz="0" w:space="0" w:color="auto"/>
            <w:bottom w:val="none" w:sz="0" w:space="0" w:color="auto"/>
            <w:right w:val="none" w:sz="0" w:space="0" w:color="auto"/>
          </w:divBdr>
        </w:div>
        <w:div w:id="897740779">
          <w:marLeft w:val="0"/>
          <w:marRight w:val="0"/>
          <w:marTop w:val="0"/>
          <w:marBottom w:val="0"/>
          <w:divBdr>
            <w:top w:val="none" w:sz="0" w:space="0" w:color="auto"/>
            <w:left w:val="none" w:sz="0" w:space="0" w:color="auto"/>
            <w:bottom w:val="none" w:sz="0" w:space="0" w:color="auto"/>
            <w:right w:val="none" w:sz="0" w:space="0" w:color="auto"/>
          </w:divBdr>
        </w:div>
        <w:div w:id="1164512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5B4141573504EBBC6AA541379794F" ma:contentTypeVersion="13" ma:contentTypeDescription="Create a new document." ma:contentTypeScope="" ma:versionID="accbd471cd41142ca513934ec1a61dd8">
  <xsd:schema xmlns:xsd="http://www.w3.org/2001/XMLSchema" xmlns:xs="http://www.w3.org/2001/XMLSchema" xmlns:p="http://schemas.microsoft.com/office/2006/metadata/properties" xmlns:ns2="12ce0ff4-c599-4373-a25b-f449da78d040" xmlns:ns3="60c23291-e70d-4848-b4c0-959e8e2c8a70" targetNamespace="http://schemas.microsoft.com/office/2006/metadata/properties" ma:root="true" ma:fieldsID="c19bb6f2450417a99a00d76c690eee90" ns2:_="" ns3:_="">
    <xsd:import namespace="12ce0ff4-c599-4373-a25b-f449da78d040"/>
    <xsd:import namespace="60c23291-e70d-4848-b4c0-959e8e2c8a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e0ff4-c599-4373-a25b-f449da78d0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c23291-e70d-4848-b4c0-959e8e2c8a7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EEAB6-8145-4C24-BA6A-FA754071D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e0ff4-c599-4373-a25b-f449da78d040"/>
    <ds:schemaRef ds:uri="60c23291-e70d-4848-b4c0-959e8e2c8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F63754-B9E4-47AC-8D29-97B01EC7D161}">
  <ds:schemaRefs>
    <ds:schemaRef ds:uri="http://schemas.microsoft.com/sharepoint/v3/contenttype/forms"/>
  </ds:schemaRefs>
</ds:datastoreItem>
</file>

<file path=customXml/itemProps3.xml><?xml version="1.0" encoding="utf-8"?>
<ds:datastoreItem xmlns:ds="http://schemas.openxmlformats.org/officeDocument/2006/customXml" ds:itemID="{6E19E618-E722-47C6-A1C4-08B319A9B7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City of greater Bendigo</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Henley-Johnstone</dc:creator>
  <cp:keywords/>
  <dc:description/>
  <cp:lastModifiedBy>Jade Bujeya</cp:lastModifiedBy>
  <cp:revision>2</cp:revision>
  <dcterms:created xsi:type="dcterms:W3CDTF">2021-07-12T03:30:00Z</dcterms:created>
  <dcterms:modified xsi:type="dcterms:W3CDTF">2021-07-12T03:30:00Z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0x010100AE75B4141573504EBBC6AA541379794F</vt:lpwstr>
  </property>
</Properties>
</file>