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2E5C8A"/>
          <w:sz w:val="24"/>
          <w:szCs w:val="24"/>
        </w:rPr>
        <w:t xml:space="preserve">COMPLIANCE ASSESSMENT REPORT</w:t>
      </w:r>
    </w:p>
    <w:p>
      <w:pPr>
        <w:spacing w:after="200" w:before="200"/>
        <w:jc w:val="center"/>
      </w:pPr>
      <w:r>
        <w:rPr>
          <w:rFonts w:ascii="Calibri" w:cs="Calibri" w:eastAsia="Calibri" w:hAnsi="Calibri"/>
          <w:b/>
          <w:bCs/>
          <w:color w:val="1F3864"/>
          <w:sz w:val="44"/>
          <w:szCs w:val="44"/>
        </w:rPr>
        <w:t xml:space="preserve">GDPR &amp; UK Data Protection Act 2018</w:t>
      </w:r>
    </w:p>
    <w:p>
      <w:pPr>
        <w:spacing w:after="900"/>
        <w:jc w:val="center"/>
      </w:pPr>
      <w:r>
        <w:rPr>
          <w:rFonts w:ascii="Calibri" w:cs="Calibri" w:eastAsia="Calibri" w:hAnsi="Calibri"/>
          <w:i/>
          <w:iCs/>
          <w:color w:val="444444"/>
          <w:sz w:val="24"/>
          <w:szCs w:val="24"/>
        </w:rPr>
        <w:t xml:space="preserve">Technical Compliance Assessment of a Simulated Web Application</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Author</w:t>
            </w:r>
          </w:p>
        </w:tc>
        <w:tc>
          <w:tcPr>
            <w:tcW w:type="dxa" w:w="40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Jaden Julius Mascarenhas</w:t>
            </w:r>
          </w:p>
        </w:tc>
      </w:tr>
      <w:tr>
        <w:tc>
          <w:tcPr>
            <w:tcW w:type="dxa" w:w="22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Role</w:t>
            </w:r>
          </w:p>
        </w:tc>
        <w:tc>
          <w:tcPr>
            <w:tcW w:type="dxa" w:w="40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Cybersecurity Analyst (SOC / IR · GRC)</w:t>
            </w:r>
          </w:p>
        </w:tc>
      </w:tr>
      <w:tr>
        <w:tc>
          <w:tcPr>
            <w:tcW w:type="dxa" w:w="22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Date</w:t>
            </w:r>
          </w:p>
        </w:tc>
        <w:tc>
          <w:tcPr>
            <w:tcW w:type="dxa" w:w="40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12 August 2026</w:t>
            </w:r>
          </w:p>
        </w:tc>
      </w:tr>
      <w:tr>
        <w:tc>
          <w:tcPr>
            <w:tcW w:type="dxa" w:w="22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Classification</w:t>
            </w:r>
          </w:p>
        </w:tc>
        <w:tc>
          <w:tcPr>
            <w:tcW w:type="dxa" w:w="40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Portfolio / Sample Assessment</w:t>
            </w:r>
          </w:p>
        </w:tc>
      </w:tr>
    </w:tbl>
    <w:p>
      <w:r>
        <w:br w:type="page"/>
      </w:r>
    </w:p>
    <w:p>
      <w:pPr>
        <w:pStyle w:val="Heading1"/>
        <w:pBdr>
          <w:bottom w:val="single" w:color="1F3864" w:sz="6" w:space="4"/>
        </w:pBdr>
        <w:spacing w:after="200" w:before="400"/>
      </w:pPr>
      <w:r>
        <w:rPr>
          <w:rFonts w:ascii="Calibri" w:cs="Calibri" w:eastAsia="Calibri" w:hAnsi="Calibri"/>
          <w:color w:val="1F3864"/>
        </w:rPr>
        <w:t xml:space="preserve">Table of Contents</w:t>
      </w:r>
    </w:p>
    <w:p>
      <w:pPr>
        <w:spacing w:after="140"/>
      </w:pPr>
      <w:r>
        <w:rPr>
          <w:rFonts w:ascii="Calibri" w:cs="Calibri" w:eastAsia="Calibri" w:hAnsi="Calibri"/>
          <w:color w:val="222222"/>
          <w:sz w:val="22"/>
          <w:szCs w:val="22"/>
        </w:rPr>
        <w:t xml:space="preserve">1.  Executive Summary</w:t>
      </w:r>
    </w:p>
    <w:p>
      <w:pPr>
        <w:spacing w:after="140"/>
      </w:pPr>
      <w:r>
        <w:rPr>
          <w:rFonts w:ascii="Calibri" w:cs="Calibri" w:eastAsia="Calibri" w:hAnsi="Calibri"/>
          <w:color w:val="222222"/>
          <w:sz w:val="22"/>
          <w:szCs w:val="22"/>
        </w:rPr>
        <w:t xml:space="preserve">2.  Scope of Assessment</w:t>
      </w:r>
    </w:p>
    <w:p>
      <w:pPr>
        <w:spacing w:after="140"/>
      </w:pPr>
      <w:r>
        <w:rPr>
          <w:rFonts w:ascii="Calibri" w:cs="Calibri" w:eastAsia="Calibri" w:hAnsi="Calibri"/>
          <w:color w:val="222222"/>
          <w:sz w:val="22"/>
          <w:szCs w:val="22"/>
        </w:rPr>
        <w:t xml:space="preserve">3.  Methodology</w:t>
      </w:r>
    </w:p>
    <w:p>
      <w:pPr>
        <w:spacing w:after="140"/>
      </w:pPr>
      <w:r>
        <w:rPr>
          <w:rFonts w:ascii="Calibri" w:cs="Calibri" w:eastAsia="Calibri" w:hAnsi="Calibri"/>
          <w:color w:val="222222"/>
          <w:sz w:val="22"/>
          <w:szCs w:val="22"/>
        </w:rPr>
        <w:t xml:space="preserve">4.  Architecture Overview</w:t>
      </w:r>
    </w:p>
    <w:p>
      <w:pPr>
        <w:spacing w:after="140"/>
      </w:pPr>
      <w:r>
        <w:rPr>
          <w:rFonts w:ascii="Calibri" w:cs="Calibri" w:eastAsia="Calibri" w:hAnsi="Calibri"/>
          <w:color w:val="222222"/>
          <w:sz w:val="22"/>
          <w:szCs w:val="22"/>
        </w:rPr>
        <w:t xml:space="preserve">5.  Detailed Findings</w:t>
      </w:r>
    </w:p>
    <w:p>
      <w:pPr>
        <w:spacing w:after="140"/>
      </w:pPr>
      <w:r>
        <w:rPr>
          <w:rFonts w:ascii="Calibri" w:cs="Calibri" w:eastAsia="Calibri" w:hAnsi="Calibri"/>
          <w:color w:val="222222"/>
          <w:sz w:val="22"/>
          <w:szCs w:val="22"/>
        </w:rPr>
        <w:t xml:space="preserve">6.  Risk Matrix</w:t>
      </w:r>
    </w:p>
    <w:p>
      <w:pPr>
        <w:spacing w:after="140"/>
      </w:pPr>
      <w:r>
        <w:rPr>
          <w:rFonts w:ascii="Calibri" w:cs="Calibri" w:eastAsia="Calibri" w:hAnsi="Calibri"/>
          <w:color w:val="222222"/>
          <w:sz w:val="22"/>
          <w:szCs w:val="22"/>
        </w:rPr>
        <w:t xml:space="preserve">7.  GDPR &amp; DPA 2018 Mapping Table</w:t>
      </w:r>
    </w:p>
    <w:p>
      <w:pPr>
        <w:spacing w:after="140"/>
      </w:pPr>
      <w:r>
        <w:rPr>
          <w:rFonts w:ascii="Calibri" w:cs="Calibri" w:eastAsia="Calibri" w:hAnsi="Calibri"/>
          <w:color w:val="222222"/>
          <w:sz w:val="22"/>
          <w:szCs w:val="22"/>
        </w:rPr>
        <w:t xml:space="preserve">8.  Remediation Plan</w:t>
      </w:r>
    </w:p>
    <w:p>
      <w:pPr>
        <w:spacing w:after="140"/>
      </w:pPr>
      <w:r>
        <w:rPr>
          <w:rFonts w:ascii="Calibri" w:cs="Calibri" w:eastAsia="Calibri" w:hAnsi="Calibri"/>
          <w:color w:val="222222"/>
          <w:sz w:val="22"/>
          <w:szCs w:val="22"/>
        </w:rPr>
        <w:t xml:space="preserve">9.  Conclusion</w:t>
      </w:r>
    </w:p>
    <w:p>
      <w:pPr>
        <w:spacing w:after="140"/>
      </w:pPr>
      <w:r>
        <w:rPr>
          <w:rFonts w:ascii="Calibri" w:cs="Calibri" w:eastAsia="Calibri" w:hAnsi="Calibri"/>
          <w:color w:val="222222"/>
          <w:sz w:val="22"/>
          <w:szCs w:val="22"/>
        </w:rPr>
        <w:t xml:space="preserve">10.  Appendix: Evidence</w:t>
      </w:r>
    </w:p>
    <w:p>
      <w:r>
        <w:br w:type="page"/>
      </w:r>
    </w:p>
    <w:p>
      <w:pPr>
        <w:pStyle w:val="Heading1"/>
        <w:pBdr>
          <w:bottom w:val="single" w:color="1F3864" w:sz="6" w:space="4"/>
        </w:pBdr>
        <w:spacing w:after="200" w:before="400"/>
      </w:pPr>
      <w:r>
        <w:rPr>
          <w:rFonts w:ascii="Calibri" w:cs="Calibri" w:eastAsia="Calibri" w:hAnsi="Calibri"/>
          <w:color w:val="1F3864"/>
        </w:rPr>
        <w:t xml:space="preserve">1. Executive Summary</w:t>
      </w:r>
    </w:p>
    <w:p>
      <w:pPr>
        <w:spacing w:after="160" w:line="276"/>
      </w:pPr>
      <w:r>
        <w:rPr>
          <w:rFonts w:ascii="Calibri" w:cs="Calibri" w:eastAsia="Calibri" w:hAnsi="Calibri"/>
          <w:b w:val="false"/>
          <w:bCs w:val="false"/>
          <w:i w:val="false"/>
          <w:iCs w:val="false"/>
          <w:color w:val="222222"/>
          <w:sz w:val="21"/>
          <w:szCs w:val="21"/>
        </w:rPr>
        <w:t xml:space="preserve">This report presents a GDPR and UK Data Protection Act 2018 compliance assessment of a simulated web application that processes basic personal data, including names, email addresses, and login credentials. The assessment identifies several technical weaknesses that directly impact the confidentiality, integrity, and lawful processing of personal data.</w:t>
      </w:r>
    </w:p>
    <w:p>
      <w:pPr>
        <w:spacing w:after="80" w:line="276"/>
      </w:pPr>
      <w:r>
        <w:rPr>
          <w:rFonts w:ascii="Calibri" w:cs="Calibri" w:eastAsia="Calibri" w:hAnsi="Calibri"/>
          <w:b/>
          <w:bCs/>
          <w:i w:val="false"/>
          <w:iCs w:val="false"/>
          <w:color w:val="222222"/>
          <w:sz w:val="21"/>
          <w:szCs w:val="21"/>
        </w:rPr>
        <w:t xml:space="preserve">Key issues identified:</w:t>
      </w:r>
    </w:p>
    <w:p>
      <w:pPr>
        <w:pStyle w:val="ListParagraph"/>
        <w:numPr>
          <w:ilvl w:val="0"/>
          <w:numId w:val="2"/>
        </w:numPr>
        <w:spacing w:after="80" w:line="270"/>
      </w:pPr>
      <w:r>
        <w:rPr>
          <w:rFonts w:ascii="Calibri" w:cs="Calibri" w:eastAsia="Calibri" w:hAnsi="Calibri"/>
          <w:color w:val="222222"/>
          <w:sz w:val="21"/>
          <w:szCs w:val="21"/>
        </w:rPr>
        <w:t xml:space="preserve">Unencrypted HTTP transport exposing credentials and personal data</w:t>
      </w:r>
    </w:p>
    <w:p>
      <w:pPr>
        <w:pStyle w:val="ListParagraph"/>
        <w:numPr>
          <w:ilvl w:val="0"/>
          <w:numId w:val="2"/>
        </w:numPr>
        <w:spacing w:after="80" w:line="270"/>
      </w:pPr>
      <w:r>
        <w:rPr>
          <w:rFonts w:ascii="Calibri" w:cs="Calibri" w:eastAsia="Calibri" w:hAnsi="Calibri"/>
          <w:color w:val="222222"/>
          <w:sz w:val="21"/>
          <w:szCs w:val="21"/>
        </w:rPr>
        <w:t xml:space="preserve">Missing security headers increasing exposure to client-side attacks</w:t>
      </w:r>
    </w:p>
    <w:p>
      <w:pPr>
        <w:pStyle w:val="ListParagraph"/>
        <w:numPr>
          <w:ilvl w:val="0"/>
          <w:numId w:val="2"/>
        </w:numPr>
        <w:spacing w:after="80" w:line="270"/>
      </w:pPr>
      <w:r>
        <w:rPr>
          <w:rFonts w:ascii="Calibri" w:cs="Calibri" w:eastAsia="Calibri" w:hAnsi="Calibri"/>
          <w:color w:val="222222"/>
          <w:sz w:val="21"/>
          <w:szCs w:val="21"/>
        </w:rPr>
        <w:t xml:space="preserve">Excessive logging of personal data, violating data minimisation principles</w:t>
      </w:r>
    </w:p>
    <w:p>
      <w:pPr>
        <w:pStyle w:val="ListParagraph"/>
        <w:numPr>
          <w:ilvl w:val="0"/>
          <w:numId w:val="2"/>
        </w:numPr>
        <w:spacing w:after="80" w:line="270"/>
      </w:pPr>
      <w:r>
        <w:rPr>
          <w:rFonts w:ascii="Calibri" w:cs="Calibri" w:eastAsia="Calibri" w:hAnsi="Calibri"/>
          <w:color w:val="222222"/>
          <w:sz w:val="21"/>
          <w:szCs w:val="21"/>
        </w:rPr>
        <w:t xml:space="preserve">Weak password policy increasing likelihood of account compromise</w:t>
      </w:r>
    </w:p>
    <w:p>
      <w:pPr>
        <w:spacing w:after="100" w:line="276"/>
      </w:pPr>
      <w:r>
        <w:rPr>
          <w:rFonts w:ascii="Calibri" w:cs="Calibri" w:eastAsia="Calibri" w:hAnsi="Calibri"/>
          <w:b w:val="false"/>
          <w:bCs w:val="false"/>
          <w:i w:val="false"/>
          <w:iCs w:val="false"/>
          <w:color w:val="222222"/>
          <w:sz w:val="21"/>
          <w:szCs w:val="21"/>
        </w:rPr>
        <w:t xml:space="preserve">These findings map to GDPR Articles 5, 25, 30, 32, and 33, indicating gaps in secure processing, privacy-by-design, and breach readiness. Addressing these issues will significantly improve both the technical security posture and regulatory compliance of the application.</w:t>
      </w:r>
    </w:p>
    <w:p>
      <w:pPr>
        <w:pStyle w:val="Heading1"/>
        <w:pBdr>
          <w:bottom w:val="single" w:color="1F3864" w:sz="6" w:space="4"/>
        </w:pBdr>
        <w:spacing w:after="200" w:before="400"/>
      </w:pPr>
      <w:r>
        <w:rPr>
          <w:rFonts w:ascii="Calibri" w:cs="Calibri" w:eastAsia="Calibri" w:hAnsi="Calibri"/>
          <w:color w:val="1F3864"/>
        </w:rPr>
        <w:t xml:space="preserve">2. Scope of Assessment</w:t>
      </w:r>
    </w:p>
    <w:p>
      <w:pPr>
        <w:pStyle w:val="Heading2"/>
        <w:spacing w:after="140" w:before="280"/>
      </w:pPr>
      <w:r>
        <w:rPr>
          <w:rFonts w:ascii="Calibri" w:cs="Calibri" w:eastAsia="Calibri" w:hAnsi="Calibri"/>
          <w:color w:val="2E5C8A"/>
        </w:rPr>
        <w:t xml:space="preserve">2.1  In-Scope Components</w:t>
      </w:r>
    </w:p>
    <w:p>
      <w:pPr>
        <w:pStyle w:val="ListParagraph"/>
        <w:numPr>
          <w:ilvl w:val="0"/>
          <w:numId w:val="2"/>
        </w:numPr>
        <w:spacing w:after="80" w:line="270"/>
      </w:pPr>
      <w:r>
        <w:rPr>
          <w:rFonts w:ascii="Calibri" w:cs="Calibri" w:eastAsia="Calibri" w:hAnsi="Calibri"/>
          <w:color w:val="222222"/>
          <w:sz w:val="21"/>
          <w:szCs w:val="21"/>
        </w:rPr>
        <w:t xml:space="preserve">Web application (frontend and backend)</w:t>
      </w:r>
    </w:p>
    <w:p>
      <w:pPr>
        <w:pStyle w:val="ListParagraph"/>
        <w:numPr>
          <w:ilvl w:val="0"/>
          <w:numId w:val="2"/>
        </w:numPr>
        <w:spacing w:after="80" w:line="270"/>
      </w:pPr>
      <w:r>
        <w:rPr>
          <w:rFonts w:ascii="Calibri" w:cs="Calibri" w:eastAsia="Calibri" w:hAnsi="Calibri"/>
          <w:color w:val="222222"/>
          <w:sz w:val="21"/>
          <w:szCs w:val="21"/>
        </w:rPr>
        <w:t xml:space="preserve">HTTP transport layer</w:t>
      </w:r>
    </w:p>
    <w:p>
      <w:pPr>
        <w:pStyle w:val="ListParagraph"/>
        <w:numPr>
          <w:ilvl w:val="0"/>
          <w:numId w:val="2"/>
        </w:numPr>
        <w:spacing w:after="80" w:line="270"/>
      </w:pPr>
      <w:r>
        <w:rPr>
          <w:rFonts w:ascii="Calibri" w:cs="Calibri" w:eastAsia="Calibri" w:hAnsi="Calibri"/>
          <w:color w:val="222222"/>
          <w:sz w:val="21"/>
          <w:szCs w:val="21"/>
        </w:rPr>
        <w:t xml:space="preserve">Authentication mechanism</w:t>
      </w:r>
    </w:p>
    <w:p>
      <w:pPr>
        <w:pStyle w:val="ListParagraph"/>
        <w:numPr>
          <w:ilvl w:val="0"/>
          <w:numId w:val="2"/>
        </w:numPr>
        <w:spacing w:after="80" w:line="270"/>
      </w:pPr>
      <w:r>
        <w:rPr>
          <w:rFonts w:ascii="Calibri" w:cs="Calibri" w:eastAsia="Calibri" w:hAnsi="Calibri"/>
          <w:color w:val="222222"/>
          <w:sz w:val="21"/>
          <w:szCs w:val="21"/>
        </w:rPr>
        <w:t xml:space="preserve">Logging and monitoring configuration</w:t>
      </w:r>
    </w:p>
    <w:p>
      <w:pPr>
        <w:pStyle w:val="ListParagraph"/>
        <w:numPr>
          <w:ilvl w:val="0"/>
          <w:numId w:val="2"/>
        </w:numPr>
        <w:spacing w:after="80" w:line="270"/>
      </w:pPr>
      <w:r>
        <w:rPr>
          <w:rFonts w:ascii="Calibri" w:cs="Calibri" w:eastAsia="Calibri" w:hAnsi="Calibri"/>
          <w:color w:val="222222"/>
          <w:sz w:val="21"/>
          <w:szCs w:val="21"/>
        </w:rPr>
        <w:t xml:space="preserve">Server configuration and security headers</w:t>
      </w:r>
    </w:p>
    <w:p>
      <w:pPr>
        <w:pStyle w:val="Heading2"/>
        <w:spacing w:after="140" w:before="280"/>
      </w:pPr>
      <w:r>
        <w:rPr>
          <w:rFonts w:ascii="Calibri" w:cs="Calibri" w:eastAsia="Calibri" w:hAnsi="Calibri"/>
          <w:color w:val="2E5C8A"/>
        </w:rPr>
        <w:t xml:space="preserve">2.2  Out-of-Scope Components</w:t>
      </w:r>
    </w:p>
    <w:p>
      <w:pPr>
        <w:pStyle w:val="ListParagraph"/>
        <w:numPr>
          <w:ilvl w:val="0"/>
          <w:numId w:val="2"/>
        </w:numPr>
        <w:spacing w:after="80" w:line="270"/>
      </w:pPr>
      <w:r>
        <w:rPr>
          <w:rFonts w:ascii="Calibri" w:cs="Calibri" w:eastAsia="Calibri" w:hAnsi="Calibri"/>
          <w:color w:val="222222"/>
          <w:sz w:val="21"/>
          <w:szCs w:val="21"/>
        </w:rPr>
        <w:t xml:space="preserve">Database internals</w:t>
      </w:r>
    </w:p>
    <w:p>
      <w:pPr>
        <w:pStyle w:val="ListParagraph"/>
        <w:numPr>
          <w:ilvl w:val="0"/>
          <w:numId w:val="2"/>
        </w:numPr>
        <w:spacing w:after="80" w:line="270"/>
      </w:pPr>
      <w:r>
        <w:rPr>
          <w:rFonts w:ascii="Calibri" w:cs="Calibri" w:eastAsia="Calibri" w:hAnsi="Calibri"/>
          <w:color w:val="222222"/>
          <w:sz w:val="21"/>
          <w:szCs w:val="21"/>
        </w:rPr>
        <w:t xml:space="preserve">Third-party integrations</w:t>
      </w:r>
    </w:p>
    <w:p>
      <w:pPr>
        <w:pStyle w:val="ListParagraph"/>
        <w:numPr>
          <w:ilvl w:val="0"/>
          <w:numId w:val="2"/>
        </w:numPr>
        <w:spacing w:after="80" w:line="270"/>
      </w:pPr>
      <w:r>
        <w:rPr>
          <w:rFonts w:ascii="Calibri" w:cs="Calibri" w:eastAsia="Calibri" w:hAnsi="Calibri"/>
          <w:color w:val="222222"/>
          <w:sz w:val="21"/>
          <w:szCs w:val="21"/>
        </w:rPr>
        <w:t xml:space="preserve">Physical security controls</w:t>
      </w:r>
    </w:p>
    <w:p>
      <w:pPr>
        <w:pStyle w:val="ListParagraph"/>
        <w:numPr>
          <w:ilvl w:val="0"/>
          <w:numId w:val="2"/>
        </w:numPr>
        <w:spacing w:after="80" w:line="270"/>
      </w:pPr>
      <w:r>
        <w:rPr>
          <w:rFonts w:ascii="Calibri" w:cs="Calibri" w:eastAsia="Calibri" w:hAnsi="Calibri"/>
          <w:color w:val="222222"/>
          <w:sz w:val="21"/>
          <w:szCs w:val="21"/>
        </w:rPr>
        <w:t xml:space="preserve">Internal organisational policies</w:t>
      </w:r>
    </w:p>
    <w:p>
      <w:pPr>
        <w:pStyle w:val="Heading2"/>
        <w:spacing w:after="140" w:before="280"/>
      </w:pPr>
      <w:r>
        <w:rPr>
          <w:rFonts w:ascii="Calibri" w:cs="Calibri" w:eastAsia="Calibri" w:hAnsi="Calibri"/>
          <w:color w:val="2E5C8A"/>
        </w:rPr>
        <w:t xml:space="preserve">2.3  Data Types Processed</w:t>
      </w:r>
    </w:p>
    <w:p>
      <w:pPr>
        <w:pStyle w:val="ListParagraph"/>
        <w:numPr>
          <w:ilvl w:val="0"/>
          <w:numId w:val="2"/>
        </w:numPr>
        <w:spacing w:after="80" w:line="270"/>
      </w:pPr>
      <w:r>
        <w:rPr>
          <w:rFonts w:ascii="Calibri" w:cs="Calibri" w:eastAsia="Calibri" w:hAnsi="Calibri"/>
          <w:color w:val="222222"/>
          <w:sz w:val="21"/>
          <w:szCs w:val="21"/>
        </w:rPr>
        <w:t xml:space="preserve">Name</w:t>
      </w:r>
    </w:p>
    <w:p>
      <w:pPr>
        <w:pStyle w:val="ListParagraph"/>
        <w:numPr>
          <w:ilvl w:val="0"/>
          <w:numId w:val="2"/>
        </w:numPr>
        <w:spacing w:after="80" w:line="270"/>
      </w:pPr>
      <w:r>
        <w:rPr>
          <w:rFonts w:ascii="Calibri" w:cs="Calibri" w:eastAsia="Calibri" w:hAnsi="Calibri"/>
          <w:color w:val="222222"/>
          <w:sz w:val="21"/>
          <w:szCs w:val="21"/>
        </w:rPr>
        <w:t xml:space="preserve">Email address</w:t>
      </w:r>
    </w:p>
    <w:p>
      <w:pPr>
        <w:pStyle w:val="ListParagraph"/>
        <w:numPr>
          <w:ilvl w:val="0"/>
          <w:numId w:val="2"/>
        </w:numPr>
        <w:spacing w:after="80" w:line="270"/>
      </w:pPr>
      <w:r>
        <w:rPr>
          <w:rFonts w:ascii="Calibri" w:cs="Calibri" w:eastAsia="Calibri" w:hAnsi="Calibri"/>
          <w:color w:val="222222"/>
          <w:sz w:val="21"/>
          <w:szCs w:val="21"/>
        </w:rPr>
        <w:t xml:space="preserve">Login credentials</w:t>
      </w:r>
    </w:p>
    <w:p>
      <w:pPr>
        <w:pStyle w:val="Heading1"/>
        <w:pBdr>
          <w:bottom w:val="single" w:color="1F3864" w:sz="6" w:space="4"/>
        </w:pBdr>
        <w:spacing w:after="200" w:before="400"/>
      </w:pPr>
      <w:r>
        <w:rPr>
          <w:rFonts w:ascii="Calibri" w:cs="Calibri" w:eastAsia="Calibri" w:hAnsi="Calibri"/>
          <w:color w:val="1F3864"/>
        </w:rPr>
        <w:t xml:space="preserve">3. Methodology</w:t>
      </w:r>
    </w:p>
    <w:p>
      <w:pPr>
        <w:pStyle w:val="Heading2"/>
        <w:spacing w:after="140" w:before="280"/>
      </w:pPr>
      <w:r>
        <w:rPr>
          <w:rFonts w:ascii="Calibri" w:cs="Calibri" w:eastAsia="Calibri" w:hAnsi="Calibri"/>
          <w:color w:val="2E5C8A"/>
        </w:rPr>
        <w:t xml:space="preserve">3.1  Technical Testing</w:t>
      </w:r>
    </w:p>
    <w:p>
      <w:pPr>
        <w:pStyle w:val="ListParagraph"/>
        <w:numPr>
          <w:ilvl w:val="0"/>
          <w:numId w:val="2"/>
        </w:numPr>
        <w:spacing w:after="80" w:line="270"/>
      </w:pPr>
      <w:r>
        <w:rPr>
          <w:rFonts w:ascii="Calibri" w:cs="Calibri" w:eastAsia="Calibri" w:hAnsi="Calibri"/>
          <w:color w:val="222222"/>
          <w:sz w:val="21"/>
          <w:szCs w:val="21"/>
        </w:rPr>
        <w:t xml:space="preserve">Nmap — service enumeration and TLS validation</w:t>
      </w:r>
    </w:p>
    <w:p>
      <w:pPr>
        <w:pStyle w:val="ListParagraph"/>
        <w:numPr>
          <w:ilvl w:val="0"/>
          <w:numId w:val="2"/>
        </w:numPr>
        <w:spacing w:after="80" w:line="270"/>
      </w:pPr>
      <w:r>
        <w:rPr>
          <w:rFonts w:ascii="Calibri" w:cs="Calibri" w:eastAsia="Calibri" w:hAnsi="Calibri"/>
          <w:color w:val="222222"/>
          <w:sz w:val="21"/>
          <w:szCs w:val="21"/>
        </w:rPr>
        <w:t xml:space="preserve">Nikto — web server misconfiguration scanning</w:t>
      </w:r>
    </w:p>
    <w:p>
      <w:pPr>
        <w:pStyle w:val="ListParagraph"/>
        <w:numPr>
          <w:ilvl w:val="0"/>
          <w:numId w:val="2"/>
        </w:numPr>
        <w:spacing w:after="80" w:line="270"/>
      </w:pPr>
      <w:r>
        <w:rPr>
          <w:rFonts w:ascii="Calibri" w:cs="Calibri" w:eastAsia="Calibri" w:hAnsi="Calibri"/>
          <w:color w:val="222222"/>
          <w:sz w:val="21"/>
          <w:szCs w:val="21"/>
        </w:rPr>
        <w:t xml:space="preserve">Burp Suite — HTTP header and request/response inspection</w:t>
      </w:r>
    </w:p>
    <w:p>
      <w:pPr>
        <w:pStyle w:val="ListParagraph"/>
        <w:numPr>
          <w:ilvl w:val="0"/>
          <w:numId w:val="2"/>
        </w:numPr>
        <w:spacing w:after="80" w:line="270"/>
      </w:pPr>
      <w:r>
        <w:rPr>
          <w:rFonts w:ascii="Calibri" w:cs="Calibri" w:eastAsia="Calibri" w:hAnsi="Calibri"/>
          <w:color w:val="222222"/>
          <w:sz w:val="21"/>
          <w:szCs w:val="21"/>
        </w:rPr>
        <w:t xml:space="preserve">Suricata IDS — log review and detection of cleartext credentials</w:t>
      </w:r>
    </w:p>
    <w:p>
      <w:pPr>
        <w:pStyle w:val="ListParagraph"/>
        <w:numPr>
          <w:ilvl w:val="0"/>
          <w:numId w:val="2"/>
        </w:numPr>
        <w:spacing w:after="80" w:line="270"/>
      </w:pPr>
      <w:r>
        <w:rPr>
          <w:rFonts w:ascii="Calibri" w:cs="Calibri" w:eastAsia="Calibri" w:hAnsi="Calibri"/>
          <w:color w:val="222222"/>
          <w:sz w:val="21"/>
          <w:szCs w:val="21"/>
        </w:rPr>
        <w:t xml:space="preserve">Manual analysis of password policy and authentication flow</w:t>
      </w:r>
    </w:p>
    <w:p>
      <w:pPr>
        <w:pStyle w:val="Heading2"/>
        <w:spacing w:after="140" w:before="280"/>
      </w:pPr>
      <w:r>
        <w:rPr>
          <w:rFonts w:ascii="Calibri" w:cs="Calibri" w:eastAsia="Calibri" w:hAnsi="Calibri"/>
          <w:color w:val="2E5C8A"/>
        </w:rPr>
        <w:t xml:space="preserve">3.2  Compliance Mapping</w:t>
      </w:r>
    </w:p>
    <w:p>
      <w:pPr>
        <w:spacing w:after="80" w:line="276"/>
      </w:pPr>
      <w:r>
        <w:rPr>
          <w:rFonts w:ascii="Calibri" w:cs="Calibri" w:eastAsia="Calibri" w:hAnsi="Calibri"/>
          <w:b w:val="false"/>
          <w:bCs w:val="false"/>
          <w:i w:val="false"/>
          <w:iCs w:val="false"/>
          <w:color w:val="222222"/>
          <w:sz w:val="21"/>
          <w:szCs w:val="21"/>
        </w:rPr>
        <w:t xml:space="preserve">Each technical finding was mapped to:</w:t>
      </w:r>
    </w:p>
    <w:p>
      <w:pPr>
        <w:pStyle w:val="ListParagraph"/>
        <w:numPr>
          <w:ilvl w:val="0"/>
          <w:numId w:val="2"/>
        </w:numPr>
        <w:spacing w:after="80" w:line="270"/>
      </w:pPr>
      <w:r>
        <w:rPr>
          <w:rFonts w:ascii="Calibri" w:cs="Calibri" w:eastAsia="Calibri" w:hAnsi="Calibri"/>
          <w:color w:val="222222"/>
          <w:sz w:val="21"/>
          <w:szCs w:val="21"/>
        </w:rPr>
        <w:t xml:space="preserve">GDPR Articles 5, 25, 30, 32, 33</w:t>
      </w:r>
    </w:p>
    <w:p>
      <w:pPr>
        <w:pStyle w:val="ListParagraph"/>
        <w:numPr>
          <w:ilvl w:val="0"/>
          <w:numId w:val="2"/>
        </w:numPr>
        <w:spacing w:after="80" w:line="270"/>
      </w:pPr>
      <w:r>
        <w:rPr>
          <w:rFonts w:ascii="Calibri" w:cs="Calibri" w:eastAsia="Calibri" w:hAnsi="Calibri"/>
          <w:color w:val="222222"/>
          <w:sz w:val="21"/>
          <w:szCs w:val="21"/>
        </w:rPr>
        <w:t xml:space="preserve">UK DPA 2018 principles</w:t>
      </w:r>
    </w:p>
    <w:p>
      <w:pPr>
        <w:pStyle w:val="ListParagraph"/>
        <w:numPr>
          <w:ilvl w:val="0"/>
          <w:numId w:val="2"/>
        </w:numPr>
        <w:spacing w:after="80" w:line="270"/>
      </w:pPr>
      <w:r>
        <w:rPr>
          <w:rFonts w:ascii="Calibri" w:cs="Calibri" w:eastAsia="Calibri" w:hAnsi="Calibri"/>
          <w:color w:val="222222"/>
          <w:sz w:val="21"/>
          <w:szCs w:val="21"/>
        </w:rPr>
        <w:t xml:space="preserve">CIA triad impact scoring</w:t>
      </w:r>
    </w:p>
    <w:p>
      <w:pPr>
        <w:pStyle w:val="ListParagraph"/>
        <w:numPr>
          <w:ilvl w:val="0"/>
          <w:numId w:val="2"/>
        </w:numPr>
        <w:spacing w:after="80" w:line="270"/>
      </w:pPr>
      <w:r>
        <w:rPr>
          <w:rFonts w:ascii="Calibri" w:cs="Calibri" w:eastAsia="Calibri" w:hAnsi="Calibri"/>
          <w:color w:val="222222"/>
          <w:sz w:val="21"/>
          <w:szCs w:val="21"/>
        </w:rPr>
        <w:t xml:space="preserve">Likelihood × Impact risk classification</w:t>
      </w:r>
    </w:p>
    <w:p>
      <w:pPr>
        <w:pStyle w:val="Heading2"/>
        <w:spacing w:after="140" w:before="280"/>
      </w:pPr>
      <w:r>
        <w:rPr>
          <w:rFonts w:ascii="Calibri" w:cs="Calibri" w:eastAsia="Calibri" w:hAnsi="Calibri"/>
          <w:color w:val="2E5C8A"/>
        </w:rPr>
        <w:t xml:space="preserve">3.3  Reporting Approach</w:t>
      </w:r>
    </w:p>
    <w:p>
      <w:pPr>
        <w:pStyle w:val="ListParagraph"/>
        <w:numPr>
          <w:ilvl w:val="0"/>
          <w:numId w:val="2"/>
        </w:numPr>
        <w:spacing w:after="80" w:line="270"/>
      </w:pPr>
      <w:r>
        <w:rPr>
          <w:rFonts w:ascii="Calibri" w:cs="Calibri" w:eastAsia="Calibri" w:hAnsi="Calibri"/>
          <w:color w:val="222222"/>
          <w:sz w:val="21"/>
          <w:szCs w:val="21"/>
        </w:rPr>
        <w:t xml:space="preserve">SOC-style remediation guidance</w:t>
      </w:r>
    </w:p>
    <w:p>
      <w:pPr>
        <w:pStyle w:val="ListParagraph"/>
        <w:numPr>
          <w:ilvl w:val="0"/>
          <w:numId w:val="2"/>
        </w:numPr>
        <w:spacing w:after="80" w:line="270"/>
      </w:pPr>
      <w:r>
        <w:rPr>
          <w:rFonts w:ascii="Calibri" w:cs="Calibri" w:eastAsia="Calibri" w:hAnsi="Calibri"/>
          <w:color w:val="222222"/>
          <w:sz w:val="21"/>
          <w:szCs w:val="21"/>
        </w:rPr>
        <w:t xml:space="preserve">Business impact explanation</w:t>
      </w:r>
    </w:p>
    <w:p>
      <w:pPr>
        <w:pStyle w:val="ListParagraph"/>
        <w:numPr>
          <w:ilvl w:val="0"/>
          <w:numId w:val="2"/>
        </w:numPr>
        <w:spacing w:after="80" w:line="270"/>
      </w:pPr>
      <w:r>
        <w:rPr>
          <w:rFonts w:ascii="Calibri" w:cs="Calibri" w:eastAsia="Calibri" w:hAnsi="Calibri"/>
          <w:color w:val="222222"/>
          <w:sz w:val="21"/>
          <w:szCs w:val="21"/>
        </w:rPr>
        <w:t xml:space="preserve">Evidence-based findings</w:t>
      </w:r>
    </w:p>
    <w:p>
      <w:pPr>
        <w:pStyle w:val="Heading1"/>
        <w:pBdr>
          <w:bottom w:val="single" w:color="1F3864" w:sz="6" w:space="4"/>
        </w:pBdr>
        <w:spacing w:after="200" w:before="400"/>
      </w:pPr>
      <w:r>
        <w:rPr>
          <w:rFonts w:ascii="Calibri" w:cs="Calibri" w:eastAsia="Calibri" w:hAnsi="Calibri"/>
          <w:color w:val="1F3864"/>
        </w:rPr>
        <w:t xml:space="preserve">4. Architecture Overview</w:t>
      </w:r>
    </w:p>
    <w:p>
      <w:pPr>
        <w:spacing w:after="160" w:line="276"/>
      </w:pPr>
      <w:r>
        <w:rPr>
          <w:rFonts w:ascii="Calibri" w:cs="Calibri" w:eastAsia="Calibri" w:hAnsi="Calibri"/>
          <w:b w:val="false"/>
          <w:bCs w:val="false"/>
          <w:i w:val="false"/>
          <w:iCs w:val="false"/>
          <w:color w:val="222222"/>
          <w:sz w:val="21"/>
          <w:szCs w:val="21"/>
        </w:rPr>
        <w:t xml:space="preserve">The diagram below illustrates how personal data flows through the application and where each control gap introduces risk.</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C8A" w:sz="6"/>
              <w:left w:val="single" w:color="2E5C8A" w:sz="6"/>
              <w:bottom w:val="single" w:color="2E5C8A" w:sz="6"/>
              <w:right w:val="single" w:color="2E5C8A" w:sz="6"/>
            </w:tcBorders>
            <w:shd w:fill="E8EEF6" w:val="clear"/>
            <w:tcMar>
              <w:top w:type="dxa" w:w="110"/>
              <w:left w:type="dxa" w:w="160"/>
              <w:bottom w:type="dxa" w:w="110"/>
              <w:right w:type="dxa" w:w="160"/>
            </w:tcMar>
          </w:tcPr>
          <w:p>
            <w:pPr>
              <w:jc w:val="center"/>
            </w:pPr>
            <w:r>
              <w:rPr>
                <w:rFonts w:ascii="Calibri" w:cs="Calibri" w:eastAsia="Calibri" w:hAnsi="Calibri"/>
                <w:b/>
                <w:bCs/>
                <w:color w:val="1F3864"/>
                <w:sz w:val="20"/>
                <w:szCs w:val="20"/>
              </w:rPr>
              <w:t xml:space="preserve">User Browser</w:t>
            </w:r>
          </w:p>
        </w:tc>
      </w:tr>
    </w:tbl>
    <w:p>
      <w:pPr>
        <w:spacing w:after="40" w:before="40"/>
        <w:jc w:val="center"/>
      </w:pPr>
      <w:r>
        <w:rPr>
          <w:rFonts w:ascii="Calibri" w:cs="Calibri" w:eastAsia="Calibri" w:hAnsi="Calibri"/>
          <w:i/>
          <w:iCs/>
          <w:color w:val="444444"/>
          <w:sz w:val="18"/>
          <w:szCs w:val="18"/>
        </w:rPr>
        <w:t xml:space="preserve">↓  HTTP Request (unencrypted)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C8A" w:sz="6"/>
              <w:left w:val="single" w:color="2E5C8A" w:sz="6"/>
              <w:bottom w:val="single" w:color="2E5C8A" w:sz="6"/>
              <w:right w:val="single" w:color="2E5C8A" w:sz="6"/>
            </w:tcBorders>
            <w:shd w:fill="DCE6F1" w:val="clear"/>
            <w:tcMar>
              <w:top w:type="dxa" w:w="110"/>
              <w:left w:type="dxa" w:w="160"/>
              <w:bottom w:type="dxa" w:w="110"/>
              <w:right w:type="dxa" w:w="160"/>
            </w:tcMar>
          </w:tcPr>
          <w:p>
            <w:pPr>
              <w:jc w:val="center"/>
            </w:pPr>
            <w:r>
              <w:rPr>
                <w:rFonts w:ascii="Calibri" w:cs="Calibri" w:eastAsia="Calibri" w:hAnsi="Calibri"/>
                <w:b/>
                <w:bCs/>
                <w:color w:val="1F3864"/>
                <w:sz w:val="20"/>
                <w:szCs w:val="20"/>
              </w:rPr>
              <w:t xml:space="preserve">Web Application</w:t>
            </w:r>
          </w:p>
        </w:tc>
      </w:tr>
    </w:tbl>
    <w:p>
      <w:pPr>
        <w:spacing w:after="40" w:before="40"/>
        <w:jc w:val="center"/>
      </w:pPr>
      <w:r>
        <w:rPr>
          <w:rFonts w:ascii="Calibri" w:cs="Calibri" w:eastAsia="Calibri" w:hAnsi="Calibri"/>
          <w:i/>
          <w:iCs/>
          <w:color w:val="444444"/>
          <w:sz w:val="18"/>
          <w:szCs w:val="18"/>
        </w:rPr>
        <w:t xml:space="preserve">↓  processes Name, Email, Credentials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C8A" w:sz="6"/>
              <w:left w:val="single" w:color="2E5C8A" w:sz="6"/>
              <w:bottom w:val="single" w:color="2E5C8A" w:sz="6"/>
              <w:right w:val="single" w:color="2E5C8A" w:sz="6"/>
            </w:tcBorders>
            <w:shd w:fill="DCE6F1" w:val="clear"/>
            <w:tcMar>
              <w:top w:type="dxa" w:w="110"/>
              <w:left w:type="dxa" w:w="160"/>
              <w:bottom w:type="dxa" w:w="110"/>
              <w:right w:type="dxa" w:w="160"/>
            </w:tcMar>
          </w:tcPr>
          <w:p>
            <w:pPr>
              <w:jc w:val="center"/>
            </w:pPr>
            <w:r>
              <w:rPr>
                <w:rFonts w:ascii="Calibri" w:cs="Calibri" w:eastAsia="Calibri" w:hAnsi="Calibri"/>
                <w:b/>
                <w:bCs/>
                <w:color w:val="1F3864"/>
                <w:sz w:val="20"/>
                <w:szCs w:val="20"/>
              </w:rPr>
              <w:t xml:space="preserve">Application Logic</w:t>
            </w:r>
          </w:p>
        </w:tc>
      </w:tr>
    </w:tbl>
    <w:p>
      <w:pPr>
        <w:spacing w:after="40" w:before="40"/>
        <w:jc w:val="center"/>
      </w:pPr>
      <w:r>
        <w:rPr>
          <w:rFonts w:ascii="Calibri" w:cs="Calibri" w:eastAsia="Calibri" w:hAnsi="Calibri"/>
          <w:i/>
          <w:iCs/>
          <w:color w:val="444444"/>
          <w:sz w:val="18"/>
          <w:szCs w:val="18"/>
        </w:rPr>
        <w:t xml:space="preserve">↓  stores / uses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C8A" w:sz="6"/>
              <w:left w:val="single" w:color="2E5C8A" w:sz="6"/>
              <w:bottom w:val="single" w:color="2E5C8A" w:sz="6"/>
              <w:right w:val="single" w:color="2E5C8A" w:sz="6"/>
            </w:tcBorders>
            <w:shd w:fill="FBEEE6" w:val="clear"/>
            <w:tcMar>
              <w:top w:type="dxa" w:w="110"/>
              <w:left w:type="dxa" w:w="160"/>
              <w:bottom w:type="dxa" w:w="110"/>
              <w:right w:type="dxa" w:w="160"/>
            </w:tcMar>
          </w:tcPr>
          <w:p>
            <w:pPr>
              <w:jc w:val="center"/>
            </w:pPr>
            <w:r>
              <w:rPr>
                <w:rFonts w:ascii="Calibri" w:cs="Calibri" w:eastAsia="Calibri" w:hAnsi="Calibri"/>
                <w:b/>
                <w:bCs/>
                <w:color w:val="D68910"/>
                <w:sz w:val="20"/>
                <w:szCs w:val="20"/>
              </w:rPr>
              <w:t xml:space="preserve">Server Logs — Excessive PII Logging</w:t>
            </w:r>
          </w:p>
        </w:tc>
      </w:tr>
    </w:tbl>
    <w:p>
      <w:pPr>
        <w:spacing w:after="40" w:before="40"/>
        <w:jc w:val="center"/>
      </w:pPr>
      <w:r>
        <w:rPr>
          <w:rFonts w:ascii="Calibri" w:cs="Calibri" w:eastAsia="Calibri" w:hAnsi="Calibri"/>
          <w:i/>
          <w:iCs/>
          <w:color w:val="444444"/>
          <w:sz w:val="18"/>
          <w:szCs w:val="18"/>
        </w:rPr>
        <w:t xml:space="preserve">↓  violates data minimisation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C8A" w:sz="6"/>
              <w:left w:val="single" w:color="2E5C8A" w:sz="6"/>
              <w:bottom w:val="single" w:color="2E5C8A" w:sz="6"/>
              <w:right w:val="single" w:color="2E5C8A" w:sz="6"/>
            </w:tcBorders>
            <w:shd w:fill="FBE7E5" w:val="clear"/>
            <w:tcMar>
              <w:top w:type="dxa" w:w="110"/>
              <w:left w:type="dxa" w:w="160"/>
              <w:bottom w:type="dxa" w:w="110"/>
              <w:right w:type="dxa" w:w="160"/>
            </w:tcMar>
          </w:tcPr>
          <w:p>
            <w:pPr>
              <w:jc w:val="center"/>
            </w:pPr>
            <w:r>
              <w:rPr>
                <w:rFonts w:ascii="Calibri" w:cs="Calibri" w:eastAsia="Calibri" w:hAnsi="Calibri"/>
                <w:b/>
                <w:bCs/>
                <w:color w:val="C0392B"/>
                <w:sz w:val="20"/>
                <w:szCs w:val="20"/>
              </w:rPr>
              <w:t xml:space="preserve">Compliance Risk — GDPR Art. 5(1)(c)</w:t>
            </w:r>
          </w:p>
        </w:tc>
      </w:tr>
    </w:tbl>
    <w:p>
      <w:pPr>
        <w:spacing w:after="60" w:before="220"/>
      </w:pPr>
      <w:r>
        <w:rPr>
          <w:rFonts w:ascii="Calibri" w:cs="Calibri" w:eastAsia="Calibri" w:hAnsi="Calibri"/>
          <w:b/>
          <w:bCs/>
          <w:color w:val="1F3864"/>
          <w:sz w:val="21"/>
          <w:szCs w:val="21"/>
        </w:rPr>
        <w:t xml:space="preserve">Additional exposure paths:</w:t>
      </w:r>
    </w:p>
    <w:p>
      <w:pPr>
        <w:pStyle w:val="ListParagraph"/>
        <w:numPr>
          <w:ilvl w:val="0"/>
          <w:numId w:val="2"/>
        </w:numPr>
        <w:spacing w:after="80" w:line="270"/>
      </w:pPr>
      <w:r>
        <w:rPr>
          <w:rFonts w:ascii="Calibri" w:cs="Calibri" w:eastAsia="Calibri" w:hAnsi="Calibri"/>
          <w:color w:val="222222"/>
          <w:sz w:val="21"/>
          <w:szCs w:val="21"/>
        </w:rPr>
        <w:t xml:space="preserve">Web Application → Missing Security Headers → Client-Side Exposure (clickjacking / XSS risk) → Privacy-by-Design Failure</w:t>
      </w:r>
    </w:p>
    <w:p>
      <w:pPr>
        <w:pStyle w:val="ListParagraph"/>
        <w:numPr>
          <w:ilvl w:val="0"/>
          <w:numId w:val="2"/>
        </w:numPr>
        <w:spacing w:after="80" w:line="270"/>
      </w:pPr>
      <w:r>
        <w:rPr>
          <w:rFonts w:ascii="Calibri" w:cs="Calibri" w:eastAsia="Calibri" w:hAnsi="Calibri"/>
          <w:color w:val="222222"/>
          <w:sz w:val="21"/>
          <w:szCs w:val="21"/>
        </w:rPr>
        <w:t xml:space="preserve">Web Application → Unencrypted Transport (HTTP) → Network Exposure → Cleartext Credentials → High-Risk Data Exposure</w:t>
      </w:r>
    </w:p>
    <w:p>
      <w:pPr>
        <w:pStyle w:val="Heading1"/>
        <w:pBdr>
          <w:bottom w:val="single" w:color="1F3864" w:sz="6" w:space="4"/>
        </w:pBdr>
        <w:spacing w:after="200" w:before="400"/>
      </w:pPr>
      <w:r>
        <w:rPr>
          <w:rFonts w:ascii="Calibri" w:cs="Calibri" w:eastAsia="Calibri" w:hAnsi="Calibri"/>
          <w:color w:val="1F3864"/>
        </w:rPr>
        <w:t xml:space="preserve">5. Detailed Findings</w:t>
      </w:r>
    </w:p>
    <w:p>
      <w:pPr>
        <w:pStyle w:val="Heading3"/>
        <w:spacing w:after="100" w:before="200"/>
      </w:pPr>
      <w:r>
        <w:rPr>
          <w:rFonts w:ascii="Calibri" w:cs="Calibri" w:eastAsia="Calibri" w:hAnsi="Calibri"/>
          <w:b/>
          <w:bCs/>
          <w:color w:val="333333"/>
        </w:rPr>
        <w:t xml:space="preserve">5.1  Insecure Transport (HTTP)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Severity</w:t>
            </w:r>
          </w:p>
        </w:tc>
        <w:tc>
          <w:tcPr>
            <w:tcW w:type="dxa" w:w="7150"/>
            <w:tcBorders>
              <w:top w:val="single" w:color="B7C3D0" w:sz="4"/>
              <w:left w:val="single" w:color="B7C3D0" w:sz="4"/>
              <w:bottom w:val="single" w:color="B7C3D0" w:sz="4"/>
              <w:right w:val="single" w:color="B7C3D0" w:sz="4"/>
            </w:tcBorders>
            <w:shd w:fill="C0392B"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Critical</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Description</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Application uses HTTP instead of HTTPS.</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Evidence</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Nmap scan shows port 80 open with no TLS.</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Credentials and PII transmitted in cleartext.</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GDPR / DPA Mapping</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5(1)(f), Art. 32</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Business 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High risk of credential theft, session hijacking, and data breach.</w:t>
            </w:r>
          </w:p>
        </w:tc>
      </w:tr>
    </w:tbl>
    <w:p>
      <w:pPr>
        <w:spacing w:after="240"/>
      </w:pPr>
    </w:p>
    <w:p>
      <w:pPr>
        <w:pStyle w:val="Heading3"/>
        <w:spacing w:after="100" w:before="200"/>
      </w:pPr>
      <w:r>
        <w:rPr>
          <w:rFonts w:ascii="Calibri" w:cs="Calibri" w:eastAsia="Calibri" w:hAnsi="Calibri"/>
          <w:b/>
          <w:bCs/>
          <w:color w:val="333333"/>
        </w:rPr>
        <w:t xml:space="preserve">5.2  Missing Security Headers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Severity</w:t>
            </w:r>
          </w:p>
        </w:tc>
        <w:tc>
          <w:tcPr>
            <w:tcW w:type="dxa" w:w="7150"/>
            <w:tcBorders>
              <w:top w:val="single" w:color="B7C3D0" w:sz="4"/>
              <w:left w:val="single" w:color="B7C3D0" w:sz="4"/>
              <w:bottom w:val="single" w:color="B7C3D0" w:sz="4"/>
              <w:right w:val="single" w:color="B7C3D0" w:sz="4"/>
            </w:tcBorders>
            <w:shd w:fill="D6891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High</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Description</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No CSP, HSTS, X-Frame-Options, or Referrer-Policy configured.</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Evidence</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Burp Suite header inspection.</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Exposure to clickjacking, XSS, and MIME-type confusion.</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GDPR / DPA Mapping</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25, Art. 32</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Business 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Increased likelihood of client-side exploitation.</w:t>
            </w:r>
          </w:p>
        </w:tc>
      </w:tr>
    </w:tbl>
    <w:p>
      <w:pPr>
        <w:spacing w:after="240"/>
      </w:pPr>
    </w:p>
    <w:p>
      <w:pPr>
        <w:pStyle w:val="Heading3"/>
        <w:spacing w:after="100" w:before="200"/>
      </w:pPr>
      <w:r>
        <w:rPr>
          <w:rFonts w:ascii="Calibri" w:cs="Calibri" w:eastAsia="Calibri" w:hAnsi="Calibri"/>
          <w:b/>
          <w:bCs/>
          <w:color w:val="333333"/>
        </w:rPr>
        <w:t xml:space="preserve">5.3  Excessive Logging of Personal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Severity</w:t>
            </w:r>
          </w:p>
        </w:tc>
        <w:tc>
          <w:tcPr>
            <w:tcW w:type="dxa" w:w="7150"/>
            <w:tcBorders>
              <w:top w:val="single" w:color="B7C3D0" w:sz="4"/>
              <w:left w:val="single" w:color="B7C3D0" w:sz="4"/>
              <w:bottom w:val="single" w:color="B7C3D0" w:sz="4"/>
              <w:right w:val="single" w:color="B7C3D0" w:sz="4"/>
            </w:tcBorders>
            <w:shd w:fill="D6891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High</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Description</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Suricata logs contain unnecessary personal data.</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Evidence</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IDS logs show usernames and cleartext credentials.</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Increased breach impact; violates data minimisation.</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GDPR / DPA Mapping</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5(1)(c), Art. 30</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Business 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Regulatory penalties and breach notification obligations.</w:t>
            </w:r>
          </w:p>
        </w:tc>
      </w:tr>
    </w:tbl>
    <w:p>
      <w:pPr>
        <w:spacing w:after="240"/>
      </w:pPr>
    </w:p>
    <w:p>
      <w:pPr>
        <w:pStyle w:val="Heading3"/>
        <w:spacing w:after="100" w:before="200"/>
      </w:pPr>
      <w:r>
        <w:rPr>
          <w:rFonts w:ascii="Calibri" w:cs="Calibri" w:eastAsia="Calibri" w:hAnsi="Calibri"/>
          <w:b/>
          <w:bCs/>
          <w:color w:val="333333"/>
        </w:rPr>
        <w:t xml:space="preserve">5.4  Weak Password Policy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Severity</w:t>
            </w:r>
          </w:p>
        </w:tc>
        <w:tc>
          <w:tcPr>
            <w:tcW w:type="dxa" w:w="7150"/>
            <w:tcBorders>
              <w:top w:val="single" w:color="B7C3D0" w:sz="4"/>
              <w:left w:val="single" w:color="B7C3D0" w:sz="4"/>
              <w:bottom w:val="single" w:color="B7C3D0" w:sz="4"/>
              <w:right w:val="single" w:color="B7C3D0" w:sz="4"/>
            </w:tcBorders>
            <w:shd w:fill="B7950B"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Medium</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Description</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No complexity requirements or rate limiting enforced.</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Evidence</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Application accepts weak passwords such as "test123".</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Higher likelihood of account compromise.</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GDPR / DPA Mapping</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32</w:t>
            </w:r>
          </w:p>
        </w:tc>
      </w:tr>
      <w:tr>
        <w:tc>
          <w:tcPr>
            <w:tcW w:type="dxa" w:w="2200"/>
            <w:tcBorders>
              <w:top w:val="single" w:color="B7C3D0" w:sz="4"/>
              <w:left w:val="single" w:color="B7C3D0" w:sz="4"/>
              <w:bottom w:val="single" w:color="B7C3D0" w:sz="4"/>
              <w:right w:val="single" w:color="B7C3D0" w:sz="4"/>
            </w:tcBorders>
            <w:shd w:fill="DCE6F1" w:val="clear"/>
            <w:tcMar>
              <w:top w:type="dxa" w:w="90"/>
              <w:left w:type="dxa" w:w="120"/>
              <w:bottom w:type="dxa" w:w="90"/>
              <w:right w:type="dxa" w:w="120"/>
            </w:tcMar>
            <w:vAlign w:val="center"/>
          </w:tcPr>
          <w:p>
            <w:pPr>
              <w:jc w:val="left"/>
            </w:pPr>
            <w:r>
              <w:rPr>
                <w:rFonts w:ascii="Calibri" w:cs="Calibri" w:eastAsia="Calibri" w:hAnsi="Calibri"/>
                <w:b/>
                <w:bCs/>
                <w:color w:val="1F3864"/>
                <w:sz w:val="19"/>
                <w:szCs w:val="19"/>
              </w:rPr>
              <w:t xml:space="preserve">Business Impact</w:t>
            </w:r>
          </w:p>
        </w:tc>
        <w:tc>
          <w:tcPr>
            <w:tcW w:type="dxa" w:w="71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Increased risk of unauthorised access.</w:t>
            </w:r>
          </w:p>
        </w:tc>
      </w:tr>
    </w:tbl>
    <w:p>
      <w:pPr>
        <w:spacing w:after="240"/>
      </w:pPr>
    </w:p>
    <w:p>
      <w:pPr>
        <w:pStyle w:val="Heading1"/>
        <w:pBdr>
          <w:bottom w:val="single" w:color="1F3864" w:sz="6" w:space="4"/>
        </w:pBdr>
        <w:spacing w:after="200" w:before="400"/>
      </w:pPr>
      <w:r>
        <w:rPr>
          <w:rFonts w:ascii="Calibri" w:cs="Calibri" w:eastAsia="Calibri" w:hAnsi="Calibri"/>
          <w:color w:val="1F3864"/>
        </w:rPr>
        <w:t xml:space="preserve">6. Risk Matrix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800"/>
        <w:gridCol w:w="1800"/>
        <w:gridCol w:w="2400"/>
      </w:tblGrid>
      <w:tr>
        <w:tc>
          <w:tcPr>
            <w:tcW w:type="dxa" w:w="33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Issue</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Likelihood</w:t>
            </w:r>
          </w:p>
        </w:tc>
        <w:tc>
          <w:tcPr>
            <w:tcW w:type="dxa" w:w="18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Impact</w:t>
            </w:r>
          </w:p>
        </w:tc>
        <w:tc>
          <w:tcPr>
            <w:tcW w:type="dxa" w:w="24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 Level</w:t>
            </w:r>
          </w:p>
        </w:tc>
      </w:tr>
      <w:tr>
        <w:tc>
          <w:tcPr>
            <w:tcW w:type="dxa" w:w="33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Insecure HTTP transport</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High</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High</w:t>
            </w:r>
          </w:p>
        </w:tc>
        <w:tc>
          <w:tcPr>
            <w:tcW w:type="dxa" w:w="2400"/>
            <w:tcBorders>
              <w:top w:val="single" w:color="B7C3D0" w:sz="4"/>
              <w:left w:val="single" w:color="B7C3D0" w:sz="4"/>
              <w:bottom w:val="single" w:color="B7C3D0" w:sz="4"/>
              <w:right w:val="single" w:color="B7C3D0" w:sz="4"/>
            </w:tcBorders>
            <w:shd w:fill="C0392B"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Critical</w:t>
            </w:r>
          </w:p>
        </w:tc>
      </w:tr>
      <w:tr>
        <w:tc>
          <w:tcPr>
            <w:tcW w:type="dxa" w:w="33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Missing security headers</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Medium</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High</w:t>
            </w:r>
          </w:p>
        </w:tc>
        <w:tc>
          <w:tcPr>
            <w:tcW w:type="dxa" w:w="2400"/>
            <w:tcBorders>
              <w:top w:val="single" w:color="B7C3D0" w:sz="4"/>
              <w:left w:val="single" w:color="B7C3D0" w:sz="4"/>
              <w:bottom w:val="single" w:color="B7C3D0" w:sz="4"/>
              <w:right w:val="single" w:color="B7C3D0" w:sz="4"/>
            </w:tcBorders>
            <w:shd w:fill="D68910"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High</w:t>
            </w:r>
          </w:p>
        </w:tc>
      </w:tr>
      <w:tr>
        <w:tc>
          <w:tcPr>
            <w:tcW w:type="dxa" w:w="33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Excessive logging of PII</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Medium</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Medium–High</w:t>
            </w:r>
          </w:p>
        </w:tc>
        <w:tc>
          <w:tcPr>
            <w:tcW w:type="dxa" w:w="2400"/>
            <w:tcBorders>
              <w:top w:val="single" w:color="B7C3D0" w:sz="4"/>
              <w:left w:val="single" w:color="B7C3D0" w:sz="4"/>
              <w:bottom w:val="single" w:color="B7C3D0" w:sz="4"/>
              <w:right w:val="single" w:color="B7C3D0" w:sz="4"/>
            </w:tcBorders>
            <w:shd w:fill="D68910"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High</w:t>
            </w:r>
          </w:p>
        </w:tc>
      </w:tr>
      <w:tr>
        <w:tc>
          <w:tcPr>
            <w:tcW w:type="dxa" w:w="33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Weak password policy</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Medium</w:t>
            </w:r>
          </w:p>
        </w:tc>
        <w:tc>
          <w:tcPr>
            <w:tcW w:type="dxa" w:w="18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center"/>
            </w:pPr>
            <w:r>
              <w:rPr>
                <w:rFonts w:ascii="Calibri" w:cs="Calibri" w:eastAsia="Calibri" w:hAnsi="Calibri"/>
                <w:b w:val="false"/>
                <w:bCs w:val="false"/>
                <w:color w:val="222222"/>
                <w:sz w:val="19"/>
                <w:szCs w:val="19"/>
              </w:rPr>
              <w:t xml:space="preserve">Medium</w:t>
            </w:r>
          </w:p>
        </w:tc>
        <w:tc>
          <w:tcPr>
            <w:tcW w:type="dxa" w:w="2400"/>
            <w:tcBorders>
              <w:top w:val="single" w:color="B7C3D0" w:sz="4"/>
              <w:left w:val="single" w:color="B7C3D0" w:sz="4"/>
              <w:bottom w:val="single" w:color="B7C3D0" w:sz="4"/>
              <w:right w:val="single" w:color="B7C3D0" w:sz="4"/>
            </w:tcBorders>
            <w:shd w:fill="B7950B"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Medium</w:t>
            </w:r>
          </w:p>
        </w:tc>
      </w:tr>
    </w:tbl>
    <w:p>
      <w:pPr>
        <w:spacing w:after="200"/>
      </w:pPr>
    </w:p>
    <w:p>
      <w:pPr>
        <w:pStyle w:val="Heading1"/>
        <w:pBdr>
          <w:bottom w:val="single" w:color="1F3864" w:sz="6" w:space="4"/>
        </w:pBdr>
        <w:spacing w:after="200" w:before="400"/>
      </w:pPr>
      <w:r>
        <w:rPr>
          <w:rFonts w:ascii="Calibri" w:cs="Calibri" w:eastAsia="Calibri" w:hAnsi="Calibri"/>
          <w:color w:val="1F3864"/>
        </w:rPr>
        <w:t xml:space="preserve">7. GDPR &amp; DPA 2018 Mapping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1900"/>
        <w:gridCol w:w="1900"/>
        <w:gridCol w:w="3100"/>
      </w:tblGrid>
      <w:tr>
        <w:tc>
          <w:tcPr>
            <w:tcW w:type="dxa" w:w="245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Issue</w:t>
            </w:r>
          </w:p>
        </w:tc>
        <w:tc>
          <w:tcPr>
            <w:tcW w:type="dxa" w:w="19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GDPR Article</w:t>
            </w:r>
          </w:p>
        </w:tc>
        <w:tc>
          <w:tcPr>
            <w:tcW w:type="dxa" w:w="19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DPA Principle</w:t>
            </w:r>
          </w:p>
        </w:tc>
        <w:tc>
          <w:tcPr>
            <w:tcW w:type="dxa" w:w="3100"/>
            <w:tcBorders>
              <w:top w:val="single" w:color="1F3864" w:sz="4"/>
              <w:left w:val="single" w:color="1F3864" w:sz="4"/>
              <w:bottom w:val="single" w:color="1F3864" w:sz="4"/>
              <w:right w:val="single" w:color="1F3864" w:sz="4"/>
            </w:tcBorders>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Compliance Gap</w:t>
            </w:r>
          </w:p>
        </w:tc>
      </w:tr>
      <w:tr>
        <w:tc>
          <w:tcPr>
            <w:tcW w:type="dxa" w:w="2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Insecure HTTP transport</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5(1)(f), Art. 32</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Security</w:t>
            </w:r>
          </w:p>
        </w:tc>
        <w:tc>
          <w:tcPr>
            <w:tcW w:type="dxa" w:w="31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No encryption for personal data in transit</w:t>
            </w:r>
          </w:p>
        </w:tc>
      </w:tr>
      <w:tr>
        <w:tc>
          <w:tcPr>
            <w:tcW w:type="dxa" w:w="2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Missing security headers</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25, Art. 32</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Privacy-by-design</w:t>
            </w:r>
          </w:p>
        </w:tc>
        <w:tc>
          <w:tcPr>
            <w:tcW w:type="dxa" w:w="31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Insufficient hardening measures</w:t>
            </w:r>
          </w:p>
        </w:tc>
      </w:tr>
      <w:tr>
        <w:tc>
          <w:tcPr>
            <w:tcW w:type="dxa" w:w="2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Excessive logging of PII</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5(1)(c), Art. 30</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Data minimisation</w:t>
            </w:r>
          </w:p>
        </w:tc>
        <w:tc>
          <w:tcPr>
            <w:tcW w:type="dxa" w:w="31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Logs contain unnecessary personal data</w:t>
            </w:r>
          </w:p>
        </w:tc>
      </w:tr>
      <w:tr>
        <w:tc>
          <w:tcPr>
            <w:tcW w:type="dxa" w:w="245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Weak password policy</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Art. 32</w:t>
            </w:r>
          </w:p>
        </w:tc>
        <w:tc>
          <w:tcPr>
            <w:tcW w:type="dxa" w:w="19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Security</w:t>
            </w:r>
          </w:p>
        </w:tc>
        <w:tc>
          <w:tcPr>
            <w:tcW w:type="dxa" w:w="3100"/>
            <w:tcBorders>
              <w:top w:val="single" w:color="B7C3D0" w:sz="4"/>
              <w:left w:val="single" w:color="B7C3D0" w:sz="4"/>
              <w:bottom w:val="single" w:color="B7C3D0" w:sz="4"/>
              <w:right w:val="single" w:color="B7C3D0" w:sz="4"/>
            </w:tcBorders>
            <w:tcMar>
              <w:top w:type="dxa" w:w="90"/>
              <w:left w:type="dxa" w:w="120"/>
              <w:bottom w:type="dxa" w:w="90"/>
              <w:right w:type="dxa" w:w="120"/>
            </w:tcMar>
            <w:vAlign w:val="center"/>
          </w:tcPr>
          <w:p>
            <w:pPr>
              <w:jc w:val="left"/>
            </w:pPr>
            <w:r>
              <w:rPr>
                <w:rFonts w:ascii="Calibri" w:cs="Calibri" w:eastAsia="Calibri" w:hAnsi="Calibri"/>
                <w:b w:val="false"/>
                <w:bCs w:val="false"/>
                <w:color w:val="222222"/>
                <w:sz w:val="19"/>
                <w:szCs w:val="19"/>
              </w:rPr>
              <w:t xml:space="preserve">Inadequate protection of user accounts</w:t>
            </w:r>
          </w:p>
        </w:tc>
      </w:tr>
    </w:tbl>
    <w:p>
      <w:pPr>
        <w:spacing w:after="200"/>
      </w:pPr>
    </w:p>
    <w:p>
      <w:pPr>
        <w:pStyle w:val="Heading1"/>
        <w:pBdr>
          <w:bottom w:val="single" w:color="1F3864" w:sz="6" w:space="4"/>
        </w:pBdr>
        <w:spacing w:after="200" w:before="400"/>
      </w:pPr>
      <w:r>
        <w:rPr>
          <w:rFonts w:ascii="Calibri" w:cs="Calibri" w:eastAsia="Calibri" w:hAnsi="Calibri"/>
          <w:color w:val="1F3864"/>
        </w:rPr>
        <w:t xml:space="preserve">8. Remediation Plan</w:t>
      </w:r>
    </w:p>
    <w:p>
      <w:pPr>
        <w:pStyle w:val="Heading2"/>
        <w:spacing w:after="140" w:before="280"/>
      </w:pPr>
      <w:r>
        <w:rPr>
          <w:rFonts w:ascii="Calibri" w:cs="Calibri" w:eastAsia="Calibri" w:hAnsi="Calibri"/>
          <w:color w:val="2E5C8A"/>
        </w:rPr>
        <w:t xml:space="preserve">Immediate (0–7 days)</w:t>
      </w:r>
    </w:p>
    <w:p>
      <w:pPr>
        <w:pStyle w:val="ListParagraph"/>
        <w:numPr>
          <w:ilvl w:val="0"/>
          <w:numId w:val="2"/>
        </w:numPr>
        <w:spacing w:after="80" w:line="270"/>
      </w:pPr>
      <w:r>
        <w:rPr>
          <w:rFonts w:ascii="Calibri" w:cs="Calibri" w:eastAsia="Calibri" w:hAnsi="Calibri"/>
          <w:color w:val="222222"/>
          <w:sz w:val="21"/>
          <w:szCs w:val="21"/>
        </w:rPr>
        <w:t xml:space="preserve">Enforce HTTPS with TLS 1.2+</w:t>
      </w:r>
    </w:p>
    <w:p>
      <w:pPr>
        <w:pStyle w:val="ListParagraph"/>
        <w:numPr>
          <w:ilvl w:val="0"/>
          <w:numId w:val="2"/>
        </w:numPr>
        <w:spacing w:after="80" w:line="270"/>
      </w:pPr>
      <w:r>
        <w:rPr>
          <w:rFonts w:ascii="Calibri" w:cs="Calibri" w:eastAsia="Calibri" w:hAnsi="Calibri"/>
          <w:color w:val="222222"/>
          <w:sz w:val="21"/>
          <w:szCs w:val="21"/>
        </w:rPr>
        <w:t xml:space="preserve">Enable HSTS and secure cookies</w:t>
      </w:r>
    </w:p>
    <w:p>
      <w:pPr>
        <w:pStyle w:val="ListParagraph"/>
        <w:numPr>
          <w:ilvl w:val="0"/>
          <w:numId w:val="2"/>
        </w:numPr>
        <w:spacing w:after="80" w:line="270"/>
      </w:pPr>
      <w:r>
        <w:rPr>
          <w:rFonts w:ascii="Calibri" w:cs="Calibri" w:eastAsia="Calibri" w:hAnsi="Calibri"/>
          <w:color w:val="222222"/>
          <w:sz w:val="21"/>
          <w:szCs w:val="21"/>
        </w:rPr>
        <w:t xml:space="preserve">Remove PII from logs and implement redaction</w:t>
      </w:r>
    </w:p>
    <w:p>
      <w:pPr>
        <w:pStyle w:val="Heading2"/>
        <w:spacing w:after="140" w:before="280"/>
      </w:pPr>
      <w:r>
        <w:rPr>
          <w:rFonts w:ascii="Calibri" w:cs="Calibri" w:eastAsia="Calibri" w:hAnsi="Calibri"/>
          <w:color w:val="2E5C8A"/>
        </w:rPr>
        <w:t xml:space="preserve">Short-Term (1–4 weeks)</w:t>
      </w:r>
    </w:p>
    <w:p>
      <w:pPr>
        <w:pStyle w:val="ListParagraph"/>
        <w:numPr>
          <w:ilvl w:val="0"/>
          <w:numId w:val="2"/>
        </w:numPr>
        <w:spacing w:after="80" w:line="270"/>
      </w:pPr>
      <w:r>
        <w:rPr>
          <w:rFonts w:ascii="Calibri" w:cs="Calibri" w:eastAsia="Calibri" w:hAnsi="Calibri"/>
          <w:color w:val="222222"/>
          <w:sz w:val="21"/>
          <w:szCs w:val="21"/>
        </w:rPr>
        <w:t xml:space="preserve">Implement CSP, X-Frame-Options, X-Content-Type-Options</w:t>
      </w:r>
    </w:p>
    <w:p>
      <w:pPr>
        <w:pStyle w:val="ListParagraph"/>
        <w:numPr>
          <w:ilvl w:val="0"/>
          <w:numId w:val="2"/>
        </w:numPr>
        <w:spacing w:after="80" w:line="270"/>
      </w:pPr>
      <w:r>
        <w:rPr>
          <w:rFonts w:ascii="Calibri" w:cs="Calibri" w:eastAsia="Calibri" w:hAnsi="Calibri"/>
          <w:color w:val="222222"/>
          <w:sz w:val="21"/>
          <w:szCs w:val="21"/>
        </w:rPr>
        <w:t xml:space="preserve">Introduce password complexity requirements</w:t>
      </w:r>
    </w:p>
    <w:p>
      <w:pPr>
        <w:pStyle w:val="ListParagraph"/>
        <w:numPr>
          <w:ilvl w:val="0"/>
          <w:numId w:val="2"/>
        </w:numPr>
        <w:spacing w:after="80" w:line="270"/>
      </w:pPr>
      <w:r>
        <w:rPr>
          <w:rFonts w:ascii="Calibri" w:cs="Calibri" w:eastAsia="Calibri" w:hAnsi="Calibri"/>
          <w:color w:val="222222"/>
          <w:sz w:val="21"/>
          <w:szCs w:val="21"/>
        </w:rPr>
        <w:t xml:space="preserve">Add rate limiting and account lockout</w:t>
      </w:r>
    </w:p>
    <w:p>
      <w:pPr>
        <w:pStyle w:val="Heading2"/>
        <w:spacing w:after="140" w:before="280"/>
      </w:pPr>
      <w:r>
        <w:rPr>
          <w:rFonts w:ascii="Calibri" w:cs="Calibri" w:eastAsia="Calibri" w:hAnsi="Calibri"/>
          <w:color w:val="2E5C8A"/>
        </w:rPr>
        <w:t xml:space="preserve">Long-Term (1–3 months)</w:t>
      </w:r>
    </w:p>
    <w:p>
      <w:pPr>
        <w:pStyle w:val="ListParagraph"/>
        <w:numPr>
          <w:ilvl w:val="0"/>
          <w:numId w:val="2"/>
        </w:numPr>
        <w:spacing w:after="80" w:line="270"/>
      </w:pPr>
      <w:r>
        <w:rPr>
          <w:rFonts w:ascii="Calibri" w:cs="Calibri" w:eastAsia="Calibri" w:hAnsi="Calibri"/>
          <w:color w:val="222222"/>
          <w:sz w:val="21"/>
          <w:szCs w:val="21"/>
        </w:rPr>
        <w:t xml:space="preserve">Deploy multi-factor authentication (MFA)</w:t>
      </w:r>
    </w:p>
    <w:p>
      <w:pPr>
        <w:pStyle w:val="ListParagraph"/>
        <w:numPr>
          <w:ilvl w:val="0"/>
          <w:numId w:val="2"/>
        </w:numPr>
        <w:spacing w:after="80" w:line="270"/>
      </w:pPr>
      <w:r>
        <w:rPr>
          <w:rFonts w:ascii="Calibri" w:cs="Calibri" w:eastAsia="Calibri" w:hAnsi="Calibri"/>
          <w:color w:val="222222"/>
          <w:sz w:val="21"/>
          <w:szCs w:val="21"/>
        </w:rPr>
        <w:t xml:space="preserve">Implement SIEM monitoring for sensitive events</w:t>
      </w:r>
    </w:p>
    <w:p>
      <w:pPr>
        <w:pStyle w:val="ListParagraph"/>
        <w:numPr>
          <w:ilvl w:val="0"/>
          <w:numId w:val="2"/>
        </w:numPr>
        <w:spacing w:after="80" w:line="270"/>
      </w:pPr>
      <w:r>
        <w:rPr>
          <w:rFonts w:ascii="Calibri" w:cs="Calibri" w:eastAsia="Calibri" w:hAnsi="Calibri"/>
          <w:color w:val="222222"/>
          <w:sz w:val="21"/>
          <w:szCs w:val="21"/>
        </w:rPr>
        <w:t xml:space="preserve">Conduct regular GDPR/DPA compliance audits</w:t>
      </w:r>
    </w:p>
    <w:p>
      <w:pPr>
        <w:pStyle w:val="Heading1"/>
        <w:pBdr>
          <w:bottom w:val="single" w:color="1F3864" w:sz="6" w:space="4"/>
        </w:pBdr>
        <w:spacing w:after="200" w:before="400"/>
      </w:pPr>
      <w:r>
        <w:rPr>
          <w:rFonts w:ascii="Calibri" w:cs="Calibri" w:eastAsia="Calibri" w:hAnsi="Calibri"/>
          <w:color w:val="1F3864"/>
        </w:rPr>
        <w:t xml:space="preserve">9. Conclusion</w:t>
      </w:r>
    </w:p>
    <w:p>
      <w:pPr>
        <w:spacing w:after="160" w:line="276"/>
      </w:pPr>
      <w:r>
        <w:rPr>
          <w:rFonts w:ascii="Calibri" w:cs="Calibri" w:eastAsia="Calibri" w:hAnsi="Calibri"/>
          <w:b w:val="false"/>
          <w:bCs w:val="false"/>
          <w:i w:val="false"/>
          <w:iCs w:val="false"/>
          <w:color w:val="222222"/>
          <w:sz w:val="21"/>
          <w:szCs w:val="21"/>
        </w:rPr>
        <w:t xml:space="preserve">The simulated web application exhibits several critical and high-risk issues that directly impact GDPR and UK DPA 2018 compliance. Implementing the recommended remediation steps will significantly improve the security posture, reduce regulatory exposure, and align the application with privacy-by-design principles.</w:t>
      </w:r>
    </w:p>
    <w:p>
      <w:pPr>
        <w:spacing w:after="160" w:line="276"/>
      </w:pPr>
      <w:r>
        <w:rPr>
          <w:rFonts w:ascii="Calibri" w:cs="Calibri" w:eastAsia="Calibri" w:hAnsi="Calibri"/>
          <w:b w:val="false"/>
          <w:bCs w:val="false"/>
          <w:i/>
          <w:iCs/>
          <w:color w:val="222222"/>
          <w:sz w:val="21"/>
          <w:szCs w:val="21"/>
        </w:rPr>
        <w:t xml:space="preserve">This assessment demonstrates the ability to translate technical findings into legal and business impact — a core competency for SOC, IR, and GRC roles.</w:t>
      </w:r>
    </w:p>
    <w:p>
      <w:pPr>
        <w:pStyle w:val="Heading1"/>
        <w:pBdr>
          <w:bottom w:val="single" w:color="1F3864" w:sz="6" w:space="4"/>
        </w:pBdr>
        <w:spacing w:after="200" w:before="400"/>
      </w:pPr>
      <w:r>
        <w:rPr>
          <w:rFonts w:ascii="Calibri" w:cs="Calibri" w:eastAsia="Calibri" w:hAnsi="Calibri"/>
          <w:color w:val="1F3864"/>
        </w:rPr>
        <w:t xml:space="preserve">10. Appendix: Evidence</w:t>
      </w:r>
    </w:p>
    <w:p>
      <w:pPr>
        <w:spacing w:after="100" w:line="276"/>
      </w:pPr>
      <w:r>
        <w:rPr>
          <w:rFonts w:ascii="Calibri" w:cs="Calibri" w:eastAsia="Calibri" w:hAnsi="Calibri"/>
          <w:b w:val="false"/>
          <w:bCs w:val="false"/>
          <w:i w:val="false"/>
          <w:iCs w:val="false"/>
          <w:color w:val="222222"/>
          <w:sz w:val="21"/>
          <w:szCs w:val="21"/>
        </w:rPr>
        <w:t xml:space="preserve">Evidence files are included in the /evidence directory:</w:t>
      </w:r>
    </w:p>
    <w:p>
      <w:pPr>
        <w:pStyle w:val="ListParagraph"/>
        <w:numPr>
          <w:ilvl w:val="0"/>
          <w:numId w:val="2"/>
        </w:numPr>
        <w:spacing w:after="80" w:line="270"/>
      </w:pPr>
      <w:r>
        <w:rPr>
          <w:rFonts w:ascii="Calibri" w:cs="Calibri" w:eastAsia="Calibri" w:hAnsi="Calibri"/>
          <w:color w:val="222222"/>
          <w:sz w:val="21"/>
          <w:szCs w:val="21"/>
        </w:rPr>
        <w:t xml:space="preserve">nmap-scan.txt</w:t>
      </w:r>
    </w:p>
    <w:p>
      <w:pPr>
        <w:pStyle w:val="ListParagraph"/>
        <w:numPr>
          <w:ilvl w:val="0"/>
          <w:numId w:val="2"/>
        </w:numPr>
        <w:spacing w:after="80" w:line="270"/>
      </w:pPr>
      <w:r>
        <w:rPr>
          <w:rFonts w:ascii="Calibri" w:cs="Calibri" w:eastAsia="Calibri" w:hAnsi="Calibri"/>
          <w:color w:val="222222"/>
          <w:sz w:val="21"/>
          <w:szCs w:val="21"/>
        </w:rPr>
        <w:t xml:space="preserve">nikto-report.txt</w:t>
      </w:r>
    </w:p>
    <w:p>
      <w:pPr>
        <w:pStyle w:val="ListParagraph"/>
        <w:numPr>
          <w:ilvl w:val="0"/>
          <w:numId w:val="2"/>
        </w:numPr>
        <w:spacing w:after="80" w:line="270"/>
      </w:pPr>
      <w:r>
        <w:rPr>
          <w:rFonts w:ascii="Calibri" w:cs="Calibri" w:eastAsia="Calibri" w:hAnsi="Calibri"/>
          <w:color w:val="222222"/>
          <w:sz w:val="21"/>
          <w:szCs w:val="21"/>
        </w:rPr>
        <w:t xml:space="preserve">suricata-log-sample.txt</w:t>
      </w:r>
    </w:p>
    <w:p>
      <w:pPr>
        <w:pStyle w:val="ListParagraph"/>
        <w:numPr>
          <w:ilvl w:val="0"/>
          <w:numId w:val="2"/>
        </w:numPr>
        <w:spacing w:after="80" w:line="270"/>
      </w:pPr>
      <w:r>
        <w:rPr>
          <w:rFonts w:ascii="Calibri" w:cs="Calibri" w:eastAsia="Calibri" w:hAnsi="Calibri"/>
          <w:color w:val="222222"/>
          <w:sz w:val="21"/>
          <w:szCs w:val="21"/>
        </w:rPr>
        <w:t xml:space="preserve">burp-headers.txt</w:t>
      </w:r>
    </w:p>
    <w:p>
      <w:pPr>
        <w:pStyle w:val="ListParagraph"/>
        <w:numPr>
          <w:ilvl w:val="0"/>
          <w:numId w:val="2"/>
        </w:numPr>
        <w:spacing w:after="80" w:line="270"/>
      </w:pPr>
      <w:r>
        <w:rPr>
          <w:rFonts w:ascii="Calibri" w:cs="Calibri" w:eastAsia="Calibri" w:hAnsi="Calibri"/>
          <w:color w:val="222222"/>
          <w:sz w:val="21"/>
          <w:szCs w:val="21"/>
        </w:rPr>
        <w:t xml:space="preserve">http-traffic-capture.txt</w:t>
      </w:r>
    </w:p>
    <w:p>
      <w:pPr>
        <w:pStyle w:val="ListParagraph"/>
        <w:numPr>
          <w:ilvl w:val="0"/>
          <w:numId w:val="2"/>
        </w:numPr>
        <w:spacing w:after="80" w:line="270"/>
      </w:pPr>
      <w:r>
        <w:rPr>
          <w:rFonts w:ascii="Calibri" w:cs="Calibri" w:eastAsia="Calibri" w:hAnsi="Calibri"/>
          <w:color w:val="222222"/>
          <w:sz w:val="21"/>
          <w:szCs w:val="21"/>
        </w:rPr>
        <w:t xml:space="preserve">password-policy-observation.txt</w:t>
      </w:r>
    </w:p>
    <w:sectPr>
      <w:pgSz w:w="11906" w:h="16838"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2026-08-12T12:34:26.870Z</dcterms:created>
  <dcterms:modified xsi:type="dcterms:W3CDTF">2026-08-12T12:34:26.870Z</dcterms:modified>
</cp:coreProperties>
</file>

<file path=docProps/custom.xml><?xml version="1.0" encoding="utf-8"?>
<Properties xmlns="http://schemas.openxmlformats.org/officeDocument/2006/custom-properties" xmlns:vt="http://schemas.openxmlformats.org/officeDocument/2006/docPropsVTypes"/>
</file>