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1F497D"/>
          <w:sz w:val="56"/>
        </w:rPr>
        <w:t>아이마켓 (KidsTrade)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2E75B6"/>
          <w:sz w:val="26"/>
        </w:rPr>
        <w:t>아이들이 직접 사고 파는, 대한민국 최초 아동 전용 C2C 중고거래 플랫폼</w:t>
      </w:r>
    </w:p>
    <w:p/>
    <w:p>
      <w:pPr>
        <w:jc w:val="center"/>
        <w:pBdr>
          <w:bottom w:val="single" w:sz="8" w:space="1" w:color="2E75B6"/>
        </w:pBdr>
      </w:pPr>
    </w:p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404040"/>
          <w:sz w:val="22"/>
        </w:rPr>
        <w:t>Pre-Seed    1억 5천만 원 투자 유치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404040"/>
          <w:sz w:val="22"/>
        </w:rPr>
        <w:t>수도권 파일럿 론칭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404040"/>
          <w:sz w:val="22"/>
        </w:rPr>
        <w:t>2026년 5월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i/>
          <w:color w:val="808080"/>
          <w:sz w:val="20"/>
        </w:rPr>
        <w:t>2026년 5월    |    기밀 자료 — 외부 배포 금지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1. Executive Summary</w:t>
      </w:r>
    </w:p>
    <w:p>
      <w:pPr>
        <w:spacing w:before="40" w:after="120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아이마켓은 국내 최초 아동 전용 보호자 연동 C2C 중고거래 플랫폼입니다. 아이들이 직접 물건을 등록하고, 부모가 승인하며, 학교·동네 안에서만 거래하는 세계 최초의 안전한 아동 중고거래 환경을 제공합니다.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4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서비스명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아이마켓 (KidsTrade)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서비스 유형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전용 보호자 연동 C2C 중고거래 웹 플랫폼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타깃 사용자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만 6~13세 아동 + 보호자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론칭 시장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(서울·경기·인천)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수익 모델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구독 → 거래 수수료 → B2B 데이터·제휴 (단계적 복합)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투자 요청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Pre-Seed  1억 5천만 원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자금 용도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MVP 개발 70%  ·  파일럿 운영 20%  ·  법무·인프라 10%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왜 지금인가</w:t>
      </w:r>
    </w:p>
    <w:p>
      <w:pPr>
        <w:spacing w:before="40" w:after="120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국내 중고거래 시장은 24조 원(2023)으로 성장했지만 아동 전용 플랫폼은 단 하나도 없습니다. 당근마켓·번개장터는 만 14세 미만 가입이 불가하며, 국내외 어디에도 아동 전용 C2C 플랫폼은 존재하지 않습니다. 아동 개인정보보호법 규제가 강화되는 지금이 진입 장벽을 가장 높게 쌓을 수 있는 최적의 타이밍입니다.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2. Problem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세 가지 핵심 문제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① 아동은 중고거래 플랫폼을 쓸 수 없다</w:t>
      </w:r>
    </w:p>
    <w:p>
      <w:pPr>
        <w:spacing w:before="40" w:after="12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당근마켓·번개장터는 만 14세 미만 가입 불가. 아이들이 쓰다 남긴 장난감·책·학용품은 부모 대리 거래나 폐기로 처리됩니다. 부모 대리 거래는 비체계적이고 사기 위험이 높은 맘카페에 의존합니다.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② 아동 소비재의 낭비가 심각하다</w:t>
      </w:r>
    </w:p>
    <w:p>
      <w:pPr>
        <w:spacing w:before="40" w:after="12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아동 1인당 연간 완구·교육 소비 금액은 50만 원 이상(2024 통계청). 대부분의 제품은 1~2년 내 사용 중단 후 방치되거나 폐기됩니다. 아동 소비재 재활용률은 성인 소비재 대비 현저히 낮습니다.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③ 일상 속 경제교육 기회가 없다</w:t>
      </w:r>
    </w:p>
    <w:p>
      <w:pPr>
        <w:spacing w:before="40" w:after="12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초등학교 교과에 금융·경제 교육이 포함되어 있으나 실제 거래 체험은 불가능합니다. 부모 73%가 자녀 경제교육에 관심이 있지만 구체적 실천 방법이 없다고 응답합니다 (한국금융투자자보호재단, 2023).</w:t>
      </w:r>
    </w:p>
    <w:p/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기존 대안의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대안</w:t>
            </w:r>
          </w:p>
        </w:tc>
        <w:tc>
          <w:tcPr>
            <w:tcW w:type="dxa" w:w="57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한계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당근마켓·번개장터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만 14세 미만 이용 불가, 성인과 동일 환경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맘카페 거래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비구조적, 분산, 검증 체계 없음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오프라인 바자회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연 1~2회, 접근성 낮음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직접 폐기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자원 낭비, 환경 부담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3. Solution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핵심 메커니즘: 보호자 이중 승인 구조</w:t>
      </w:r>
    </w:p>
    <w:p>
      <w:pPr>
        <w:spacing w:before="6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① 아이가 물건 등록 요청  →  ② 보호자 확인·승인  →  ③ 플랫폼 게시 공개</w:t>
      </w:r>
    </w:p>
    <w:p>
      <w:pPr>
        <w:spacing w:before="6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④ 아이가 구매 채팅 시작 (보호자에게 알림)  →  ⑤ 아이 구매 요청</w:t>
      </w:r>
    </w:p>
    <w:p>
      <w:pPr>
        <w:spacing w:before="6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⑥ 보호자 거래 장소 확인·승인  →  ⑦ 거래 완료 (씨앗 포인트 적립)</w:t>
      </w:r>
    </w:p>
    <w:p/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세 가지 차별화 설계 원칙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 xml:space="preserve">안전 우선 (Safety-First)  </w:t>
      </w: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아이는 닉네임·캐릭터만 노출, 개인정보 자동 차단, 거래 장소는 학교·커뮤니티센터 등 사전 등록된 안전 장소만 허용합니다.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 xml:space="preserve">아동 중심 UX (Child-First UX)  </w:t>
      </w:r>
      <w:r>
        <w:rPr>
          <w:rFonts w:ascii="맑은 고딕" w:hAnsi="맑은 고딕" w:eastAsia="맑은 고딕"/>
          <w:b w:val="0"/>
          <w:i w:val="0"/>
          <w:color w:val="404040"/>
          <w:sz w:val="21"/>
        </w:rPr>
        <w:t>텍스트 최소화, 이모지·스티커 중심 채팅, 음성 입력 지원, 단계별 가이드 캐릭터를 제공합니다.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 xml:space="preserve">교육 내재화 (Built-in Education)  </w:t>
      </w:r>
      <w:r>
        <w:rPr>
          <w:rFonts w:ascii="맑은 고딕" w:hAnsi="맑은 고딕" w:eastAsia="맑은 고딕"/>
          <w:b w:val="0"/>
          <w:i w:val="0"/>
          <w:color w:val="404040"/>
          <w:sz w:val="21"/>
        </w:rPr>
        <w:t>거래 완료 시 씨앗 포인트 적립, 절약 금액·환경 기여 시각화, 등급 뱃지 시스템으로 경제교육을 자연스럽게 내재화합니다.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4. Market Opportunity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시장 규모 (TAM / SAM / SOM)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규모</w:t>
            </w:r>
          </w:p>
        </w:tc>
        <w:tc>
          <w:tcPr>
            <w:tcW w:type="dxa" w:w="460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TAM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10조 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국내 아동(6~13세) 소비재 연간 시장 전체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SAM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3조 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중고거래 가능한 아동 소비재 (완구·도서·의류·스포츠 등)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SOM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150억 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아동 플랫폼 거래액 기준 Year 3 목표</w:t>
            </w:r>
          </w:p>
        </w:tc>
      </w:tr>
    </w:tbl>
    <w:p>
      <w:pPr>
        <w:spacing w:after="80"/>
      </w:pPr>
    </w:p>
    <w:p>
      <w:pPr>
        <w:spacing w:before="40" w:after="80"/>
        <w:ind w:left="288"/>
      </w:pPr>
      <w:r>
        <w:rPr>
          <w:rFonts w:ascii="맑은 고딕" w:hAnsi="맑은 고딕" w:eastAsia="맑은 고딕"/>
          <w:b w:val="0"/>
          <w:i/>
          <w:color w:val="606060"/>
          <w:sz w:val="19"/>
        </w:rPr>
        <w:t>국내 중고거래 시장 전체 규모 24조 원(2023, 통계청). 아동 소비재 비중 약 12~15%.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타깃 인구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국내 만 6~13세 아동: 약 330만 명 (2024 기준)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수도권 집중: 전체의 약 37% = 120만 명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인터넷 접근 가능 아동 가구: 수도권 기준 약 100만 가구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시장 성장성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중고거래 시장 연평균 성장률: 17.4% (2019~2023)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아동 완구 시장 규모: 2조 4천억 원 (2024, 한국완구협회)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ESG·지속가능 소비 트렌드 → 중고거래 수요 가속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5. Product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핵심 기능 4가지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① 아이 계정 (Child Account)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보호자 계정에 종속된 서브 계정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닉네임 + 캐릭터 아바타만 노출 (실명·사진 없음)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학교명 또는 동네 인증은 보호자가 수행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연령 기반 UI 자동 조정 (저학년/고학년 모드)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② 물건 등록 &amp; 보호자 승인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카테고리: 장난감 / 도서·학습지 / 문구·미술 / 스포츠·야외 / 의류·신발 / 기타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사진 업로드 + 음성 설명 입력 지원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AI 자동 카테고리 분류 + 적정가격 범위 추천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등록 후 보호자 푸시 알림 → 승인 시 자동 게시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③ 안전 거래 매칭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학교 단위 / 동네 반경 1~3km 이내 매칭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채팅: 텍스트 + 스티커만 허용, 전화번호·이메일 자동 마스킹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거래 장소: 플랫폼 등록 안전 장소 목록에서만 선택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거래 완료 후 보호자 쌍방 확인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④ 보호자 대시보드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자녀 등록 물품·채팅 내역 열람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실시간 알림 (등록 요청 / 채팅 시작 / 거래 제안)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월간 거래 내역 + 절약 금액 리포트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용돈 계좌 연동 (Phase 2)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게이미피케이션 — 경제교육 내재화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요소</w:t>
            </w:r>
          </w:p>
        </w:tc>
        <w:tc>
          <w:tcPr>
            <w:tcW w:type="dxa" w:w="64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씨앗 포인트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완료 시 적립, 추가 등록 슬롯·캐릭터 해금에 사용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등급 뱃지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새싹 → 열매 → 나무 → 숲 (거래 횟수 기반)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절약 시각화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"이번 달 OOO원 아꼈어요!" 월간 리포트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환경 기여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"탄소 OOkg 줄였어요!" — 지속가능 소비 교육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6. Business Model</w:t>
      </w:r>
    </w:p>
    <w:p>
      <w:pPr>
        <w:spacing w:before="40" w:after="120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수익 모델은 3단계 페이즈로 진화합니다. 초기에는 SaaS형 구독으로 빠르게 수익을 확보하고, 규모가 커지면 거래 수수료와 B2B를 더해 매출 구조를 다각화합니다.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Phase 1 — 구독 (Year 1~2)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플랜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대상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가격</w:t>
            </w:r>
          </w:p>
        </w:tc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혜택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무료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모든 가입자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0원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월 등록 3건, 기본 채팅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보호자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3,900원/월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무제한 등록, 상단 노출, 거래 분석 리포트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Phase 2 — 거래 수수료 추가 (Year 2~3)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거래 완료 건당 3% 수수료 (판매자 부담)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안전결제 기능 도입 시 결제 수수료 별도 (카드사 연동)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평균 거래 단가 8,000원 × 3% = 240원/건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Phase 3 — B2B 확장 (Year 3~)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수익원</w:t>
            </w:r>
          </w:p>
        </w:tc>
        <w:tc>
          <w:tcPr>
            <w:tcW w:type="dxa" w:w="432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단가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광고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교육·완구 브랜드 타겟 배너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CPM 기반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학교·기관 제휴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바자회·이벤트 연계 수수료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건당 계약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B2B 데이터 리포트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소비재 트렌드 익명 집계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연간 구독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핀테크 제휴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용돈 계좌 연동 파트너십 수수료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수익 분배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7. Go-to-Market Strategy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수도권 파일럿 전략 (0~6개월)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채널 1 — 학교 직접 진입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수도권 30개 초등학교 대상 공문·제안서 발송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담임교사·학부모회 대상 시범 운영 제안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학교별 바자회·환경교육과 연계 이벤트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채널 2 — 학부모 커뮤니티 바이럴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맘카페(네이버 카페) 상위 50개 타겟 입점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학부모 인플루언서(유튜브·인스타) 체험 리뷰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"아이가 직접 번 첫 용돈" 스토리 캠페인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채널 3 — ESG·교육 기관 협력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지역아동센터·도서관과 안전 거래 장소 MOU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교육청 창의·체험 프로그램 연계 신청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성장 단계 (7~18개월)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수도권 전 지역 서비스 오픈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학교 단위 리퍼럴 프로그램 (학교 인증 시 전교생 프리미엄 1개월 무료)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완구·교육 브랜드 공동 마케팅 (중고 거래 후 신제품 할인 쿠폰)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획득 비용 (CAC)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CAC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500~600원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600원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주요 채널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맘카페·SNS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리퍼럴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자연 유입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8. Competitive Landscape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경쟁 포지셔닝</w:t>
      </w:r>
    </w:p>
    <w:p>
      <w:pPr>
        <w:spacing w:before="40" w:after="120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아동 특화 + 중고거래 사분면에 국내외 경쟁자가 전혀 없습니다. 당근마켓·번개장터·중고나라는 모두 성인 범용 + 중고거래 영역에 위치해 있으며, 아이마켓은 유일하게 아동 특화 + 중고거래 포지션을 선점합니다.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직접 경쟁사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당근마켓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번개장터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아이마켓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타깃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성인 전체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10~30대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6~13세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이용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불가 (만 14세↑)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불가 (만 14세↑)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핵심 사용자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안전장치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신고 기능만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신고 기능만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보호자 이중 승인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교육 가치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없음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없음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경제·환경 교육 통합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지역 신뢰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동네 기반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없음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학교 인증 기반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규제 대응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일반법 적용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일반법 적용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아동 개인정보보호법 선제 내재화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해외 유사 사례 — 완전한 형태는 없다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서비스</w:t>
            </w:r>
          </w:p>
        </w:tc>
        <w:tc>
          <w:tcPr>
            <w:tcW w:type="dxa" w:w="14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국가</w:t>
            </w:r>
          </w:p>
        </w:tc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특징</w:t>
            </w:r>
          </w:p>
        </w:tc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아이마켓과의 차이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ThredUp Kids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미국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의류 C2B 리셀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B2C, 아동이 직접 거래 불가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KidsAround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유럽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아동용품 지역 거래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보호자 중심, 교육 요소 없음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Vinted (Kids)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유럽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의류 특화 안전결제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성인 플랫폼의 필터 기능에 불과</w:t>
            </w:r>
          </w:p>
        </w:tc>
      </w:tr>
    </w:tbl>
    <w:p>
      <w:pPr>
        <w:spacing w:after="80"/>
      </w:pPr>
    </w:p>
    <w:p>
      <w:pPr>
        <w:spacing w:before="40" w:after="80"/>
        <w:ind w:left="288"/>
      </w:pPr>
      <w:r>
        <w:rPr>
          <w:rFonts w:ascii="맑은 고딕" w:hAnsi="맑은 고딕" w:eastAsia="맑은 고딕"/>
          <w:b w:val="0"/>
          <w:i/>
          <w:color w:val="606060"/>
          <w:sz w:val="19"/>
        </w:rPr>
        <w:t>결론: 세계 어디에도 아동이 직접 거래하는 전용 C2C 플랫폼은 없습니다 → 글로벌 블루오션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경쟁 우위 (Moat) 5가지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우위 요소</w:t>
            </w:r>
          </w:p>
        </w:tc>
        <w:tc>
          <w:tcPr>
            <w:tcW w:type="dxa" w:w="50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모방 난이도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안전 구조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보호자 이중 승인 — 특허 출원 가능 구조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전용 UX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성인 앱 단순화가 아닌 인지 발달 기반 설계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중간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학교 네트워크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학교 채널 파트너십 → 전환 비용 높은 락인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교육적 가치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= 교육 콘텐츠 → ESG 투자 매력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규제 선점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개인정보보호법 준수 체계 초기 내재화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9. Financial Projections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핵심 가정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수치</w:t>
            </w:r>
          </w:p>
        </w:tc>
        <w:tc>
          <w:tcPr>
            <w:tcW w:type="dxa" w:w="360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TAM (가구 수)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100만 가구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6~13세 아동 보유 가구 추산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Year 1 MAU 목표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30,000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파일럿, TAM의 3%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Year 3 MAU 목표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200,000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20% 점유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전환율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5% → 9%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SaaS 보수적 추정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월 구독료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3,900원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보호자 지불 의향 조사 기준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평균 거래 단가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8,000원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소비재 소액 특성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수수료율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3%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Year 2 도입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참여율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MAU의 35%~42%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월 1회 이상 거래 활성 유저 비율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매출 계획 (단위: 만 원)</w:t>
      </w:r>
    </w:p>
    <w:p>
      <w:pPr>
        <w:spacing w:before="40" w:after="80"/>
        <w:ind w:left="288"/>
      </w:pPr>
      <w:r>
        <w:rPr>
          <w:rFonts w:ascii="맑은 고딕" w:hAnsi="맑은 고딕" w:eastAsia="맑은 고딕"/>
          <w:b w:val="0"/>
          <w:i/>
          <w:color w:val="606060"/>
          <w:sz w:val="19"/>
        </w:rPr>
        <w:t>연평균 MAU = (연초 + 연말) / 2 기준 산출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592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수익원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4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구독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3,510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18,252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49,140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102,960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189,720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수수료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—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6,552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16,416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31,680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54,432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광고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5,000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B2B·제휴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—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—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3,000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매출 합계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3,610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25,304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67,556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139,140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252,152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비용 계획 (단위: 만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6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144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44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44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4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인건비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18,000 (5명)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30,000 (8명)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60,000 (15명)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100,000 (25명)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160,000 (40명)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서버·인프라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8,000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마케팅·PR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4,000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9,000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12,000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법무·컴플라이언스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기타 운영비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400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3,000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비용 합계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21,000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36,800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71,000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116,500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183,500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손익 요약 (단위: 만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880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158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58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58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  <w:tc>
          <w:tcPr>
            <w:tcW w:type="dxa" w:w="158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4</w:t>
            </w:r>
          </w:p>
        </w:tc>
        <w:tc>
          <w:tcPr>
            <w:tcW w:type="dxa" w:w="158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매출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3,610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25,304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67,556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139,140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252,152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비용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21,000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36,800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71,000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116,500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183,500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영업손익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-17,390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-11,496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-3,444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+22,640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+68,652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누적 손익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-17,390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-28,886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-32,330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-9,690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+58,962</w:t>
            </w:r>
          </w:p>
        </w:tc>
      </w:tr>
    </w:tbl>
    <w:p>
      <w:pPr>
        <w:spacing w:after="80"/>
      </w:pPr>
    </w:p>
    <w:p>
      <w:pPr>
        <w:spacing w:before="40" w:after="80"/>
        <w:ind w:left="288"/>
      </w:pPr>
      <w:r>
        <w:rPr>
          <w:rFonts w:ascii="맑은 고딕" w:hAnsi="맑은 고딕" w:eastAsia="맑은 고딕"/>
          <w:b w:val="0"/>
          <w:i/>
          <w:color w:val="606060"/>
          <w:sz w:val="19"/>
        </w:rPr>
        <w:t>BEP 예상: Year 4 중반 (MAU 약 35만 명, 프리미엄 전환율 8% 달성 시)</w:t>
      </w:r>
    </w:p>
    <w:p>
      <w:pPr>
        <w:spacing w:before="40" w:after="80"/>
        <w:ind w:left="288"/>
      </w:pPr>
      <w:r>
        <w:rPr>
          <w:rFonts w:ascii="맑은 고딕" w:hAnsi="맑은 고딕" w:eastAsia="맑은 고딕"/>
          <w:b w:val="0"/>
          <w:i/>
          <w:color w:val="606060"/>
          <w:sz w:val="19"/>
        </w:rPr>
        <w:t>총 필요 자금: 약 33억 원 (Pre-Seed 1.5억 + Seed 5억 + Series A 20억 + 자체 수익)</w:t>
      </w:r>
    </w:p>
    <w:p/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유닛 이코노믹스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0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연평균 MAU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15,000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150,000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CAC (마케팅비 ÷ 신규 유저)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500원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600원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유저 평균 유지 기간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15개월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24개월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LTV — 프리미엄 유저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58,500원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93,600원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CAC (CAC ÷ 전환율)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10,000원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8,571원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LTV/CAC (프리미엄)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5.9x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10.9x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블렌디드 LTV/CAC (전체 유저)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8.2x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12.5x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유저 성장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3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4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MAU (연말 기준)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30,000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100,000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200,000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350,000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550,000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프리미엄 유저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1,500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14,000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28,000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49,500</w:t>
            </w:r>
          </w:p>
        </w:tc>
      </w:tr>
      <w:tr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월 거래 건수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15,750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52,500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114,000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210,000</w:t>
            </w:r>
          </w:p>
        </w:tc>
        <w:tc>
          <w:tcPr>
            <w:tcW w:type="dxa" w:w="1512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346,500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누적 거래 건수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189,000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819,000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2,187,000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4,707,000</w:t>
            </w:r>
          </w:p>
        </w:tc>
        <w:tc>
          <w:tcPr>
            <w:tcW w:type="dxa" w:w="1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8,865,000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10. Team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창업자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4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역할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CEO / 서비스 기획 총괄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핵심 역량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(투자자 미팅 전 업데이트 필요 — 창업자의 관련 경력·전문 분야 기재)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창업 배경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소비재 낭비 문제와 경제교육 부재에 대한 직접적 문제 인식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학력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Aalto University MBA 재학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핵심 채용 로드맵</w:t>
      </w: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>Phase 1 (0~6개월) — Pre-Seed 이후 즉시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우선순위</w:t>
            </w:r>
          </w:p>
        </w:tc>
        <w:tc>
          <w:tcPr>
            <w:tcW w:type="dxa" w:w="446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업무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CTO / 백엔드 개발자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★★★ 최우선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MVP 아키텍처 설계, API·DB 구축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프론트엔드 개발자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★★★ 최우선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웹 UI/UX 구현 (React 기반)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UI/UX 디자이너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 우선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전용 디자인 시스템 구축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>Phase 2 (7~12개월) — Seed 이후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우선순위</w:t>
            </w:r>
          </w:p>
        </w:tc>
        <w:tc>
          <w:tcPr>
            <w:tcW w:type="dxa" w:w="446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업무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그로스 마케터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★★★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학교·학부모 채널 확장, 바이럴 캠페인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운영·CS 매니저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파일럿 학교 관리, 고객 지원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법무·컴플라이언스 (파트타임)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★★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개인정보보호법 지속 대응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자문단 (구성 예정)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아동 심리·인지 발달 전문가 (UX 검증)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개인정보보호 법무 전문가 (규제 대응)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핀테크·용돈 계좌 파트너사 임원 (Phase 2 연동)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11. The Ask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투자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4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라운드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Pre-Seed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요청 금액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1억 5천만 원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목표 기간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6개월 (MVP 완성 + 파일럿 30개 학교)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자금 사용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금액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MVP 개발 (외주 + 창업 팀 인건비)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1억 500만 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70%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파일럿 운영 (학교 섭외, 마케팅)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3,000만 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20%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법무·개인정보보호 컨설팅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750만 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5%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서버·인프라 구축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750만 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5%</w:t>
            </w:r>
          </w:p>
        </w:tc>
      </w:tr>
      <w:tr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합계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1억 5,000만 원</w:t>
            </w:r>
          </w:p>
        </w:tc>
        <w:tc>
          <w:tcPr>
            <w:tcW w:type="dxa" w:w="3024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100%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Pre-Seed 6개월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시점</w:t>
            </w:r>
          </w:p>
        </w:tc>
        <w:tc>
          <w:tcPr>
            <w:tcW w:type="dxa" w:w="763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마일스톤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M+1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개발팀 구성 완료, MVP 설계 확정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M+3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MVP 베타 버전 완성, 내부 테스트</w:t>
            </w:r>
          </w:p>
        </w:tc>
      </w:tr>
      <w:tr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M+4</w:t>
            </w:r>
          </w:p>
        </w:tc>
        <w:tc>
          <w:tcPr>
            <w:tcW w:type="dxa" w:w="4536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수도권 10개 초등학교 파일럿 시작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M+6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MAU 3,000 달성, 파일럿 30개 학교, Seed 투자 유치 시작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Seed 이후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187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시기</w:t>
            </w:r>
          </w:p>
        </w:tc>
        <w:tc>
          <w:tcPr>
            <w:tcW w:type="dxa" w:w="187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목표 금액</w:t>
            </w:r>
          </w:p>
        </w:tc>
        <w:tc>
          <w:tcPr>
            <w:tcW w:type="dxa" w:w="388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Seed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Year 1 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5억 원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팀 빌딩, 수도권 전체 서비스 오픈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color w:val="404040"/>
                <w:sz w:val="20"/>
              </w:rPr>
              <w:t>Series 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Year 2~3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20억 원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전국 확장, 거래 수수료 도입, 핀테크 연동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맑은 고딕" w:hAnsi="맑은 고딕" w:eastAsia="맑은 고딕"/>
          <w:b/>
          <w:i w:val="0"/>
          <w:color w:val="2E75B6"/>
          <w:sz w:val="26"/>
        </w:rPr>
        <w:t>투자자 유치 전략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임팩트 투자자 — 교육·환경 ESG 펀드 (사회적 가치 + 수익성 동시 충족)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전략적 투자자 (SI) — 완구·교육 브랜드, 핀테크 파트너사</w:t>
      </w:r>
    </w:p>
    <w:p>
      <w:pPr>
        <w:pStyle w:val="ListBullet"/>
        <w:spacing w:before="20" w:after="60"/>
        <w:ind w:left="432"/>
      </w:pPr>
      <w:r>
        <w:rPr>
          <w:rFonts w:ascii="맑은 고딕" w:hAnsi="맑은 고딕" w:eastAsia="맑은 고딕"/>
          <w:b w:val="0"/>
          <w:i w:val="0"/>
          <w:color w:val="404040"/>
          <w:sz w:val="21"/>
        </w:rPr>
        <w:t>정부 지원 — 교육부·과기부·지자체 스타트업 지원사업 병행</w:t>
      </w:r>
    </w:p>
    <w:p>
      <w:r>
        <w:br w:type="page"/>
      </w:r>
    </w:p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12. Risk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리스크</w:t>
            </w:r>
          </w:p>
        </w:tc>
        <w:tc>
          <w:tcPr>
            <w:tcW w:type="dxa" w:w="14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가능성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영향</w:t>
            </w:r>
          </w:p>
        </w:tc>
        <w:tc>
          <w:tcPr>
            <w:tcW w:type="dxa" w:w="417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보호자 참여 저조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승인 UX 1-tap 간소화, 푸시 알림 최적화, 혜택 강화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아동 개인정보 규제 강화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높음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법무 자문 상시 유지, COPPA 기준 선제 적용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대형 플랫폼 시장 진입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낮음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학교 네트워크 락인, 교육 가치 차별화 (규제 대응 부담으로 단기 진입 어려움)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거래 안전사고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낮음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매우 높음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안전 장소 제한, 보호자 동행 권고, 즉시 대응 프로토콜</w:t>
            </w:r>
          </w:p>
        </w:tc>
      </w:tr>
      <w:tr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낮은 거래 단가 수익 한계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중</w:t>
            </w:r>
          </w:p>
        </w:tc>
        <w:tc>
          <w:tcPr>
            <w:tcW w:type="dxa" w:w="2268"/>
            <w:shd w:val="clear" w:color="auto" w:fill="EA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20"/>
              </w:rPr>
              <w:t>구독 모델 우선 + B2B 수익으로 보완</w:t>
            </w:r>
          </w:p>
        </w:tc>
      </w:tr>
    </w:tbl>
    <w:p>
      <w:pPr>
        <w:spacing w:after="80"/>
      </w:pPr>
    </w:p>
    <w:p/>
    <w:p>
      <w:pPr>
        <w:keepNext/>
        <w:spacing w:before="360" w:after="120"/>
        <w:pBdr>
          <w:bottom w:val="single" w:sz="16" w:space="1" w:color="1F497D"/>
        </w:pBdr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Appendix. 규제 환경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 xml:space="preserve">아동·청소년의 개인정보 보호법  </w:t>
      </w:r>
      <w:r>
        <w:rPr>
          <w:rFonts w:ascii="맑은 고딕" w:hAnsi="맑은 고딕" w:eastAsia="맑은 고딕"/>
          <w:b w:val="0"/>
          <w:i w:val="0"/>
          <w:color w:val="404040"/>
          <w:sz w:val="20"/>
        </w:rPr>
        <w:t>만 14세 미만 아동 개인정보 수집 시 보호자 동의 의무 — 아이마켓 설계에 초기부터 내재화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 xml:space="preserve">정보통신망법  </w:t>
      </w:r>
      <w:r>
        <w:rPr>
          <w:rFonts w:ascii="맑은 고딕" w:hAnsi="맑은 고딕" w:eastAsia="맑은 고딕"/>
          <w:b w:val="0"/>
          <w:i w:val="0"/>
          <w:color w:val="404040"/>
          <w:sz w:val="20"/>
        </w:rPr>
        <w:t>아동 대상 서비스의 개인정보 처리 특례 준수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 xml:space="preserve">COPPA (미국 아동 온라인 프라이버시 보호법)  </w:t>
      </w:r>
      <w:r>
        <w:rPr>
          <w:rFonts w:ascii="맑은 고딕" w:hAnsi="맑은 고딕" w:eastAsia="맑은 고딕"/>
          <w:b w:val="0"/>
          <w:i w:val="0"/>
          <w:color w:val="404040"/>
          <w:sz w:val="20"/>
        </w:rPr>
        <w:t>향후 글로벌 진출 시 기준 — 국내 선제 적용으로 해외 확장 용이</w:t>
      </w:r>
    </w:p>
    <w:p>
      <w:pPr>
        <w:spacing w:before="120"/>
      </w:pPr>
      <w:r>
        <w:rPr>
          <w:rFonts w:ascii="맑은 고딕" w:hAnsi="맑은 고딕" w:eastAsia="맑은 고딕"/>
          <w:b/>
          <w:i w:val="0"/>
          <w:color w:val="2E75B6"/>
          <w:sz w:val="21"/>
        </w:rPr>
        <w:t xml:space="preserve">전자상거래법  </w:t>
      </w:r>
      <w:r>
        <w:rPr>
          <w:rFonts w:ascii="맑은 고딕" w:hAnsi="맑은 고딕" w:eastAsia="맑은 고딕"/>
          <w:b w:val="0"/>
          <w:i w:val="0"/>
          <w:color w:val="404040"/>
          <w:sz w:val="20"/>
        </w:rPr>
        <w:t>C2C 거래 플랫폼 운영자 의무 (분쟁 조정 절차 마련)</w:t>
      </w:r>
    </w:p>
    <w:p/>
    <w:p>
      <w:pPr>
        <w:jc w:val="center"/>
        <w:pBdr>
          <w:bottom w:val="single" w:sz="8" w:space="1" w:color="1F497D"/>
        </w:pBdr>
      </w:pPr>
      <w:r>
        <w:rPr>
          <w:rFonts w:ascii="맑은 고딕" w:hAnsi="맑은 고딕" w:eastAsia="맑은 고딕"/>
          <w:b w:val="0"/>
          <w:i/>
          <w:color w:val="808080"/>
          <w:sz w:val="18"/>
        </w:rPr>
        <w:t>2026년 5월  |  본 문서는 투자 유치 및 창업 준비 목적의 기밀 자료입니다.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