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80"/>
      </w:pPr>
      <w:r>
        <w:t xml:space="preserve"/>
      </w:r>
    </w:p>
    <w:p>
      <w:pPr>
        <w:spacing w:after="160"/>
        <w:jc w:val="center"/>
      </w:pPr>
      <w:r>
        <w:rPr>
          <w:rFonts w:ascii="Arial" w:cs="Arial" w:eastAsia="Arial" w:hAnsi="Arial"/>
          <w:b/>
          <w:bCs/>
          <w:color w:val="1F3864"/>
          <w:sz w:val="64"/>
          <w:szCs w:val="64"/>
        </w:rPr>
        <w:t xml:space="preserve">UNIVERSITY NETWORK</w:t>
      </w:r>
    </w:p>
    <w:p>
      <w:pPr>
        <w:spacing w:after="200"/>
        <w:jc w:val="center"/>
      </w:pPr>
      <w:r>
        <w:rPr>
          <w:rFonts w:ascii="Arial" w:cs="Arial" w:eastAsia="Arial" w:hAnsi="Arial"/>
          <w:b/>
          <w:bCs/>
          <w:color w:val="1F3864"/>
          <w:sz w:val="64"/>
          <w:szCs w:val="64"/>
        </w:rPr>
        <w:t xml:space="preserve">SECURITY ARCHITECTURE</w:t>
      </w:r>
    </w:p>
    <w:p>
      <w:pPr>
        <w:pBdr>
          <w:bottom w:val="single" w:color="2E75B6" w:sz="8"/>
        </w:pBdr>
        <w:spacing w:after="480"/>
        <w:jc w:val="center"/>
      </w:pPr>
      <w:r>
        <w:rPr>
          <w:rFonts w:ascii="Arial" w:cs="Arial" w:eastAsia="Arial" w:hAnsi="Arial"/>
          <w:i/>
          <w:iCs/>
          <w:color w:val="2E75B6"/>
          <w:sz w:val="32"/>
          <w:szCs w:val="32"/>
        </w:rPr>
        <w:t xml:space="preserve">Comprehensive Security Solution Documentation</w:t>
      </w:r>
    </w:p>
    <w:p>
      <w:pPr>
        <w:spacing w:after="480"/>
      </w:pPr>
      <w:r>
        <w:t xml:space="preserve"/>
      </w:r>
    </w:p>
    <w:p>
      <w:pPr>
        <w:spacing w:after="80"/>
        <w:jc w:val="center"/>
      </w:pPr>
      <w:r>
        <w:rPr>
          <w:rFonts w:ascii="Arial" w:cs="Arial" w:eastAsia="Arial" w:hAnsi="Arial"/>
          <w:color w:val="888888"/>
          <w:sz w:val="22"/>
          <w:szCs w:val="22"/>
        </w:rPr>
        <w:t xml:space="preserve">Prepared by</w:t>
      </w:r>
    </w:p>
    <w:p>
      <w:pPr>
        <w:spacing w:after="80"/>
        <w:jc w:val="center"/>
      </w:pPr>
      <w:r>
        <w:rPr>
          <w:rFonts w:ascii="Arial" w:cs="Arial" w:eastAsia="Arial" w:hAnsi="Arial"/>
          <w:b/>
          <w:bCs/>
          <w:sz w:val="36"/>
          <w:szCs w:val="36"/>
        </w:rPr>
        <w:t xml:space="preserve">Jaden Cao</w:t>
      </w:r>
    </w:p>
    <w:p>
      <w:pPr>
        <w:spacing w:after="80"/>
        <w:jc w:val="center"/>
      </w:pPr>
      <w:r>
        <w:rPr>
          <w:rFonts w:ascii="Arial" w:cs="Arial" w:eastAsia="Arial" w:hAnsi="Arial"/>
          <w:sz w:val="24"/>
          <w:szCs w:val="24"/>
        </w:rPr>
        <w:t xml:space="preserve">CS 478 — Network Security</w:t>
      </w:r>
    </w:p>
    <w:p>
      <w:pPr>
        <w:spacing w:after="80"/>
        <w:jc w:val="center"/>
      </w:pPr>
      <w:r>
        <w:rPr>
          <w:rFonts w:ascii="Arial" w:cs="Arial" w:eastAsia="Arial" w:hAnsi="Arial"/>
          <w:sz w:val="24"/>
          <w:szCs w:val="24"/>
        </w:rPr>
        <w:t xml:space="preserve">March 18, 2026</w:t>
      </w:r>
    </w:p>
    <w:p>
      <w:r>
        <w:br w:type="page"/>
      </w:r>
    </w:p>
    <w:p>
      <w:pPr>
        <w:pStyle w:val="Heading1"/>
      </w:pPr>
      <w:r>
        <w:rPr>
          <w:rFonts w:ascii="Arial" w:cs="Arial" w:eastAsia="Arial" w:hAnsi="Arial"/>
          <w:b/>
          <w:bCs/>
          <w:color w:val="1F3864"/>
          <w:sz w:val="36"/>
          <w:szCs w:val="36"/>
        </w:rPr>
        <w:t xml:space="preserve">Executive Summary</w:t>
      </w:r>
    </w:p>
    <w:p>
      <w:pPr>
        <w:pBdr>
          <w:bottom w:val="single" w:color="2E75B6" w:sz="8" w:space="1"/>
        </w:pBdr>
        <w:spacing w:after="200"/>
      </w:pPr>
      <w:r>
        <w:t xml:space="preserve"/>
      </w:r>
    </w:p>
    <w:p>
      <w:pPr>
        <w:spacing w:after="160"/>
      </w:pPr>
      <w:r>
        <w:rPr>
          <w:rFonts w:ascii="Arial" w:cs="Arial" w:eastAsia="Arial" w:hAnsi="Arial"/>
          <w:sz w:val="24"/>
          <w:szCs w:val="24"/>
        </w:rPr>
        <w:t xml:space="preserve">The University operates one of the most complex and diverse digital environments of any modern organization. Its network spans multiple campuses, academic buildings, research laboratories, administrative offices, and student dormitories—simultaneously accessed by thousands of students, faculty, and staff. This network is the backbone for everything the University does: delivering coursework, enabling cutting-edge research, processing financial transactions, and connecting the institution with partner universities and the global Research and Education Network (REN).</w:t>
      </w:r>
    </w:p>
    <w:p>
      <w:pPr>
        <w:spacing w:after="160"/>
      </w:pPr>
      <w:r>
        <w:rPr>
          <w:rFonts w:ascii="Arial" w:cs="Arial" w:eastAsia="Arial" w:hAnsi="Arial"/>
          <w:sz w:val="24"/>
          <w:szCs w:val="24"/>
        </w:rPr>
        <w:t xml:space="preserve">This document presents a comprehensive, institution-wide Security Architecture Blueprint. The plan was developed from the perspective of a Security Architect charged with protecting not only the University's data and systems, but also the trust of every person who relies on those systems. It is written to be understood by institutional leadership—not just technical staff—because cybersecurity decisions require buy-in at every level of the organization.</w:t>
      </w:r>
    </w:p>
    <w:p>
      <w:pPr>
        <w:pStyle w:val="Heading2"/>
      </w:pPr>
      <w:r>
        <w:rPr>
          <w:rFonts w:ascii="Arial" w:cs="Arial" w:eastAsia="Arial" w:hAnsi="Arial"/>
          <w:b/>
          <w:bCs/>
          <w:color w:val="2E75B6"/>
          <w:sz w:val="28"/>
          <w:szCs w:val="28"/>
        </w:rPr>
        <w:t xml:space="preserve">Why This Matters</w:t>
      </w:r>
    </w:p>
    <w:p>
      <w:pPr>
        <w:spacing w:after="160"/>
      </w:pPr>
      <w:r>
        <w:rPr>
          <w:rFonts w:ascii="Arial" w:cs="Arial" w:eastAsia="Arial" w:hAnsi="Arial"/>
          <w:sz w:val="24"/>
          <w:szCs w:val="24"/>
        </w:rPr>
        <w:t xml:space="preserve">Universities are among the most frequently targeted organizations in the world. They maintain vast repositories of personally identifiable information (PII), proprietary research data, financial records, and health information. Unlike a corporation, a university cannot simply lock down its network: it must remain open to the intellectual exchange that defines higher education, while simultaneously protecting the assets within it. This tension—openness versus security—is the central challenge this plan is designed to address.</w:t>
      </w:r>
    </w:p>
    <w:p>
      <w:pPr>
        <w:spacing w:after="160"/>
      </w:pPr>
      <w:r>
        <w:rPr>
          <w:rFonts w:ascii="Arial" w:cs="Arial" w:eastAsia="Arial" w:hAnsi="Arial"/>
          <w:sz w:val="24"/>
          <w:szCs w:val="24"/>
        </w:rPr>
        <w:t xml:space="preserve">The consequences of a major security breach at a university are severe. A ransomware attack can shut down registration systems and prevent students from enrolling. The theft of research data can cost the institution millions in federal grant funding. Exposure of student records carries legal liability under FERPA. This architecture is designed to significantly reduce the likelihood and impact of these events.</w:t>
      </w:r>
    </w:p>
    <w:p>
      <w:pPr>
        <w:pStyle w:val="Heading2"/>
      </w:pPr>
      <w:r>
        <w:rPr>
          <w:rFonts w:ascii="Arial" w:cs="Arial" w:eastAsia="Arial" w:hAnsi="Arial"/>
          <w:b/>
          <w:bCs/>
          <w:color w:val="2E75B6"/>
          <w:sz w:val="28"/>
          <w:szCs w:val="28"/>
        </w:rPr>
        <w:t xml:space="preserve">The Core Approach: Defense-in-Depth</w:t>
      </w:r>
    </w:p>
    <w:p>
      <w:pPr>
        <w:spacing w:after="160"/>
      </w:pPr>
      <w:r>
        <w:rPr>
          <w:rFonts w:ascii="Arial" w:cs="Arial" w:eastAsia="Arial" w:hAnsi="Arial"/>
          <w:sz w:val="24"/>
          <w:szCs w:val="24"/>
        </w:rPr>
        <w:t xml:space="preserve">The security strategy is built on a principle called Defense-in-Depth. Rather than relying on a single security measure, the plan layers multiple independent defenses at every level of the network. If an attacker bypasses one layer—perhaps through a sophisticated phishing email—they encounter another before they can reach sensitive data. Think of it like a medieval castle: a moat, outer walls, a gatehouse, inner walls, and a fortified keep. Each layer provides independent protection.</w:t>
      </w:r>
    </w:p>
    <w:p>
      <w:pPr>
        <w:spacing w:after="160"/>
      </w:pPr>
      <w:r>
        <w:rPr>
          <w:rFonts w:ascii="Arial" w:cs="Arial" w:eastAsia="Arial" w:hAnsi="Arial"/>
          <w:sz w:val="24"/>
          <w:szCs w:val="24"/>
        </w:rPr>
        <w:t xml:space="preserve">This principle is implemented through network segmentation: the University's infrastructure is divided into distinct, isolated zones. Student devices, administrative workstations, research servers, and public-facing web services each reside in their own protected segment. A compromise in one zone cannot automatically cascade to another.</w:t>
      </w:r>
    </w:p>
    <w:p>
      <w:pPr>
        <w:pStyle w:val="Heading2"/>
      </w:pPr>
      <w:r>
        <w:rPr>
          <w:rFonts w:ascii="Arial" w:cs="Arial" w:eastAsia="Arial" w:hAnsi="Arial"/>
          <w:b/>
          <w:bCs/>
          <w:color w:val="2E75B6"/>
          <w:sz w:val="28"/>
          <w:szCs w:val="28"/>
        </w:rPr>
        <w:t xml:space="preserve">Key Security Highlights</w:t>
      </w:r>
    </w:p>
    <w:p>
      <w:pPr>
        <w:spacing w:after="160"/>
      </w:pPr>
      <w:r>
        <w:rPr>
          <w:rFonts w:ascii="Arial" w:cs="Arial" w:eastAsia="Arial" w:hAnsi="Arial"/>
          <w:sz w:val="24"/>
          <w:szCs w:val="24"/>
        </w:rPr>
        <w:t xml:space="preserve">The architecture addresses twenty distinct security requirements. In non-technical terms, the most significant institutional commitments include:</w:t>
      </w:r>
    </w:p>
    <w:p>
      <w:pPr>
        <w:pStyle w:val="ListParagraph"/>
        <w:numPr>
          <w:ilvl w:val="0"/>
          <w:numId w:val="2"/>
        </w:numPr>
        <w:spacing w:after="80"/>
      </w:pPr>
      <w:r>
        <w:rPr>
          <w:rFonts w:ascii="Arial" w:cs="Arial" w:eastAsia="Arial" w:hAnsi="Arial"/>
          <w:sz w:val="24"/>
          <w:szCs w:val="24"/>
        </w:rPr>
        <w:t xml:space="preserve">Strong multi-factor authentication for all accounts: Every administrator and staff member will use more than one form of verification to log in—such as a password plus a physical security device—making account takeovers exponentially more difficult even when passwords are stolen.</w:t>
      </w:r>
    </w:p>
    <w:p>
      <w:pPr>
        <w:pStyle w:val="ListParagraph"/>
        <w:numPr>
          <w:ilvl w:val="0"/>
          <w:numId w:val="2"/>
        </w:numPr>
        <w:spacing w:after="80"/>
      </w:pPr>
      <w:r>
        <w:rPr>
          <w:rFonts w:ascii="Arial" w:cs="Arial" w:eastAsia="Arial" w:hAnsi="Arial"/>
          <w:sz w:val="24"/>
          <w:szCs w:val="24"/>
        </w:rPr>
        <w:t xml:space="preserve">Encryption everywhere: All data transmitted over the network—whether between a student's laptop and a professor's server, or between campuses—is encrypted, rendering intercepted traffic unreadable to an attacker.</w:t>
      </w:r>
    </w:p>
    <w:p>
      <w:pPr>
        <w:pStyle w:val="ListParagraph"/>
        <w:numPr>
          <w:ilvl w:val="0"/>
          <w:numId w:val="2"/>
        </w:numPr>
        <w:spacing w:after="80"/>
      </w:pPr>
      <w:r>
        <w:rPr>
          <w:rFonts w:ascii="Arial" w:cs="Arial" w:eastAsia="Arial" w:hAnsi="Arial"/>
          <w:sz w:val="24"/>
          <w:szCs w:val="24"/>
        </w:rPr>
        <w:t xml:space="preserve">24/7 automated threat monitoring: Intrusion detection systems continuously watch for abnormal behavior, and automated prevention systems block known attack patterns in real time before they can cause harm.</w:t>
      </w:r>
    </w:p>
    <w:p>
      <w:pPr>
        <w:pStyle w:val="ListParagraph"/>
        <w:numPr>
          <w:ilvl w:val="0"/>
          <w:numId w:val="2"/>
        </w:numPr>
        <w:spacing w:after="80"/>
      </w:pPr>
      <w:r>
        <w:rPr>
          <w:rFonts w:ascii="Arial" w:cs="Arial" w:eastAsia="Arial" w:hAnsi="Arial"/>
          <w:sz w:val="24"/>
          <w:szCs w:val="24"/>
        </w:rPr>
        <w:t xml:space="preserve">Strict remote access controls: Faculty, staff, and students working remotely must connect through a secure Virtual Private Network (VPN) with device health verification, ensuring off-campus devices meet security standards before accessing university resources.</w:t>
      </w:r>
    </w:p>
    <w:p>
      <w:pPr>
        <w:pStyle w:val="ListParagraph"/>
        <w:numPr>
          <w:ilvl w:val="0"/>
          <w:numId w:val="2"/>
        </w:numPr>
        <w:spacing w:after="80"/>
      </w:pPr>
      <w:r>
        <w:rPr>
          <w:rFonts w:ascii="Arial" w:cs="Arial" w:eastAsia="Arial" w:hAnsi="Arial"/>
          <w:sz w:val="24"/>
          <w:szCs w:val="24"/>
        </w:rPr>
        <w:t xml:space="preserve">Regular, scheduled security assessments: Vulnerability assessments are conducted continuously, monthly, quarterly, and annually, ensuring newly discovered weaknesses are identified and addressed promptly.</w:t>
      </w:r>
    </w:p>
    <w:p>
      <w:pPr>
        <w:pStyle w:val="ListParagraph"/>
        <w:numPr>
          <w:ilvl w:val="0"/>
          <w:numId w:val="2"/>
        </w:numPr>
        <w:spacing w:after="80"/>
      </w:pPr>
      <w:r>
        <w:rPr>
          <w:rFonts w:ascii="Arial" w:cs="Arial" w:eastAsia="Arial" w:hAnsi="Arial"/>
          <w:sz w:val="24"/>
          <w:szCs w:val="24"/>
        </w:rPr>
        <w:t xml:space="preserve">Resilient infrastructure with no single point of failure: Critical systems have redundant backups and alternate pathways, ensuring that hardware failures or targeted attacks do not result in extended outages.</w:t>
      </w:r>
    </w:p>
    <w:p>
      <w:pPr>
        <w:pStyle w:val="ListParagraph"/>
        <w:numPr>
          <w:ilvl w:val="0"/>
          <w:numId w:val="2"/>
        </w:numPr>
        <w:spacing w:after="80"/>
      </w:pPr>
      <w:r>
        <w:rPr>
          <w:rFonts w:ascii="Arial" w:cs="Arial" w:eastAsia="Arial" w:hAnsi="Arial"/>
          <w:sz w:val="24"/>
          <w:szCs w:val="24"/>
        </w:rPr>
        <w:t xml:space="preserve">Routing integrity protections: The University's internet routing is cryptographically validated, preventing the type of BGP hijacking attack that redirected traffic across the globe and enabled credential theft in several high-profile incidents.</w:t>
      </w:r>
    </w:p>
    <w:p>
      <w:pPr>
        <w:pStyle w:val="Heading2"/>
      </w:pPr>
      <w:r>
        <w:rPr>
          <w:rFonts w:ascii="Arial" w:cs="Arial" w:eastAsia="Arial" w:hAnsi="Arial"/>
          <w:b/>
          <w:bCs/>
          <w:color w:val="2E75B6"/>
          <w:sz w:val="28"/>
          <w:szCs w:val="28"/>
        </w:rPr>
        <w:t xml:space="preserve">Accepted Residual Risk</w:t>
      </w:r>
    </w:p>
    <w:p>
      <w:pPr>
        <w:spacing w:after="160"/>
      </w:pPr>
      <w:r>
        <w:rPr>
          <w:rFonts w:ascii="Arial" w:cs="Arial" w:eastAsia="Arial" w:hAnsi="Arial"/>
          <w:sz w:val="24"/>
          <w:szCs w:val="24"/>
        </w:rPr>
        <w:t xml:space="preserve">No security plan can guarantee absolute protection. This architecture explicitly accepts a small, defined set of residual risks—situations where the cost of complete mitigation is disproportionate to the benefit, or where mitigation is technically infeasible with current technology. These include the possibility of attackers using previously unknown vulnerabilities, sophisticated insider threats, and supply chain compromises. For each accepted risk, compensating controls are in place to limit potential damage and accelerate detection and response.</w:t>
      </w:r>
    </w:p>
    <w:p>
      <w:pPr>
        <w:pStyle w:val="Heading2"/>
      </w:pPr>
      <w:r>
        <w:rPr>
          <w:rFonts w:ascii="Arial" w:cs="Arial" w:eastAsia="Arial" w:hAnsi="Arial"/>
          <w:b/>
          <w:bCs/>
          <w:color w:val="2E75B6"/>
          <w:sz w:val="28"/>
          <w:szCs w:val="28"/>
        </w:rPr>
        <w:t xml:space="preserve">Conclusion</w:t>
      </w:r>
    </w:p>
    <w:p>
      <w:pPr>
        <w:spacing w:after="160"/>
      </w:pPr>
      <w:r>
        <w:rPr>
          <w:rFonts w:ascii="Arial" w:cs="Arial" w:eastAsia="Arial" w:hAnsi="Arial"/>
          <w:sz w:val="24"/>
          <w:szCs w:val="24"/>
        </w:rPr>
        <w:t xml:space="preserve">This blueprint represents a significant, layered investment in the University's security posture. By implementing these controls, the institution will be positioned to protect its students, staff, research, and reputation against the full range of modern cybersecurity threats—while maintaining the open, collaborative environment that defines higher education. Sustained leadership support and dedicated funding are essential to realizing this vision.</w:t>
      </w:r>
    </w:p>
    <w:p>
      <w:r>
        <w:br w:type="page"/>
      </w:r>
    </w:p>
    <w:p>
      <w:pPr>
        <w:pStyle w:val="Heading1"/>
      </w:pPr>
      <w:r>
        <w:rPr>
          <w:rFonts w:ascii="Arial" w:cs="Arial" w:eastAsia="Arial" w:hAnsi="Arial"/>
          <w:b/>
          <w:bCs/>
          <w:color w:val="1F3864"/>
          <w:sz w:val="36"/>
          <w:szCs w:val="36"/>
        </w:rPr>
        <w:t xml:space="preserve">1. Network Diagram Summary</w:t>
      </w:r>
    </w:p>
    <w:p>
      <w:pPr>
        <w:pBdr>
          <w:bottom w:val="single" w:color="2E75B6" w:sz="8" w:space="1"/>
        </w:pBdr>
        <w:spacing w:after="200"/>
      </w:pPr>
      <w:r>
        <w:t xml:space="preserve"/>
      </w:r>
    </w:p>
    <w:p>
      <w:pPr>
        <w:spacing w:before="200" w:after="12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67125"/>
                    </a:xfrm>
                    <a:prstGeom prst="rect">
                      <a:avLst/>
                    </a:prstGeom>
                  </pic:spPr>
                </pic:pic>
              </a:graphicData>
            </a:graphic>
          </wp:inline>
        </w:drawing>
      </w:r>
    </w:p>
    <w:p>
      <w:pPr>
        <w:spacing w:after="280"/>
        <w:jc w:val="center"/>
      </w:pPr>
      <w:r>
        <w:rPr>
          <w:rFonts w:ascii="Arial" w:cs="Arial" w:eastAsia="Arial" w:hAnsi="Arial"/>
          <w:i/>
          <w:iCs/>
          <w:color w:val="666666"/>
          <w:sz w:val="20"/>
          <w:szCs w:val="20"/>
        </w:rPr>
        <w:t xml:space="preserve">Figure 1 – University Network Security Architecture: Defense-in-Depth Topology</w:t>
      </w:r>
    </w:p>
    <w:p>
      <w:pPr>
        <w:spacing w:after="160"/>
      </w:pPr>
      <w:r>
        <w:rPr>
          <w:rFonts w:ascii="Arial" w:cs="Arial" w:eastAsia="Arial" w:hAnsi="Arial"/>
          <w:sz w:val="24"/>
          <w:szCs w:val="24"/>
        </w:rPr>
        <w:t xml:space="preserve">The network topology illustrated in Figure 1 depicts a layered, Defense-in-Depth architecture purpose-built for the complexity and diversity of a large university environment. The design is organized around a series of discrete security zones, each separated by access controls and defined trust boundaries, ensuring that no single compromise can cascade across the entire infrastructure.</w:t>
      </w:r>
    </w:p>
    <w:p>
      <w:pPr>
        <w:spacing w:after="160"/>
      </w:pPr>
      <w:r>
        <w:rPr>
          <w:rFonts w:ascii="Arial" w:cs="Arial" w:eastAsia="Arial" w:hAnsi="Arial"/>
          <w:sz w:val="24"/>
          <w:szCs w:val="24"/>
        </w:rPr>
        <w:t xml:space="preserve">All traffic originating from the public Internet must first pass through the Perimeter Firewall—the sole authorized entry point into the University's network. Behind this firewall sits the Core Router, which acts as the central hub for inter-zone routing while enforcing strict Access Control Lists (ACLs) between segments. By placing the Core Router behind, rather than adjacent to, the firewall, the architecture guarantees that all inbound traffic is inspected before it influences any internal routing decision.</w:t>
      </w:r>
    </w:p>
    <w:p>
      <w:pPr>
        <w:spacing w:after="160"/>
      </w:pPr>
      <w:r>
        <w:rPr>
          <w:rFonts w:ascii="Arial" w:cs="Arial" w:eastAsia="Arial" w:hAnsi="Arial"/>
          <w:sz w:val="24"/>
          <w:szCs w:val="24"/>
        </w:rPr>
        <w:t xml:space="preserve">The Workstation Network is logically sub-segmented into two distinct zones: an Administrative Zone containing high-privilege devices used by IT staff and administrators, and a User Zone containing the standard desktops and laptops used by faculty, staff, and students. This segmentation ensures that a piece of malware deployed on a student laptop cannot communicate directly with administrative workstations, even if it attempts to do so.</w:t>
      </w:r>
    </w:p>
    <w:p>
      <w:pPr>
        <w:spacing w:after="160"/>
      </w:pPr>
      <w:r>
        <w:rPr>
          <w:rFonts w:ascii="Arial" w:cs="Arial" w:eastAsia="Arial" w:hAnsi="Arial"/>
          <w:sz w:val="24"/>
          <w:szCs w:val="24"/>
        </w:rPr>
        <w:t xml:space="preserve">High-value server infrastructure is housed in a dedicated Data Center, reached through a Gateway Main Switch that incorporates an additional internal firewall. The Data Center hosts the Web Application Servers, relational Databases, and Storage arrays that underpin core university operations. The multi-hop requirement to reach the database tier from any compromised external server is a deliberate design choice that forces an attacker to traverse two distinct security barriers.</w:t>
      </w:r>
    </w:p>
    <w:p>
      <w:pPr>
        <w:spacing w:after="160"/>
      </w:pPr>
      <w:r>
        <w:rPr>
          <w:rFonts w:ascii="Arial" w:cs="Arial" w:eastAsia="Arial" w:hAnsi="Arial"/>
          <w:sz w:val="24"/>
          <w:szCs w:val="24"/>
        </w:rPr>
        <w:t xml:space="preserve">Remote connectivity is managed by a dedicated VPN Gateway, which provides encrypted tunnels for Mobile Devices and Branch Offices, such as satellite campuses and remote research stations. All remote endpoints are required to authenticate through the VPN Gateway and pass a device posture check before being granted access to the Core Router and the internal network segments behind it.</w:t>
      </w:r>
    </w:p>
    <w:p>
      <w:r>
        <w:br w:type="page"/>
      </w:r>
    </w:p>
    <w:p>
      <w:pPr>
        <w:pStyle w:val="Heading1"/>
      </w:pPr>
      <w:r>
        <w:rPr>
          <w:rFonts w:ascii="Arial" w:cs="Arial" w:eastAsia="Arial" w:hAnsi="Arial"/>
          <w:b/>
          <w:bCs/>
          <w:color w:val="1F3864"/>
          <w:sz w:val="36"/>
          <w:szCs w:val="36"/>
        </w:rPr>
        <w:t xml:space="preserve">2. Justification and Rationale for Network Architecture</w:t>
      </w:r>
    </w:p>
    <w:p>
      <w:pPr>
        <w:pBdr>
          <w:bottom w:val="single" w:color="2E75B6" w:sz="8" w:space="1"/>
        </w:pBdr>
        <w:spacing w:after="200"/>
      </w:pPr>
      <w:r>
        <w:t xml:space="preserve"/>
      </w:r>
    </w:p>
    <w:p>
      <w:pPr>
        <w:spacing w:after="160"/>
      </w:pPr>
      <w:r>
        <w:rPr>
          <w:rFonts w:ascii="Arial" w:cs="Arial" w:eastAsia="Arial" w:hAnsi="Arial"/>
          <w:sz w:val="24"/>
          <w:szCs w:val="24"/>
        </w:rPr>
        <w:t xml:space="preserve">The University's network architecture is designed around two foundational security principles: network segmentation and least privilege. Together, these principles ensure that no single compromised component can cascade into a complete institutional failure—a concept commonly referred to as limiting the 'blast radius' of any given attack. This approach aligns directly with risk-based security design frameworks recommended by the Cybersecurity and Infrastructure Security Agency (CISA, 2022).</w:t>
      </w:r>
    </w:p>
    <w:p>
      <w:pPr>
        <w:spacing w:after="160"/>
      </w:pPr>
      <w:r>
        <w:rPr>
          <w:rFonts w:ascii="Arial" w:cs="Arial" w:eastAsia="Arial" w:hAnsi="Arial"/>
          <w:sz w:val="24"/>
          <w:szCs w:val="24"/>
        </w:rPr>
        <w:t xml:space="preserve">The placement of a Perimeter Firewall as the sole entry point from the Internet is deliberate. By funneling all external traffic through a single, well-monitored chokepoint, the security team maintains comprehensive visibility into inbound and outbound connections without requiring distributed inspection capabilities across every network segment. This centralized model is significantly easier to audit and harden than a distributed perimeter would be.</w:t>
      </w:r>
    </w:p>
    <w:p>
      <w:pPr>
        <w:spacing w:after="160"/>
      </w:pPr>
      <w:r>
        <w:rPr>
          <w:rFonts w:ascii="Arial" w:cs="Arial" w:eastAsia="Arial" w:hAnsi="Arial"/>
          <w:sz w:val="24"/>
          <w:szCs w:val="24"/>
        </w:rPr>
        <w:t xml:space="preserve">The Core Router is positioned immediately behind the perimeter firewall—and enforces ACLs independently—so that even if a sophisticated attacker crafts packets that bypass a firewall rule, the router provides a second, independent opportunity to block unauthorized inter-zone communication. This two-layer design is a direct application of the Defense-in-Depth principle.</w:t>
      </w:r>
    </w:p>
    <w:p>
      <w:pPr>
        <w:spacing w:after="160"/>
      </w:pPr>
      <w:r>
        <w:rPr>
          <w:rFonts w:ascii="Arial" w:cs="Arial" w:eastAsia="Arial" w:hAnsi="Arial"/>
          <w:sz w:val="24"/>
          <w:szCs w:val="24"/>
        </w:rPr>
        <w:t xml:space="preserve">The sub-segmentation of the Workstation Network into Administrative and User zones directly addresses the insider threat scenario and the risk of lateral movement following an initial compromise. Credential-stealing malware—such as keyloggers or phishing implants—deployed on a student laptop operates in a fundamentally isolated environment. As demonstrated in vulnerability scanning lab work, even cleartext FTP credentials captured from a User Zone device cannot be leveraged to pivot to administrative systems without crossing a hard ACL boundary (MITRE, n.d.).</w:t>
      </w:r>
    </w:p>
    <w:p>
      <w:pPr>
        <w:spacing w:after="160"/>
      </w:pPr>
      <w:r>
        <w:rPr>
          <w:rFonts w:ascii="Arial" w:cs="Arial" w:eastAsia="Arial" w:hAnsi="Arial"/>
          <w:sz w:val="24"/>
          <w:szCs w:val="24"/>
        </w:rPr>
        <w:t xml:space="preserve">Placing Web Application Servers and Databases behind a dedicated Gateway Main Switch mirrors the three-zone (Internet/DMZ/LAN) firewall architecture practiced in the network security lab exercises completed earlier this term. Public-facing servers inherently carry higher exposure risk. By requiring an additional layer of inspection and access control before reaching backend databases, the architecture significantly increases the cost and difficulty for an attacker who successfully compromises a front-end web server.</w:t>
      </w:r>
    </w:p>
    <w:p>
      <w:pPr>
        <w:spacing w:after="160"/>
      </w:pPr>
      <w:r>
        <w:rPr>
          <w:rFonts w:ascii="Arial" w:cs="Arial" w:eastAsia="Arial" w:hAnsi="Arial"/>
          <w:sz w:val="24"/>
          <w:szCs w:val="24"/>
        </w:rPr>
        <w:t xml:space="preserve">Finally, the centralized VPN Gateway enforces a uniform security policy for all remote access, regardless of whether the connecting device is a university-issued laptop or a personal smartphone. The posture assessment requirement—verifying patch status, endpoint security software, and disk encryption before tunnel establishment—prevents unhealthy or unmanaged devices from becoming an uncontrolled entry vector into the internal network.</w:t>
      </w:r>
    </w:p>
    <w:p>
      <w:r>
        <w:br w:type="page"/>
      </w:r>
    </w:p>
    <w:p>
      <w:pPr>
        <w:pStyle w:val="Heading1"/>
      </w:pPr>
      <w:r>
        <w:rPr>
          <w:rFonts w:ascii="Arial" w:cs="Arial" w:eastAsia="Arial" w:hAnsi="Arial"/>
          <w:b/>
          <w:bCs/>
          <w:color w:val="1F3864"/>
          <w:sz w:val="36"/>
          <w:szCs w:val="36"/>
        </w:rPr>
        <w:t xml:space="preserve">3. Implementation Plan for Security Requirements</w:t>
      </w:r>
    </w:p>
    <w:p>
      <w:pPr>
        <w:pBdr>
          <w:bottom w:val="single" w:color="2E75B6" w:sz="8" w:space="1"/>
        </w:pBdr>
        <w:spacing w:after="200"/>
      </w:pPr>
      <w:r>
        <w:t xml:space="preserve"/>
      </w:r>
    </w:p>
    <w:p>
      <w:pPr>
        <w:spacing w:after="160"/>
      </w:pPr>
      <w:r>
        <w:rPr>
          <w:rFonts w:ascii="Arial" w:cs="Arial" w:eastAsia="Arial" w:hAnsi="Arial"/>
          <w:sz w:val="24"/>
          <w:szCs w:val="24"/>
        </w:rPr>
        <w:t xml:space="preserve">The following subsections address each of the twenty required security areas. For each area, the specific technical controls selected for this environment are described, along with the justification for their selection and why they are considered sufficient for the university scenario.</w:t>
      </w:r>
    </w:p>
    <w:p>
      <w:pPr>
        <w:pStyle w:val="Heading2"/>
      </w:pPr>
      <w:r>
        <w:rPr>
          <w:rFonts w:ascii="Arial" w:cs="Arial" w:eastAsia="Arial" w:hAnsi="Arial"/>
          <w:b/>
          <w:bCs/>
          <w:color w:val="2E75B6"/>
          <w:sz w:val="28"/>
          <w:szCs w:val="28"/>
        </w:rPr>
        <w:t xml:space="preserve">3.1 Perimeter and Discovery Defenses</w:t>
      </w:r>
    </w:p>
    <w:p>
      <w:pPr>
        <w:pStyle w:val="Heading3"/>
      </w:pPr>
      <w:r>
        <w:rPr>
          <w:rFonts w:ascii="Arial" w:cs="Arial" w:eastAsia="Arial" w:hAnsi="Arial"/>
          <w:b/>
          <w:bCs/>
          <w:sz w:val="24"/>
          <w:szCs w:val="24"/>
        </w:rPr>
        <w:t xml:space="preserve">3.1.1 Defenses Against Network Scanning</w:t>
      </w:r>
    </w:p>
    <w:p>
      <w:pPr>
        <w:spacing w:after="160"/>
      </w:pPr>
      <w:r>
        <w:rPr>
          <w:rFonts w:ascii="Arial" w:cs="Arial" w:eastAsia="Arial" w:hAnsi="Arial"/>
          <w:sz w:val="24"/>
          <w:szCs w:val="24"/>
        </w:rPr>
        <w:t xml:space="preserve">The Perimeter Firewall enforces a strict Default Deny policy, silently dropping all unsolicited ICMP echo requests, TCP SYN probes, and UDP packets from external sources that are not associated with an already-established session. This policy obfuscates the internal network topology from external reconnaissance tools such as Nmap—the same tool used in the course's reconnaissance lab to perform host discovery, OS fingerprinting (nmap -O), and service banner grabbing (nmap -sV). By returning no response rather than a TCP RST, the firewall's default-deny configuration makes internal hosts effectively invisible to an external scanner.</w:t>
      </w:r>
    </w:p>
    <w:p>
      <w:pPr>
        <w:spacing w:after="160"/>
      </w:pPr>
      <w:r>
        <w:rPr>
          <w:rFonts w:ascii="Arial" w:cs="Arial" w:eastAsia="Arial" w:hAnsi="Arial"/>
          <w:sz w:val="24"/>
          <w:szCs w:val="24"/>
        </w:rPr>
        <w:t xml:space="preserve">Internally, ACLs on the Core Router prevent hosts in one segment from conducting discovery probes against hosts in another segment. Critical administrative services—such as SSH access to network devices—are additionally protected by IP allowlisting, ensuring that even a compromised internal host cannot reach the administrative management plane. This approach directly counters the host enumeration techniques analyzed in the course's reconnaissance assignment, including ARP scanning, ping sweeps, and stealth SYN scanning.</w:t>
      </w:r>
    </w:p>
    <w:p>
      <w:pPr>
        <w:pStyle w:val="Heading3"/>
      </w:pPr>
      <w:r>
        <w:rPr>
          <w:rFonts w:ascii="Arial" w:cs="Arial" w:eastAsia="Arial" w:hAnsi="Arial"/>
          <w:b/>
          <w:bCs/>
          <w:sz w:val="24"/>
          <w:szCs w:val="24"/>
        </w:rPr>
        <w:t xml:space="preserve">3.1.2 Appropriate Firewall Deployment</w:t>
      </w:r>
    </w:p>
    <w:p>
      <w:pPr>
        <w:spacing w:after="160"/>
      </w:pPr>
      <w:r>
        <w:rPr>
          <w:rFonts w:ascii="Arial" w:cs="Arial" w:eastAsia="Arial" w:hAnsi="Arial"/>
          <w:sz w:val="24"/>
          <w:szCs w:val="24"/>
        </w:rPr>
        <w:t xml:space="preserve">Firewalls are deployed at three strategic points in the network: (1) at the network perimeter between the Internet and the Core Router, (2) at the Data Center entry point integrated with the Gateway Main Switch, and (3) as virtual ACL-based filters enforcing micro-segmentation between the Administrative and User zones of the Workstation Network.</w:t>
      </w:r>
    </w:p>
    <w:p>
      <w:pPr>
        <w:spacing w:after="160"/>
      </w:pPr>
      <w:r>
        <w:rPr>
          <w:rFonts w:ascii="Arial" w:cs="Arial" w:eastAsia="Arial" w:hAnsi="Arial"/>
          <w:sz w:val="24"/>
          <w:szCs w:val="24"/>
        </w:rPr>
        <w:t xml:space="preserve">The perimeter firewall is a Next-Generation Firewall (NGFW) capable of Layer 7 deep packet inspection, application identification, SSL/TLS decryption, and integration with live threat intelligence feeds. The Data Center gateway firewall focuses on protecting the server tier, enforcing rules that limit which specific internal segments can initiate connections to which specific server ports. Firewall rules are audited on a quarterly schedule and following any significant infrastructure change. All rule modifications require a change management ticket, a second-team-member review, and are logged with a timestamp and approver identity to create a full audit trail (CISA, 2022).</w:t>
      </w:r>
    </w:p>
    <w:p>
      <w:pPr>
        <w:pStyle w:val="Heading3"/>
      </w:pPr>
      <w:r>
        <w:rPr>
          <w:rFonts w:ascii="Arial" w:cs="Arial" w:eastAsia="Arial" w:hAnsi="Arial"/>
          <w:b/>
          <w:bCs/>
          <w:sz w:val="24"/>
          <w:szCs w:val="24"/>
        </w:rPr>
        <w:t xml:space="preserve">3.1.3 Onion Routing Detection and Blocking</w:t>
      </w:r>
    </w:p>
    <w:p>
      <w:pPr>
        <w:spacing w:after="160"/>
      </w:pPr>
      <w:r>
        <w:rPr>
          <w:rFonts w:ascii="Arial" w:cs="Arial" w:eastAsia="Arial" w:hAnsi="Arial"/>
          <w:sz w:val="24"/>
          <w:szCs w:val="24"/>
        </w:rPr>
        <w:t xml:space="preserve">The Perimeter Firewall subscribes to dynamically updated threat intelligence feeds that maintain current lists of known Tor exit nodes, bridge relay addresses, and I2P gateway IPs. All traffic to or from these addresses is blocked and the attempt is logged. In addition, the inline IPS performs deep packet inspection for the characteristic TLS fingerprints associated with Tor's circuit establishment protocol—including its specific cipher suite preferences and connection timing patterns (Cloudflare, n.d.). The web proxy's SSL inspection layer also detects Tor Browser's distinctive TLS Client Hello fingerprint.</w:t>
      </w:r>
    </w:p>
    <w:p>
      <w:pPr>
        <w:spacing w:after="160"/>
      </w:pPr>
      <w:r>
        <w:rPr>
          <w:rFonts w:ascii="Arial" w:cs="Arial" w:eastAsia="Arial" w:hAnsi="Arial"/>
          <w:sz w:val="24"/>
          <w:szCs w:val="24"/>
        </w:rPr>
        <w:t xml:space="preserve">Blocking onion routing traffic is justified in this institutional environment because the University network is a shared resource governed by an Acceptable Use Policy (AUP) that all users must acknowledge. Onion routing provides anonymity that fundamentally undermines the University's ability to attribute activity, respond to legal process, and enforce its own policies—including DMCA compliance and research data governance. The expectation of privacy on institutional shared network infrastructure is limited and is communicated clearly in the AUP prior to network access.</w:t>
      </w:r>
    </w:p>
    <w:p>
      <w:pPr>
        <w:pStyle w:val="Heading2"/>
      </w:pPr>
      <w:r>
        <w:rPr>
          <w:rFonts w:ascii="Arial" w:cs="Arial" w:eastAsia="Arial" w:hAnsi="Arial"/>
          <w:b/>
          <w:bCs/>
          <w:color w:val="2E75B6"/>
          <w:sz w:val="28"/>
          <w:szCs w:val="28"/>
        </w:rPr>
        <w:t xml:space="preserve">3.2 Monitoring, Inspection, and Vulnerability Management</w:t>
      </w:r>
    </w:p>
    <w:p>
      <w:pPr>
        <w:pStyle w:val="Heading3"/>
      </w:pPr>
      <w:r>
        <w:rPr>
          <w:rFonts w:ascii="Arial" w:cs="Arial" w:eastAsia="Arial" w:hAnsi="Arial"/>
          <w:b/>
          <w:bCs/>
          <w:sz w:val="24"/>
          <w:szCs w:val="24"/>
        </w:rPr>
        <w:t xml:space="preserve">3.2.1 Appropriate Packet Capture and Decryption</w:t>
      </w:r>
    </w:p>
    <w:p>
      <w:pPr>
        <w:spacing w:after="160"/>
      </w:pPr>
      <w:r>
        <w:rPr>
          <w:rFonts w:ascii="Arial" w:cs="Arial" w:eastAsia="Arial" w:hAnsi="Arial"/>
          <w:sz w:val="24"/>
          <w:szCs w:val="24"/>
        </w:rPr>
        <w:t xml:space="preserve">SPAN (Switched Port Analyzer) ports are configured on the Core Router and the Gateway Main Switch. These ports mirror copies of all traffic flowing through these devices to dedicated network analysis appliances, enabling real-time inspection and retrospective forensic analysis without introducing latency to production traffic. For encrypted HTTPS traffic, SSL/TLS decryption is performed using certificates and private keys issued by the University's internal Certificate Authority (CA). This configuration allows the security team to perform full Layer 7 inspection of encrypted internal traffic for malware detection, data loss prevention (DLP), and forensic investigation.</w:t>
      </w:r>
    </w:p>
    <w:p>
      <w:pPr>
        <w:spacing w:after="160"/>
      </w:pPr>
      <w:r>
        <w:rPr>
          <w:rFonts w:ascii="Arial" w:cs="Arial" w:eastAsia="Arial" w:hAnsi="Arial"/>
          <w:sz w:val="24"/>
          <w:szCs w:val="24"/>
        </w:rPr>
        <w:t xml:space="preserve">All packet capture and decryption activity is conducted under explicit written authorization from network security management. Decrypted traffic is never stored in plaintext; analysis occurs in memory on hardened appliances. Decryption keys are stored on dedicated Hardware Security Modules (HSMs) in the Data Center and are not accessible to general IT staff. This approach balances operational security visibility against privacy obligations.</w:t>
      </w:r>
    </w:p>
    <w:p>
      <w:pPr>
        <w:pStyle w:val="Heading3"/>
      </w:pPr>
      <w:r>
        <w:rPr>
          <w:rFonts w:ascii="Arial" w:cs="Arial" w:eastAsia="Arial" w:hAnsi="Arial"/>
          <w:b/>
          <w:bCs/>
          <w:sz w:val="24"/>
          <w:szCs w:val="24"/>
        </w:rPr>
        <w:t xml:space="preserve">3.2.2 Vulnerability Scanning</w:t>
      </w:r>
    </w:p>
    <w:p>
      <w:pPr>
        <w:spacing w:after="160"/>
      </w:pPr>
      <w:r>
        <w:rPr>
          <w:rFonts w:ascii="Arial" w:cs="Arial" w:eastAsia="Arial" w:hAnsi="Arial"/>
          <w:sz w:val="24"/>
          <w:szCs w:val="24"/>
        </w:rPr>
        <w:t xml:space="preserve">Vulnerability management is conducted according to a tiered schedule that balances the need for continuous security awareness against the operational impact of active scanning. This structured approach is consistent with CISA's guidance on risk assessment and ongoing monitoring (CISA, 2022):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Scan 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Frequency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Target Scope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Method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Passive Monitoring</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Always-on</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network segments</w:t>
            </w:r>
          </w:p>
        </w:tc>
        <w:tc>
          <w:tcPr>
            <w:tcW w:type="dxa" w:w="2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IDS + SPAN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Unauthenticated Active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DMZ / Public-facing servers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OpenVAS / Nessus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Authenticated Active Scan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Quarterly</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Internal servers &amp; Data Center</w:t>
            </w:r>
          </w:p>
        </w:tc>
        <w:tc>
          <w:tcPr>
            <w:tcW w:type="dxa" w:w="2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Nessus w/ credentials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Penetration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Annually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critical assets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Third-party red team</w:t>
            </w:r>
          </w:p>
        </w:tc>
      </w:tr>
    </w:tbl>
    <w:p>
      <w:pPr>
        <w:spacing w:after="160"/>
      </w:pPr>
      <w:r>
        <w:t xml:space="preserve"/>
      </w:r>
    </w:p>
    <w:p>
      <w:pPr>
        <w:spacing w:after="160"/>
      </w:pPr>
      <w:r>
        <w:rPr>
          <w:rFonts w:ascii="Arial" w:cs="Arial" w:eastAsia="Arial" w:hAnsi="Arial"/>
          <w:sz w:val="24"/>
          <w:szCs w:val="24"/>
        </w:rPr>
        <w:t xml:space="preserve">Vulnerabilities discovered through scanning are scored using the Common Vulnerability Scoring System (CVSS). Critical findings (CVSS 9.0–10.0) are tracked to remediation within 30 days; High findings (CVSS 7.0–8.9) within 60 days. Medium and Low findings are batched into quarterly patching cycles. The passive scanner developed in the vulnerability scanning lab assignment—which successfully detected deprecated SSL 3.0 handshakes and extracted cleartext FTP credentials from captured traffic—demonstrates the practical value of continuous passive monitoring for identifying legacy protocols before they are exploited by an attacker (MITRE, n.d.).</w:t>
      </w:r>
    </w:p>
    <w:p>
      <w:pPr>
        <w:pStyle w:val="Heading3"/>
      </w:pPr>
      <w:r>
        <w:rPr>
          <w:rFonts w:ascii="Arial" w:cs="Arial" w:eastAsia="Arial" w:hAnsi="Arial"/>
          <w:b/>
          <w:bCs/>
          <w:sz w:val="24"/>
          <w:szCs w:val="24"/>
        </w:rPr>
        <w:t xml:space="preserve">3.2.3 Appropriate IPS and IDS Deployment</w:t>
      </w:r>
    </w:p>
    <w:p>
      <w:pPr>
        <w:spacing w:after="160"/>
      </w:pPr>
      <w:r>
        <w:rPr>
          <w:rFonts w:ascii="Arial" w:cs="Arial" w:eastAsia="Arial" w:hAnsi="Arial"/>
          <w:sz w:val="24"/>
          <w:szCs w:val="24"/>
        </w:rPr>
        <w:t xml:space="preserve">An Intrusion Prevention System (IPS) is deployed inline between the Perimeter Firewall and the Core Router. In this position, it actively drops malicious packets—such as SQL injection payloads in HTTP requests, buffer overflow exploits targeting application servers, and known Command and Control (C2) callback patterns—before they reach any internal host. IPS signatures are updated automatically every 24 hours from the vendor's threat intelligence cloud, with emergency manual updates applied immediately for high-profile zero-day signatures. IPS rules are tuned monthly using baseline traffic profiles to reduce false positives, and the rule set is validated against a known-malicious traffic corpus quarterly (CISA, 2022).</w:t>
      </w:r>
    </w:p>
    <w:p>
      <w:pPr>
        <w:spacing w:after="160"/>
      </w:pPr>
      <w:r>
        <w:rPr>
          <w:rFonts w:ascii="Arial" w:cs="Arial" w:eastAsia="Arial" w:hAnsi="Arial"/>
          <w:sz w:val="24"/>
          <w:szCs w:val="24"/>
        </w:rPr>
        <w:t xml:space="preserve">An Intrusion Detection System (IDS) operates in passive mode off a SPAN port on the Core Router. Because it does not sit inline, it introduces no latency to normal traffic. Its primary role is behavioral anomaly detection: identifying patterns such as a single host scanning all peers in its subnet, unusual data volumes being transferred to external IPs after hours, application traffic on unexpected ports, or the periodic low-volume outbound connections characteristic of botnet beaconing. Alerts from the IDS feed into the centralized SIEM for correlation against firewall logs and proxy records, enabling detection of multi-stage attacks that span multiple log sources.</w:t>
      </w:r>
    </w:p>
    <w:p>
      <w:pPr>
        <w:pStyle w:val="Heading3"/>
      </w:pPr>
      <w:r>
        <w:rPr>
          <w:rFonts w:ascii="Arial" w:cs="Arial" w:eastAsia="Arial" w:hAnsi="Arial"/>
          <w:b/>
          <w:bCs/>
          <w:sz w:val="24"/>
          <w:szCs w:val="24"/>
        </w:rPr>
        <w:t xml:space="preserve">3.2.4 Appropriate Proxy Deployment</w:t>
      </w:r>
    </w:p>
    <w:p>
      <w:pPr>
        <w:spacing w:after="160"/>
      </w:pPr>
      <w:r>
        <w:rPr>
          <w:rFonts w:ascii="Arial" w:cs="Arial" w:eastAsia="Arial" w:hAnsi="Arial"/>
          <w:sz w:val="24"/>
          <w:szCs w:val="24"/>
        </w:rPr>
        <w:t xml:space="preserve">Transparent web proxies are deployed for all outbound HTTP and HTTPS traffic from the Workstation Network segments. No manual client configuration is required; the Core Router policy-routes all port 80 and port 443 traffic through the proxy automatically. The proxy enforces the University's Acceptable Use Policy by blocking access to known malicious domains and prohibited categories, and performs inline malware scanning on downloaded file content. HTTPS traffic is inspected using the internal CA's decryption capability. Proxy access logs—including timestamped URLs and source IPs—are forwarded to the SIEM for correlation and long-term retention to support forensic investigations.</w:t>
      </w:r>
    </w:p>
    <w:p>
      <w:pPr>
        <w:pStyle w:val="Heading3"/>
      </w:pPr>
      <w:r>
        <w:rPr>
          <w:rFonts w:ascii="Arial" w:cs="Arial" w:eastAsia="Arial" w:hAnsi="Arial"/>
          <w:b/>
          <w:bCs/>
          <w:sz w:val="24"/>
          <w:szCs w:val="24"/>
        </w:rPr>
        <w:t xml:space="preserve">3.2.5 Appropriate Logging Strategies</w:t>
      </w:r>
    </w:p>
    <w:p>
      <w:pPr>
        <w:spacing w:after="160"/>
      </w:pPr>
      <w:r>
        <w:rPr>
          <w:rFonts w:ascii="Arial" w:cs="Arial" w:eastAsia="Arial" w:hAnsi="Arial"/>
          <w:sz w:val="24"/>
          <w:szCs w:val="24"/>
        </w:rPr>
        <w:t xml:space="preserve">All network devices—firewalls, routers, switches, VPN gateways, and proxies—forward syslog data in real time to a centralized Security Information and Event Management (SIEM) platform hosted in the Data Center. The SIEM correlates events across all devices simultaneously, enabling detection of multi-stage attacks that are invisible when reviewing any single device's logs in isolation.</w:t>
      </w:r>
    </w:p>
    <w:p>
      <w:pPr>
        <w:spacing w:after="160"/>
      </w:pPr>
      <w:r>
        <w:rPr>
          <w:rFonts w:ascii="Arial" w:cs="Arial" w:eastAsia="Arial" w:hAnsi="Arial"/>
          <w:sz w:val="24"/>
          <w:szCs w:val="24"/>
        </w:rPr>
        <w:t xml:space="preserve">The following log management policies govern the lifecycle of all log data:</w:t>
      </w:r>
    </w:p>
    <w:p>
      <w:pPr>
        <w:pStyle w:val="ListParagraph"/>
        <w:numPr>
          <w:ilvl w:val="0"/>
          <w:numId w:val="2"/>
        </w:numPr>
        <w:spacing w:after="80"/>
      </w:pPr>
      <w:r>
        <w:rPr>
          <w:rFonts w:ascii="Arial" w:cs="Arial" w:eastAsia="Arial" w:hAnsi="Arial"/>
          <w:sz w:val="24"/>
          <w:szCs w:val="24"/>
        </w:rPr>
        <w:t xml:space="preserve">Rotation: Logs are rotated daily; no individual log file is permitted to grow unbounded, preventing disk exhaustion events that would create a gap in the audit record.</w:t>
      </w:r>
    </w:p>
    <w:p>
      <w:pPr>
        <w:pStyle w:val="ListParagraph"/>
        <w:numPr>
          <w:ilvl w:val="0"/>
          <w:numId w:val="2"/>
        </w:numPr>
        <w:spacing w:after="80"/>
      </w:pPr>
      <w:r>
        <w:rPr>
          <w:rFonts w:ascii="Arial" w:cs="Arial" w:eastAsia="Arial" w:hAnsi="Arial"/>
          <w:sz w:val="24"/>
          <w:szCs w:val="24"/>
        </w:rPr>
        <w:t xml:space="preserve">Compression: Rotated logs are compressed within 24 hours using gzip or equivalent, reducing long-term storage costs by 60–80% without losing data fidelity.</w:t>
      </w:r>
    </w:p>
    <w:p>
      <w:pPr>
        <w:pStyle w:val="ListParagraph"/>
        <w:numPr>
          <w:ilvl w:val="0"/>
          <w:numId w:val="2"/>
        </w:numPr>
        <w:spacing w:after="80"/>
      </w:pPr>
      <w:r>
        <w:rPr>
          <w:rFonts w:ascii="Arial" w:cs="Arial" w:eastAsia="Arial" w:hAnsi="Arial"/>
          <w:sz w:val="24"/>
          <w:szCs w:val="24"/>
        </w:rPr>
        <w:t xml:space="preserve">Encryption: All log data is encrypted both in transit (TLS 1.3) and at rest (AES-256), preventing tampering or exfiltration of sensitive audit records by an attacker who gains access to the storage system.</w:t>
      </w:r>
    </w:p>
    <w:p>
      <w:pPr>
        <w:pStyle w:val="ListParagraph"/>
        <w:numPr>
          <w:ilvl w:val="0"/>
          <w:numId w:val="2"/>
        </w:numPr>
        <w:spacing w:after="80"/>
      </w:pPr>
      <w:r>
        <w:rPr>
          <w:rFonts w:ascii="Arial" w:cs="Arial" w:eastAsia="Arial" w:hAnsi="Arial"/>
          <w:sz w:val="24"/>
          <w:szCs w:val="24"/>
        </w:rPr>
        <w:t xml:space="preserve">Retention: All logs are retained for a minimum of 365 days, satisfying forensic investigation requirements and supporting compliance with institutional and regulatory audit obligations.</w:t>
      </w:r>
    </w:p>
    <w:p>
      <w:pPr>
        <w:pStyle w:val="ListParagraph"/>
        <w:numPr>
          <w:ilvl w:val="0"/>
          <w:numId w:val="2"/>
        </w:numPr>
        <w:spacing w:after="80"/>
      </w:pPr>
      <w:r>
        <w:rPr>
          <w:rFonts w:ascii="Arial" w:cs="Arial" w:eastAsia="Arial" w:hAnsi="Arial"/>
          <w:sz w:val="24"/>
          <w:szCs w:val="24"/>
        </w:rPr>
        <w:t xml:space="preserve">Access Control: Raw log data is accessible only to the Security Operations team, and access to the SIEM requires MFA authentication. All SIEM access is itself logged to an immutable audit trail.</w:t>
      </w:r>
    </w:p>
    <w:p>
      <w:pPr>
        <w:pStyle w:val="Heading2"/>
      </w:pPr>
      <w:r>
        <w:rPr>
          <w:rFonts w:ascii="Arial" w:cs="Arial" w:eastAsia="Arial" w:hAnsi="Arial"/>
          <w:b/>
          <w:bCs/>
          <w:color w:val="2E75B6"/>
          <w:sz w:val="28"/>
          <w:szCs w:val="28"/>
        </w:rPr>
        <w:t xml:space="preserve">3.3 Identity, Authentication, and Cryptographic Key Management</w:t>
      </w:r>
    </w:p>
    <w:p>
      <w:pPr>
        <w:pStyle w:val="Heading3"/>
      </w:pPr>
      <w:r>
        <w:rPr>
          <w:rFonts w:ascii="Arial" w:cs="Arial" w:eastAsia="Arial" w:hAnsi="Arial"/>
          <w:b/>
          <w:bCs/>
          <w:sz w:val="24"/>
          <w:szCs w:val="24"/>
        </w:rPr>
        <w:t xml:space="preserve">3.3.1 Appropriate Use of Multi-Factor Authentication (MFA)</w:t>
      </w:r>
    </w:p>
    <w:p>
      <w:pPr>
        <w:spacing w:after="160"/>
      </w:pPr>
      <w:r>
        <w:rPr>
          <w:rFonts w:ascii="Arial" w:cs="Arial" w:eastAsia="Arial" w:hAnsi="Arial"/>
          <w:sz w:val="24"/>
          <w:szCs w:val="24"/>
        </w:rPr>
        <w:t xml:space="preserve">Multi-Factor Authentication is mandatory for all University accounts without exception. The specific factor combination required varies by privilege level and risk scenario, as outlined below (CISA, 2022):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User Group</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Primary Factor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Second Factor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Data Center / Server Admins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FIDO2 Hardware Token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Highest privilege; hardware tokens cannot be phished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Network / IT Admins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FIDO2 Hardware Token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access to routers, switches, and firewalls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Faculty / Staff</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TOTP (Authenticator App)</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Balances strong security with broad usability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Students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TOTP (Authenticator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Widest deployment; app-based is practical at scale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VPN Remote Access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TOTP or Hardware Token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Required before VPN tunnel establishment</w:t>
            </w:r>
          </w:p>
        </w:tc>
      </w:tr>
    </w:tbl>
    <w:p>
      <w:pPr>
        <w:spacing w:after="160"/>
      </w:pPr>
      <w:r>
        <w:t xml:space="preserve"/>
      </w:r>
    </w:p>
    <w:p>
      <w:pPr>
        <w:spacing w:after="160"/>
      </w:pPr>
      <w:r>
        <w:rPr>
          <w:rFonts w:ascii="Arial" w:cs="Arial" w:eastAsia="Arial" w:hAnsi="Arial"/>
          <w:sz w:val="24"/>
          <w:szCs w:val="24"/>
        </w:rPr>
        <w:t xml:space="preserve">FIDO2 hardware tokens are selected for high-privilege accounts specifically because they are phishing-resistant: the token cryptographically verifies the relying party's identity before responding, making credential-stealing and real-time phishing proxy attacks against administrative accounts technically infeasible.</w:t>
      </w:r>
    </w:p>
    <w:p>
      <w:pPr>
        <w:pStyle w:val="Heading3"/>
      </w:pPr>
      <w:r>
        <w:rPr>
          <w:rFonts w:ascii="Arial" w:cs="Arial" w:eastAsia="Arial" w:hAnsi="Arial"/>
          <w:b/>
          <w:bCs/>
          <w:sz w:val="24"/>
          <w:szCs w:val="24"/>
        </w:rPr>
        <w:t xml:space="preserve">3.3.2 Defenses Against Credential Stealing</w:t>
      </w:r>
    </w:p>
    <w:p>
      <w:pPr>
        <w:spacing w:after="160"/>
      </w:pPr>
      <w:r>
        <w:rPr>
          <w:rFonts w:ascii="Arial" w:cs="Arial" w:eastAsia="Arial" w:hAnsi="Arial"/>
          <w:sz w:val="24"/>
          <w:szCs w:val="24"/>
        </w:rPr>
        <w:t xml:space="preserve">All cleartext authentication protocols are prohibited university-wide at the network policy layer. Telnet, FTP, and unencrypted HTTP are blocked by ACLs on the Core Router and at the perimeter firewall, ensuring no compliant device can transmit credentials in cleartext regardless of application-level misconfiguration. These controls directly address CWE-319 (Cleartext Transmission of Sensitive Information), which enables an attacker to passively capture valid credentials from the wire using tools such as the Python-based vulnerability scanner developed in the coursework passive scanning lab (MITRE, n.d.).</w:t>
      </w:r>
    </w:p>
    <w:p>
      <w:pPr>
        <w:spacing w:after="160"/>
      </w:pPr>
      <w:r>
        <w:rPr>
          <w:rFonts w:ascii="Arial" w:cs="Arial" w:eastAsia="Arial" w:hAnsi="Arial"/>
          <w:sz w:val="24"/>
          <w:szCs w:val="24"/>
        </w:rPr>
        <w:t xml:space="preserve">All remote administration of network devices is conducted via SSH with key-based authentication; password-based SSH authentication is disabled on all network infrastructure. A mandatory annual phishing awareness training program is required for all students and staff, supplemented by three simulated phishing campaigns per year conducted by the Security Operations team. Accounts that fall for simulated phishing are automatically enrolled in targeted remediation training within 48 hours of the exercise. Enterprise password manager licenses are provided free of charge to all staff to reduce password reuse between personal and institutional accounts.</w:t>
      </w:r>
    </w:p>
    <w:p>
      <w:pPr>
        <w:pStyle w:val="Heading3"/>
      </w:pPr>
      <w:r>
        <w:rPr>
          <w:rFonts w:ascii="Arial" w:cs="Arial" w:eastAsia="Arial" w:hAnsi="Arial"/>
          <w:b/>
          <w:bCs/>
          <w:sz w:val="24"/>
          <w:szCs w:val="24"/>
        </w:rPr>
        <w:t xml:space="preserve">3.3.3 Defenses Against Session Hijacking</w:t>
      </w:r>
    </w:p>
    <w:p>
      <w:pPr>
        <w:spacing w:after="160"/>
      </w:pPr>
      <w:r>
        <w:rPr>
          <w:rFonts w:ascii="Arial" w:cs="Arial" w:eastAsia="Arial" w:hAnsi="Arial"/>
          <w:sz w:val="24"/>
          <w:szCs w:val="24"/>
        </w:rPr>
        <w:t xml:space="preserve">All web-based applications hosted in the Data Center enforce the following session security controls: session tokens are generated using a cryptographically secure pseudorandom number generator (CSPRNG); all session cookies carry the Secure, HttpOnly, and SameSite=Strict attributes to prevent JavaScript-based theft and cross-site request forgery; and absolute session timeouts of eight hours are enforced for standard users, with 30-minute timeouts on all administrative interfaces. Re-authentication via MFA is required after timeout expiry.</w:t>
      </w:r>
    </w:p>
    <w:p>
      <w:pPr>
        <w:spacing w:after="160"/>
      </w:pPr>
      <w:r>
        <w:rPr>
          <w:rFonts w:ascii="Arial" w:cs="Arial" w:eastAsia="Arial" w:hAnsi="Arial"/>
          <w:sz w:val="24"/>
          <w:szCs w:val="24"/>
        </w:rPr>
        <w:t xml:space="preserve">Critical applications—including the student information system and financial management platform—implement Mutual TLS (mTLS), requiring both the server and the client device to present valid certificates signed by the University's internal CA before a session is established. This design ensures that a stolen session token cannot be replayed by an attacker who does not also physically possess the client certificate (Wi-Fi Alliance, 2023). Active sessions are monitored in the SIEM; any session originating from two geographically impossible IP addresses within a short time window triggers an automatic lock and security alert.</w:t>
      </w:r>
    </w:p>
    <w:p>
      <w:pPr>
        <w:pStyle w:val="Heading3"/>
      </w:pPr>
      <w:r>
        <w:rPr>
          <w:rFonts w:ascii="Arial" w:cs="Arial" w:eastAsia="Arial" w:hAnsi="Arial"/>
          <w:b/>
          <w:bCs/>
          <w:sz w:val="24"/>
          <w:szCs w:val="24"/>
        </w:rPr>
        <w:t xml:space="preserve">3.3.4 Appropriate Use of Encryption Keys</w:t>
      </w:r>
    </w:p>
    <w:p>
      <w:pPr>
        <w:spacing w:after="160"/>
      </w:pPr>
      <w:r>
        <w:rPr>
          <w:rFonts w:ascii="Arial" w:cs="Arial" w:eastAsia="Arial" w:hAnsi="Arial"/>
          <w:sz w:val="24"/>
          <w:szCs w:val="24"/>
        </w:rPr>
        <w:t xml:space="preserve">All cryptographic keys used within the University network must meet the following minimum standards, consistent with NIST Special Publication 800-57 guidance on cryptographic key management (NIST, 2020):</w:t>
      </w:r>
    </w:p>
    <w:p>
      <w:pPr>
        <w:pStyle w:val="ListParagraph"/>
        <w:numPr>
          <w:ilvl w:val="0"/>
          <w:numId w:val="2"/>
        </w:numPr>
        <w:spacing w:after="80"/>
      </w:pPr>
      <w:r>
        <w:rPr>
          <w:rFonts w:ascii="Arial" w:cs="Arial" w:eastAsia="Arial" w:hAnsi="Arial"/>
          <w:sz w:val="24"/>
          <w:szCs w:val="24"/>
        </w:rPr>
        <w:t xml:space="preserve">Asymmetric Keys: RSA-2048 minimum; Elliptic Curve (ECC P-256 / ECDSA) preferred for all new service deployments.</w:t>
      </w:r>
    </w:p>
    <w:p>
      <w:pPr>
        <w:pStyle w:val="ListParagraph"/>
        <w:numPr>
          <w:ilvl w:val="0"/>
          <w:numId w:val="2"/>
        </w:numPr>
        <w:spacing w:after="80"/>
      </w:pPr>
      <w:r>
        <w:rPr>
          <w:rFonts w:ascii="Arial" w:cs="Arial" w:eastAsia="Arial" w:hAnsi="Arial"/>
          <w:sz w:val="24"/>
          <w:szCs w:val="24"/>
        </w:rPr>
        <w:t xml:space="preserve">Symmetric Keys: AES-256 for all data at rest and all symmetric data-in-transit encryption.</w:t>
      </w:r>
    </w:p>
    <w:p>
      <w:pPr>
        <w:pStyle w:val="ListParagraph"/>
        <w:numPr>
          <w:ilvl w:val="0"/>
          <w:numId w:val="2"/>
        </w:numPr>
        <w:spacing w:after="80"/>
      </w:pPr>
      <w:r>
        <w:rPr>
          <w:rFonts w:ascii="Arial" w:cs="Arial" w:eastAsia="Arial" w:hAnsi="Arial"/>
          <w:sz w:val="24"/>
          <w:szCs w:val="24"/>
        </w:rPr>
        <w:t xml:space="preserve">TLS Protocol: TLS 1.2 minimum enforced; TLS 1.3 required for all new service deployments. SSL 3.0 and TLS 1.0/1.1 are disabled globally.</w:t>
      </w:r>
    </w:p>
    <w:p>
      <w:pPr>
        <w:pStyle w:val="ListParagraph"/>
        <w:numPr>
          <w:ilvl w:val="0"/>
          <w:numId w:val="2"/>
        </w:numPr>
        <w:spacing w:after="80"/>
      </w:pPr>
      <w:r>
        <w:rPr>
          <w:rFonts w:ascii="Arial" w:cs="Arial" w:eastAsia="Arial" w:hAnsi="Arial"/>
          <w:sz w:val="24"/>
          <w:szCs w:val="24"/>
        </w:rPr>
        <w:t xml:space="preserve">Rotation: TLS certificates are rotated on an automated 90-day cycle managed by the Key Management Server. Long-term data encryption keys are rotated annually.</w:t>
      </w:r>
    </w:p>
    <w:p>
      <w:pPr>
        <w:pStyle w:val="ListParagraph"/>
        <w:numPr>
          <w:ilvl w:val="0"/>
          <w:numId w:val="2"/>
        </w:numPr>
        <w:spacing w:after="80"/>
      </w:pPr>
      <w:r>
        <w:rPr>
          <w:rFonts w:ascii="Arial" w:cs="Arial" w:eastAsia="Arial" w:hAnsi="Arial"/>
          <w:sz w:val="24"/>
          <w:szCs w:val="24"/>
        </w:rPr>
        <w:t xml:space="preserve">Escrow and Backup: All keys are escrowed in a dedicated Hardware Security Module (HSM) located in the Data Center. Backup and recovery procedures are documented and tested semi-annually.</w:t>
      </w:r>
    </w:p>
    <w:p>
      <w:pPr>
        <w:pStyle w:val="ListParagraph"/>
        <w:numPr>
          <w:ilvl w:val="0"/>
          <w:numId w:val="2"/>
        </w:numPr>
        <w:spacing w:after="80"/>
      </w:pPr>
      <w:r>
        <w:rPr>
          <w:rFonts w:ascii="Arial" w:cs="Arial" w:eastAsia="Arial" w:hAnsi="Arial"/>
          <w:sz w:val="24"/>
          <w:szCs w:val="24"/>
        </w:rPr>
        <w:t xml:space="preserve">Revocation: A documented certificate revocation process ensures compromised certificates are revoked within four hours of confirmed compromise, and revocation status is published via OCSP.</w:t>
      </w:r>
    </w:p>
    <w:p>
      <w:pPr>
        <w:spacing w:after="160"/>
      </w:pPr>
      <w:r>
        <w:rPr>
          <w:rFonts w:ascii="Arial" w:cs="Arial" w:eastAsia="Arial" w:hAnsi="Arial"/>
          <w:sz w:val="24"/>
          <w:szCs w:val="24"/>
        </w:rPr>
        <w:t xml:space="preserve">A dedicated Key Management Server (KMS) in the Data Center automates the full certificate lifecycle—issuance, renewal, and revocation. The KMS itself is a hardened appliance accessible only to the Security Operations team via MFA-authenticated, IP-allowlisted management sessions, with all access logged immutably.</w:t>
      </w:r>
    </w:p>
    <w:p>
      <w:pPr>
        <w:pStyle w:val="Heading2"/>
      </w:pPr>
      <w:r>
        <w:rPr>
          <w:rFonts w:ascii="Arial" w:cs="Arial" w:eastAsia="Arial" w:hAnsi="Arial"/>
          <w:b/>
          <w:bCs/>
          <w:color w:val="2E75B6"/>
          <w:sz w:val="28"/>
          <w:szCs w:val="28"/>
        </w:rPr>
        <w:t xml:space="preserve">3.4 Transport, Routing, and Availability Protections</w:t>
      </w:r>
    </w:p>
    <w:p>
      <w:pPr>
        <w:pStyle w:val="Heading3"/>
      </w:pPr>
      <w:r>
        <w:rPr>
          <w:rFonts w:ascii="Arial" w:cs="Arial" w:eastAsia="Arial" w:hAnsi="Arial"/>
          <w:b/>
          <w:bCs/>
          <w:sz w:val="24"/>
          <w:szCs w:val="24"/>
        </w:rPr>
        <w:t xml:space="preserve">3.4.1 Defenses Against Person-in-the-Middle (MitM) Attacks</w:t>
      </w:r>
    </w:p>
    <w:p>
      <w:pPr>
        <w:spacing w:after="160"/>
      </w:pPr>
      <w:r>
        <w:rPr>
          <w:rFonts w:ascii="Arial" w:cs="Arial" w:eastAsia="Arial" w:hAnsi="Arial"/>
          <w:sz w:val="24"/>
          <w:szCs w:val="24"/>
        </w:rPr>
        <w:t xml:space="preserve">All campus wireless networks deploy WPA3-Enterprise security. WPA3 introduces Simultaneous Authentication of Equals (SAE), a protocol that eliminates the offline dictionary attack vulnerability inherent in WPA2-PSK (the KRACK vulnerability being a well-known example) and provides Forward Secrecy—meaning that even if a long-term credential is later compromised, previously captured session traffic cannot be decrypted retroactively (Wi-Fi Alliance, 2023). Enterprise mode additionally enforces per-user authentication via RADIUS, providing individual user attribution of wireless activity.</w:t>
      </w:r>
    </w:p>
    <w:p>
      <w:pPr>
        <w:spacing w:after="160"/>
      </w:pPr>
      <w:r>
        <w:rPr>
          <w:rFonts w:ascii="Arial" w:cs="Arial" w:eastAsia="Arial" w:hAnsi="Arial"/>
          <w:sz w:val="24"/>
          <w:szCs w:val="24"/>
        </w:rPr>
        <w:t xml:space="preserve">All internal server-to-server communication uses TLS with certificates signed by the University's internal CA. Clients cryptographically verify server certificate authenticity before transmitting any data, preventing a rogue device from impersonating a legitimate server. HTTP Strict Transport Security (HSTS) headers with a one-year max-age are enforced on all public-facing web applications, preventing protocol downgrade attacks that could strip TLS from a connection. Certificate pinning is applied to mobile client applications that access sensitive university APIs.</w:t>
      </w:r>
    </w:p>
    <w:p>
      <w:pPr>
        <w:pStyle w:val="Heading3"/>
      </w:pPr>
      <w:r>
        <w:rPr>
          <w:rFonts w:ascii="Arial" w:cs="Arial" w:eastAsia="Arial" w:hAnsi="Arial"/>
          <w:b/>
          <w:bCs/>
          <w:sz w:val="24"/>
          <w:szCs w:val="24"/>
        </w:rPr>
        <w:t xml:space="preserve">3.4.2 Defenses Against Routing Protocol Attacks</w:t>
      </w:r>
    </w:p>
    <w:p>
      <w:pPr>
        <w:spacing w:after="160"/>
      </w:pPr>
      <w:r>
        <w:rPr>
          <w:rFonts w:ascii="Arial" w:cs="Arial" w:eastAsia="Arial" w:hAnsi="Arial"/>
          <w:sz w:val="24"/>
          <w:szCs w:val="24"/>
        </w:rPr>
        <w:t xml:space="preserve">Border Gateway Protocol (BGP) security is one of the most critical concerns for a university with connections to both the public Internet and the REN. As analyzed in the BGP Hijacking course module, a malicious actor can announce fraudulent BGP routes to redirect global internet traffic through their infrastructure—as occurred in the 2018 MyEtherWallet attack, in which attackers hijacked Amazon Route 53 BGP prefixes and redirected cryptocurrency wallet traffic to a phishing server in Russia, stealing approximately $150,000 in approximately two hours (Siddiqui, 2018). The Pakistan Telecom incident of 2008 similarly demonstrated that a single misconfigured BGP announcement can disrupt global internet routing for millions of users (Zetter, 2008).</w:t>
      </w:r>
    </w:p>
    <w:p>
      <w:pPr>
        <w:spacing w:after="160"/>
      </w:pPr>
      <w:r>
        <w:rPr>
          <w:rFonts w:ascii="Arial" w:cs="Arial" w:eastAsia="Arial" w:hAnsi="Arial"/>
          <w:sz w:val="24"/>
          <w:szCs w:val="24"/>
        </w:rPr>
        <w:t xml:space="preserve">To prevent this class of attack, the University deploys Resource Public Key Infrastructure (RPKI), which cryptographically validates BGP route announcements using Route Origin Authorizations (ROAs). Only announcements with valid RPKI signatures are accepted from border router peers (Cloudflare, n.d.). For internal campus routing, OSPF routing updates between campus routers are authenticated using HMAC-MD5 authentication, preventing an attacker with access to a network segment from injecting fraudulent routing updates. BGP sessions with upstream ISPs and REN peers are additionally constrained by explicit prefix allowlists that reject any announcement outside the expected address space.</w:t>
      </w:r>
    </w:p>
    <w:p>
      <w:pPr>
        <w:pStyle w:val="Heading3"/>
      </w:pPr>
      <w:r>
        <w:rPr>
          <w:rFonts w:ascii="Arial" w:cs="Arial" w:eastAsia="Arial" w:hAnsi="Arial"/>
          <w:b/>
          <w:bCs/>
          <w:sz w:val="24"/>
          <w:szCs w:val="24"/>
        </w:rPr>
        <w:t xml:space="preserve">3.4.3 Appropriate Rules for VPN Usage</w:t>
      </w:r>
    </w:p>
    <w:p>
      <w:pPr>
        <w:spacing w:after="160"/>
      </w:pPr>
      <w:r>
        <w:rPr>
          <w:rFonts w:ascii="Arial" w:cs="Arial" w:eastAsia="Arial" w:hAnsi="Arial"/>
          <w:sz w:val="24"/>
          <w:szCs w:val="24"/>
        </w:rPr>
        <w:t xml:space="preserve">All remote access to the University network is channeled through the dedicated VPN Gateway. The VPN employs TLS 1.3 over TCP port 443—consistent with the SSL VPN protocol examined in the 'Identify the Traffic' lab exercises—which allows the tunnel to traverse restrictive networks (such as hotel firewalls) without requiring special port exceptions, while maintaining strong encryption. No split tunneling is permitted for administrative accounts; all traffic from administrator devices must flow through the VPN, ensuring administrative activity is always subject to university inspection and logging.</w:t>
      </w:r>
    </w:p>
    <w:p>
      <w:pPr>
        <w:spacing w:after="160"/>
      </w:pPr>
      <w:r>
        <w:rPr>
          <w:rFonts w:ascii="Arial" w:cs="Arial" w:eastAsia="Arial" w:hAnsi="Arial"/>
          <w:sz w:val="24"/>
          <w:szCs w:val="24"/>
        </w:rPr>
        <w:t xml:space="preserve">Before the VPN tunnel is fully established, all connecting devices must pass an automated posture assessment verifying that: (1) the operating system patch level is within 30 days of current, (2) an approved endpoint detection and response (EDR) agent is running with current signatures, and (3) full-disk encryption is active. Devices that fail posture assessment are quarantined to a remediation VLAN with access restricted to patch update servers and the university's IT helpdesk portal. Users are notified of the specific remediation steps required to restore full access.</w:t>
      </w:r>
    </w:p>
    <w:p>
      <w:pPr>
        <w:pStyle w:val="Heading3"/>
      </w:pPr>
      <w:r>
        <w:rPr>
          <w:rFonts w:ascii="Arial" w:cs="Arial" w:eastAsia="Arial" w:hAnsi="Arial"/>
          <w:b/>
          <w:bCs/>
          <w:sz w:val="24"/>
          <w:szCs w:val="24"/>
        </w:rPr>
        <w:t xml:space="preserve">3.4.4 Defenses Against DDoS Attacks</w:t>
      </w:r>
    </w:p>
    <w:p>
      <w:pPr>
        <w:spacing w:after="160"/>
      </w:pPr>
      <w:r>
        <w:rPr>
          <w:rFonts w:ascii="Arial" w:cs="Arial" w:eastAsia="Arial" w:hAnsi="Arial"/>
          <w:sz w:val="24"/>
          <w:szCs w:val="24"/>
        </w:rPr>
        <w:t xml:space="preserve">The University employs a multi-layer DDoS mitigation strategy that addresses attacks at different scales and types. At the edge, the Perimeter Firewall enforces rate limiting on inbound connections per source IP address, and TCP SYN cookies are enabled to protect against SYN flood attacks that would otherwise exhaust firewall connection state tables. The IPS detects and drops reflection and amplification attack patterns in real time.</w:t>
      </w:r>
    </w:p>
    <w:p>
      <w:pPr>
        <w:spacing w:after="160"/>
      </w:pPr>
      <w:r>
        <w:rPr>
          <w:rFonts w:ascii="Arial" w:cs="Arial" w:eastAsia="Arial" w:hAnsi="Arial"/>
          <w:sz w:val="24"/>
          <w:szCs w:val="24"/>
        </w:rPr>
        <w:t xml:space="preserve">For volumetric attacks that exceed campus upstream bandwidth—the most common and damaging form of DDoS—the University maintains a contract with an upstream cloud-based traffic scrubbing provider. When volumetric traffic thresholds are exceeded, BGP routing is automatically updated via a pre-negotiated route, diverting all inbound traffic to the provider's anycast scrubbing network for filtering. Clean traffic is then returned to campus via a GRE tunnel. This model ensures that even a multi-gigabit DDoS attack can be mitigated without requiring proportional on-premises hardware investment (Zetter, 2008).</w:t>
      </w:r>
    </w:p>
    <w:p>
      <w:pPr>
        <w:pStyle w:val="Heading3"/>
      </w:pPr>
      <w:r>
        <w:rPr>
          <w:rFonts w:ascii="Arial" w:cs="Arial" w:eastAsia="Arial" w:hAnsi="Arial"/>
          <w:b/>
          <w:bCs/>
          <w:sz w:val="24"/>
          <w:szCs w:val="24"/>
        </w:rPr>
        <w:t xml:space="preserve">3.4.5 Appropriate Network Redundancy</w:t>
      </w:r>
    </w:p>
    <w:p>
      <w:pPr>
        <w:spacing w:after="160"/>
      </w:pPr>
      <w:r>
        <w:rPr>
          <w:rFonts w:ascii="Arial" w:cs="Arial" w:eastAsia="Arial" w:hAnsi="Arial"/>
          <w:sz w:val="24"/>
          <w:szCs w:val="24"/>
        </w:rPr>
        <w:t xml:space="preserve">Availability is protected through redundancy at every critical point in the architecture. The University maintains connections to two independent Internet Service Providers with distinct physical paths, with automatic BGP-based failover in the event of a provider outage. The Core Router infrastructure is deployed as a redundant pair in Active/Passive configuration using VRRP, with sub-second failover. Within the Data Center, web application servers and database servers are deployed in high-availability clusters with load balancing, and storage systems use RAID 6 with synchronous off-site replication to a disaster recovery facility. Campus buildings connect to the core via redundant fiber paths, ensuring that no single cable cut or switch failure results in a building-wide network outage (CISA, 2022). Recovery Time Objectives (RTOs) and Recovery Point Objectives (RPOs) are defined for all critical services and tested through annual disaster recovery exercises.</w:t>
      </w:r>
    </w:p>
    <w:p>
      <w:pPr>
        <w:pStyle w:val="Heading2"/>
      </w:pPr>
      <w:r>
        <w:rPr>
          <w:rFonts w:ascii="Arial" w:cs="Arial" w:eastAsia="Arial" w:hAnsi="Arial"/>
          <w:b/>
          <w:bCs/>
          <w:color w:val="2E75B6"/>
          <w:sz w:val="28"/>
          <w:szCs w:val="28"/>
        </w:rPr>
        <w:t xml:space="preserve">3.5 Advanced Threat Detection and Mitigation</w:t>
      </w:r>
    </w:p>
    <w:p>
      <w:pPr>
        <w:pStyle w:val="Heading3"/>
      </w:pPr>
      <w:r>
        <w:rPr>
          <w:rFonts w:ascii="Arial" w:cs="Arial" w:eastAsia="Arial" w:hAnsi="Arial"/>
          <w:b/>
          <w:bCs/>
          <w:sz w:val="24"/>
          <w:szCs w:val="24"/>
        </w:rPr>
        <w:t xml:space="preserve">3.5.1 Defenses Against Remote Fuzzing Attacks</w:t>
      </w:r>
    </w:p>
    <w:p>
      <w:pPr>
        <w:spacing w:after="160"/>
      </w:pPr>
      <w:r>
        <w:rPr>
          <w:rFonts w:ascii="Arial" w:cs="Arial" w:eastAsia="Arial" w:hAnsi="Arial"/>
          <w:sz w:val="24"/>
          <w:szCs w:val="24"/>
        </w:rPr>
        <w:t xml:space="preserve">Remote fuzzing attacks probe network-facing applications with malformed, unexpected, or boundary-exceeding inputs in an attempt to trigger crashes, memory corruption, or unhandled exceptions that can be exploited. All custom applications hosted in the Data Center are developed under a Secure Software Development Lifecycle (SSDLC) that mandates input validation and bounds checking at every external input boundary, and prohibits the use of memory-unsafe functions without explicit security review.</w:t>
      </w:r>
    </w:p>
    <w:p>
      <w:pPr>
        <w:spacing w:after="160"/>
      </w:pPr>
      <w:r>
        <w:rPr>
          <w:rFonts w:ascii="Arial" w:cs="Arial" w:eastAsia="Arial" w:hAnsi="Arial"/>
          <w:sz w:val="24"/>
          <w:szCs w:val="24"/>
        </w:rPr>
        <w:t xml:space="preserve">Prior to public exposure, all new applications undergo dynamic application security testing (DAST), which includes automated protocol fuzzing against every exposed API endpoint. At the network layer, the Web Application Firewall (WAF) component of the NGFW normalizes and sanitizes all HTTP/HTTPS requests before they reach the application tier—stripping malformed headers, enforcing maximum payload sizes, and blocking requests that match known exploit patterns (MITRE, n.d.). Load balancers in the Data Center enforce additional constraints on request size, header count, and connection rates, providing a secondary sanitization layer for any malformed input that evades the WAF.</w:t>
      </w:r>
    </w:p>
    <w:p>
      <w:pPr>
        <w:pStyle w:val="Heading3"/>
      </w:pPr>
      <w:r>
        <w:rPr>
          <w:rFonts w:ascii="Arial" w:cs="Arial" w:eastAsia="Arial" w:hAnsi="Arial"/>
          <w:b/>
          <w:bCs/>
          <w:sz w:val="24"/>
          <w:szCs w:val="24"/>
        </w:rPr>
        <w:t xml:space="preserve">3.5.2 Covert Channel Detection</w:t>
      </w:r>
    </w:p>
    <w:p>
      <w:pPr>
        <w:spacing w:after="160"/>
      </w:pPr>
      <w:r>
        <w:rPr>
          <w:rFonts w:ascii="Arial" w:cs="Arial" w:eastAsia="Arial" w:hAnsi="Arial"/>
          <w:sz w:val="24"/>
          <w:szCs w:val="24"/>
        </w:rPr>
        <w:t xml:space="preserve">Covert channels exploit the information-hiding properties of legitimate protocol fields—such as ICMP payload content, DNS query subdomain strings, packet timing intervals, or unused IP header fields—to exfiltrate sensitive data or receive attacker commands while evading conventional detection. The passive IDS operating off the Core Router SPAN port employs statistical traffic analysis to identify anomalies characteristic of covert channel activity: unusually regular ICMP packet timing, DNS queries with abnormally long Base64-encoded subdomain strings (a hallmark of DNS tunneling), or unexpected variations in IP Identification fields that have been manipulated to encode data.</w:t>
      </w:r>
    </w:p>
    <w:p>
      <w:pPr>
        <w:spacing w:after="160"/>
      </w:pPr>
      <w:r>
        <w:rPr>
          <w:rFonts w:ascii="Arial" w:cs="Arial" w:eastAsia="Arial" w:hAnsi="Arial"/>
          <w:sz w:val="24"/>
          <w:szCs w:val="24"/>
        </w:rPr>
        <w:t xml:space="preserve">Security Operations conducts weekly threat hunting sessions specifically reviewing covert channel detection alerts. Any confirmed covert channel results in immediate isolation of the affected host for forensic imaging and analysis, and triggers a full incident response workflow (Davis et al., 2020). Network behavioral baselines are maintained for all major segments, and any statistically significant deviation from baseline triggers an alert for analyst review.</w:t>
      </w:r>
    </w:p>
    <w:p>
      <w:pPr>
        <w:pStyle w:val="Heading3"/>
      </w:pPr>
      <w:r>
        <w:rPr>
          <w:rFonts w:ascii="Arial" w:cs="Arial" w:eastAsia="Arial" w:hAnsi="Arial"/>
          <w:b/>
          <w:bCs/>
          <w:sz w:val="24"/>
          <w:szCs w:val="24"/>
        </w:rPr>
        <w:t xml:space="preserve">3.5.3 Beaconing Detection</w:t>
      </w:r>
    </w:p>
    <w:p>
      <w:pPr>
        <w:spacing w:after="160"/>
      </w:pPr>
      <w:r>
        <w:rPr>
          <w:rFonts w:ascii="Arial" w:cs="Arial" w:eastAsia="Arial" w:hAnsi="Arial"/>
          <w:sz w:val="24"/>
          <w:szCs w:val="24"/>
        </w:rPr>
        <w:t xml:space="preserve">Beaconing is a defining behavioral signature of malware-infected hosts communicating with a Command and Control (C2) server. Compromised machines send periodic, low-volume messages to their C2 infrastructure at regular intervals to receive instructions or report stolen data—behavior that is often very difficult to detect through signature matching alone because the individual packets are small and infrequent.</w:t>
      </w:r>
    </w:p>
    <w:p>
      <w:pPr>
        <w:spacing w:after="160"/>
      </w:pPr>
      <w:r>
        <w:rPr>
          <w:rFonts w:ascii="Arial" w:cs="Arial" w:eastAsia="Arial" w:hAnsi="Arial"/>
          <w:sz w:val="24"/>
          <w:szCs w:val="24"/>
        </w:rPr>
        <w:t xml:space="preserve">The IDS continuously monitors all outbound connections from Workstation Network segments and flags hosts exhibiting the following patterns: (1) regular, low-volume connections to the same external IP at highly consistent time intervals (indicating automated, rather than human, communication behavior); (2) connections to newly registered domains or IPs with no DNS history; or (3) data transfers to external addresses during off-peak hours that deviate from the host's behavioral baseline. Hosts flagged for beaconing behavior are automatically isolated at the network switch level via a VLAN change, and a high-priority security incident ticket is opened for forensic triage within 15 minutes (CISA, 2022; Davis et al., 2020). The incident response playbook defines escalation paths based on whether the C2 destination matches known threat intelligence indicators.</w:t>
      </w:r>
    </w:p>
    <w:p>
      <w:r>
        <w:br w:type="page"/>
      </w:r>
    </w:p>
    <w:p>
      <w:pPr>
        <w:pStyle w:val="Heading1"/>
      </w:pPr>
      <w:r>
        <w:rPr>
          <w:rFonts w:ascii="Arial" w:cs="Arial" w:eastAsia="Arial" w:hAnsi="Arial"/>
          <w:b/>
          <w:bCs/>
          <w:color w:val="1F3864"/>
          <w:sz w:val="36"/>
          <w:szCs w:val="36"/>
        </w:rPr>
        <w:t xml:space="preserve">4. Identification of Accepted Risks</w:t>
      </w:r>
    </w:p>
    <w:p>
      <w:pPr>
        <w:pBdr>
          <w:bottom w:val="single" w:color="2E75B6" w:sz="8" w:space="1"/>
        </w:pBdr>
        <w:spacing w:after="200"/>
      </w:pPr>
      <w:r>
        <w:t xml:space="preserve"/>
      </w:r>
    </w:p>
    <w:p>
      <w:pPr>
        <w:spacing w:after="160"/>
      </w:pPr>
      <w:r>
        <w:rPr>
          <w:rFonts w:ascii="Arial" w:cs="Arial" w:eastAsia="Arial" w:hAnsi="Arial"/>
          <w:sz w:val="24"/>
          <w:szCs w:val="24"/>
        </w:rPr>
        <w:t xml:space="preserve">No security architecture—regardless of investment or sophistication—can reduce risk to zero. Every defense has a cost (operational, financial, or usability), and every control has a theoretical bypass. In accordance with the risk management principles established by the Cybersecurity and Infrastructure Security Agency (CISA, 2022), the following residual risks are explicitly identified, acknowledged, and addressed through documented compensating controls. By naming these risks, the Security team ensures that leadership understands the remaining exposure and can make informed decisions about whether to accept, transfer, or further mitigate each one.</w:t>
      </w:r>
    </w:p>
    <w:p>
      <w:pPr>
        <w:pStyle w:val="Heading3"/>
      </w:pPr>
      <w:r>
        <w:rPr>
          <w:rFonts w:ascii="Arial" w:cs="Arial" w:eastAsia="Arial" w:hAnsi="Arial"/>
          <w:b/>
          <w:bCs/>
          <w:sz w:val="24"/>
          <w:szCs w:val="24"/>
        </w:rPr>
        <w:t xml:space="preserve">Accepted Risk 1: Zero-Day Exploits</w:t>
      </w:r>
    </w:p>
    <w:p>
      <w:pPr>
        <w:spacing w:after="160"/>
      </w:pPr>
      <w:r>
        <w:rPr>
          <w:rFonts w:ascii="Arial" w:cs="Arial" w:eastAsia="Arial" w:hAnsi="Arial"/>
          <w:sz w:val="24"/>
          <w:szCs w:val="24"/>
        </w:rPr>
        <w:t xml:space="preserve">Zero-day vulnerabilities—flaws in hardware or software that are unknown to the vendor and therefore unpatched—can be exploited before any defensive signature or patch is available. Advanced threat actors, including nation-state groups that specifically target university research programs, are known to leverage zero-day capabilities against institutional infrastructure. This risk is accepted because complete mitigation is technically impossible prior to vulnerability disclosure. Compensating controls include aggressive network segmentation to limit blast radius, endpoint detection and response (EDR) agents in the Workstation Network for behavioral detection independent of known signatures, and documented rapid incident response playbooks designed to contain and eradicate novel threats before they spread across zone boundaries.</w:t>
      </w:r>
    </w:p>
    <w:p>
      <w:pPr>
        <w:pStyle w:val="Heading3"/>
      </w:pPr>
      <w:r>
        <w:rPr>
          <w:rFonts w:ascii="Arial" w:cs="Arial" w:eastAsia="Arial" w:hAnsi="Arial"/>
          <w:b/>
          <w:bCs/>
          <w:sz w:val="24"/>
          <w:szCs w:val="24"/>
        </w:rPr>
        <w:t xml:space="preserve">Accepted Risk 2: Sophisticated Encrypted Covert Channels</w:t>
      </w:r>
    </w:p>
    <w:p>
      <w:pPr>
        <w:spacing w:after="160"/>
      </w:pPr>
      <w:r>
        <w:rPr>
          <w:rFonts w:ascii="Arial" w:cs="Arial" w:eastAsia="Arial" w:hAnsi="Arial"/>
          <w:sz w:val="24"/>
          <w:szCs w:val="24"/>
        </w:rPr>
        <w:t xml:space="preserve">As encryption and evasion techniques mature, highly sophisticated Advanced Persistent Threats (APTs) may craft HTTPS traffic that is statistically indistinguishable from legitimate user browsing even under deep packet inspection. Such threats may maintain persistent, low-and-slow access within the University's network for extended periods while evading detection by both the IDS and behavioral analytics. This risk is accepted because the University cannot decrypt and inspect every packet without introducing unacceptable latency and privacy implications for the user community. Compensating controls include EDR agents that detect malicious behavior at the host level independent of network traffic analysis, periodic third-party threat hunting engagements, and SIEM correlation across endpoint, network, and authentication logs to surface multi-stage attack patterns that are invisible in any single data source.</w:t>
      </w:r>
    </w:p>
    <w:p>
      <w:pPr>
        <w:pStyle w:val="Heading3"/>
      </w:pPr>
      <w:r>
        <w:rPr>
          <w:rFonts w:ascii="Arial" w:cs="Arial" w:eastAsia="Arial" w:hAnsi="Arial"/>
          <w:b/>
          <w:bCs/>
          <w:sz w:val="24"/>
          <w:szCs w:val="24"/>
        </w:rPr>
        <w:t xml:space="preserve">Accepted Risk 3: Malicious or Negligent Insider Threats</w:t>
      </w:r>
    </w:p>
    <w:p>
      <w:pPr>
        <w:spacing w:after="160"/>
      </w:pPr>
      <w:r>
        <w:rPr>
          <w:rFonts w:ascii="Arial" w:cs="Arial" w:eastAsia="Arial" w:hAnsi="Arial"/>
          <w:sz w:val="24"/>
          <w:szCs w:val="24"/>
        </w:rPr>
        <w:t xml:space="preserve">A student, faculty member, or staff member with legitimate network access may intentionally or accidentally cause a security incident—whether through deliberate data exfiltration, accidental misconfiguration of a system, or as a victim of social engineering that converts them into an unwitting attacker. Network segmentation and least-privilege access controls significantly limit the blast radius of any single insider incident, but they cannot prevent an authorized user from exfiltrating data they have legitimate access to. This risk is accepted because eliminating all insider access is fundamentally incompatible with the University's operational mission. Compensating controls include User and Entity Behavior Analytics (UEBA) integrated into the SIEM, data loss prevention (DLP) policies on outbound email and cloud upload services, regular periodic access reviews to remove unnecessary privileges, and separation of duties for high-risk administrative functions.</w:t>
      </w:r>
    </w:p>
    <w:p>
      <w:pPr>
        <w:pStyle w:val="Heading3"/>
      </w:pPr>
      <w:r>
        <w:rPr>
          <w:rFonts w:ascii="Arial" w:cs="Arial" w:eastAsia="Arial" w:hAnsi="Arial"/>
          <w:b/>
          <w:bCs/>
          <w:sz w:val="24"/>
          <w:szCs w:val="24"/>
        </w:rPr>
        <w:t xml:space="preserve">Accepted Risk 4: Third-Party and REN Partner Risks</w:t>
      </w:r>
    </w:p>
    <w:p>
      <w:pPr>
        <w:spacing w:after="160"/>
      </w:pPr>
      <w:r>
        <w:rPr>
          <w:rFonts w:ascii="Arial" w:cs="Arial" w:eastAsia="Arial" w:hAnsi="Arial"/>
          <w:sz w:val="24"/>
          <w:szCs w:val="24"/>
        </w:rPr>
        <w:t xml:space="preserve">The University's connections to the Research and Education Network (REN) and partner institutions introduce a degree of inherited risk that cannot be fully eliminated. A security incident at a trusted peer institution could potentially be leveraged as a pivot point into the University's network, either through compromised routing announcements or through a trusted inter-institutional application connection. This risk is accepted because REN connectivity is essential to the University's core research and collaborative mission. Compensating controls include strict BGP prefix filtering on all REN peering sessions, dedicated VLAN segmentation for REN traffic that prevents direct communication between REN-connected hosts and the internal user or administrative segments, and continuous monitoring of all cross-institutional traffic patterns for anomalies (Cloudflare, n.d.; Siddiqui, 2018).</w:t>
      </w:r>
    </w:p>
    <w:p>
      <w:pPr>
        <w:pStyle w:val="Heading3"/>
      </w:pPr>
      <w:r>
        <w:rPr>
          <w:rFonts w:ascii="Arial" w:cs="Arial" w:eastAsia="Arial" w:hAnsi="Arial"/>
          <w:b/>
          <w:bCs/>
          <w:sz w:val="24"/>
          <w:szCs w:val="24"/>
        </w:rPr>
        <w:t xml:space="preserve">Accepted Risk 5: Supply Chain Attacks</w:t>
      </w:r>
    </w:p>
    <w:p>
      <w:pPr>
        <w:spacing w:after="160"/>
      </w:pPr>
      <w:r>
        <w:rPr>
          <w:rFonts w:ascii="Arial" w:cs="Arial" w:eastAsia="Arial" w:hAnsi="Arial"/>
          <w:sz w:val="24"/>
          <w:szCs w:val="24"/>
        </w:rPr>
        <w:t xml:space="preserve">The University procures hardware and software from third-party vendors whose own supply chains may be compromised prior to delivery—a scenario known as a supply chain attack, in which an adversary embeds malicious code or hardware implants before products reach the end customer. This risk cannot be fully eliminated through standard vendor due diligence processes alone. This risk is accepted because replacing all third-party components with internally developed alternatives is operationally and financially infeasible. Compensating controls include hardware integrity verification procedures for critical network devices during deployment (comparing firmware hashes against vendor-provided values), network behavioral monitoring for unexpected outbound communication by newly deployed systems, subscription to vendor security advisories, and monitoring of the CISA Known Exploited Vulnerabilities (KEV) catalog to accelerate patching of actively exploited vulnerabilities.</w:t>
      </w:r>
    </w:p>
    <w:p>
      <w:r>
        <w:br w:type="page"/>
      </w:r>
    </w:p>
    <w:p>
      <w:pPr>
        <w:pStyle w:val="Heading1"/>
      </w:pPr>
      <w:r>
        <w:rPr>
          <w:rFonts w:ascii="Arial" w:cs="Arial" w:eastAsia="Arial" w:hAnsi="Arial"/>
          <w:b/>
          <w:bCs/>
          <w:color w:val="1F3864"/>
          <w:sz w:val="36"/>
          <w:szCs w:val="36"/>
        </w:rPr>
        <w:t xml:space="preserve">References</w:t>
      </w:r>
    </w:p>
    <w:p>
      <w:pPr>
        <w:pBdr>
          <w:bottom w:val="single" w:color="2E75B6" w:sz="8" w:space="1"/>
        </w:pBdr>
        <w:spacing w:after="200"/>
      </w:pPr>
      <w:r>
        <w:t xml:space="preserve"/>
      </w:r>
    </w:p>
    <w:p>
      <w:pPr>
        <w:spacing w:after="200"/>
        <w:ind w:left="720" w:hanging="720"/>
      </w:pPr>
      <w:r>
        <w:rPr>
          <w:rFonts w:ascii="Arial" w:cs="Arial" w:eastAsia="Arial" w:hAnsi="Arial"/>
          <w:sz w:val="22"/>
          <w:szCs w:val="22"/>
        </w:rPr>
        <w:t xml:space="preserve">Cloudflare. (n.d.). What is BGP hijacking? Cloudflare Learning Center. https://www.cloudflare.com/learning/security/glossary/bgp-hijacking/</w:t>
      </w:r>
    </w:p>
    <w:p>
      <w:pPr>
        <w:spacing w:after="200"/>
        <w:ind w:left="720" w:hanging="720"/>
      </w:pPr>
      <w:r>
        <w:rPr>
          <w:rFonts w:ascii="Arial" w:cs="Arial" w:eastAsia="Arial" w:hAnsi="Arial"/>
          <w:sz w:val="22"/>
          <w:szCs w:val="22"/>
        </w:rPr>
        <w:t xml:space="preserve">Cybersecurity and Infrastructure Security Agency (CISA). (2022). Guide to getting started with a cybersecurity risk assessment. https://www.cisa.gov/sites/default/files/2024-09/24_0828_safecom_guide_getting_started_cybersecurity_assessment_2022_final_508C.pdf</w:t>
      </w:r>
    </w:p>
    <w:p>
      <w:pPr>
        <w:spacing w:after="200"/>
        <w:ind w:left="720" w:hanging="720"/>
      </w:pPr>
      <w:r>
        <w:rPr>
          <w:rFonts w:ascii="Arial" w:cs="Arial" w:eastAsia="Arial" w:hAnsi="Arial"/>
          <w:sz w:val="22"/>
          <w:szCs w:val="22"/>
        </w:rPr>
        <w:t xml:space="preserve">Davis, B. D., Mason, J. C., &amp; Anwar, M. (2020). Vulnerability studies and security postures of IoT devices: A smart home case study. IEEE Internet of Things Journal. https://ieeexplore.ieee.org/abstract/document/9050664</w:t>
      </w:r>
    </w:p>
    <w:p>
      <w:pPr>
        <w:spacing w:after="200"/>
        <w:ind w:left="720" w:hanging="720"/>
      </w:pPr>
      <w:r>
        <w:rPr>
          <w:rFonts w:ascii="Arial" w:cs="Arial" w:eastAsia="Arial" w:hAnsi="Arial"/>
          <w:sz w:val="22"/>
          <w:szCs w:val="22"/>
        </w:rPr>
        <w:t xml:space="preserve">MITRE. (n.d.). CWE-319: Cleartext transmission of sensitive information. https://cwe.mitre.org/data/definitions/319.html</w:t>
      </w:r>
    </w:p>
    <w:p>
      <w:pPr>
        <w:spacing w:after="200"/>
        <w:ind w:left="720" w:hanging="720"/>
      </w:pPr>
      <w:r>
        <w:rPr>
          <w:rFonts w:ascii="Arial" w:cs="Arial" w:eastAsia="Arial" w:hAnsi="Arial"/>
          <w:sz w:val="22"/>
          <w:szCs w:val="22"/>
        </w:rPr>
        <w:t xml:space="preserve">National Institute of Standards and Technology (NIST). (2020). Recommendation for key management: Part 1 – General (SP 800-57pt1r5). https://doi.org/10.6028/NIST.SP.800-57pt1r5</w:t>
      </w:r>
    </w:p>
    <w:p>
      <w:pPr>
        <w:spacing w:after="200"/>
        <w:ind w:left="720" w:hanging="720"/>
      </w:pPr>
      <w:r>
        <w:rPr>
          <w:rFonts w:ascii="Arial" w:cs="Arial" w:eastAsia="Arial" w:hAnsi="Arial"/>
          <w:sz w:val="22"/>
          <w:szCs w:val="22"/>
        </w:rPr>
        <w:t xml:space="preserve">Siddiqui, A. (2018, April 27). The Amazon Route 53 BGP hijack to take over Ethereum cryptocurrency wallets. Internet Society. https://www.internetsociety.org/blog/2018/04/amazons-route-53-bgp-hijack/</w:t>
      </w:r>
    </w:p>
    <w:p>
      <w:pPr>
        <w:spacing w:after="200"/>
        <w:ind w:left="720" w:hanging="720"/>
      </w:pPr>
      <w:r>
        <w:rPr>
          <w:rFonts w:ascii="Arial" w:cs="Arial" w:eastAsia="Arial" w:hAnsi="Arial"/>
          <w:sz w:val="22"/>
          <w:szCs w:val="22"/>
        </w:rPr>
        <w:t xml:space="preserve">Wi-Fi Alliance. (2023). WPA3 specification. https://www.wi-fi.org/discover-wi-fi/security</w:t>
      </w:r>
    </w:p>
    <w:p>
      <w:pPr>
        <w:spacing w:after="200"/>
        <w:ind w:left="720" w:hanging="720"/>
      </w:pPr>
      <w:r>
        <w:rPr>
          <w:rFonts w:ascii="Arial" w:cs="Arial" w:eastAsia="Arial" w:hAnsi="Arial"/>
          <w:sz w:val="22"/>
          <w:szCs w:val="22"/>
        </w:rPr>
        <w:t xml:space="preserve">Zetter, K. (2008, August 26). Revealed: The Internet's biggest security hole. WIRED. https://www.wired.com/2008/08/revealed-the-in/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Confidential — CS 478 Network Security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jc w:val="right"/>
    </w:pPr>
    <w:r>
      <w:rPr>
        <w:rFonts w:ascii="Arial" w:cs="Arial" w:eastAsia="Arial" w:hAnsi="Arial"/>
        <w:color w:val="888888"/>
        <w:sz w:val="18"/>
        <w:szCs w:val="18"/>
      </w:rPr>
      <w:t xml:space="preserve">University Network Security Architecture | Jaden Cao | CS 478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3df5b06a6f59d3b17ba4bfff0e962bd4dba477c.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2026-03-18T07:17:22.482Z</dcterms:created>
  <dcterms:modified xsi:type="dcterms:W3CDTF">2026-03-18T07:17:22.482Z</dcterms:modified>
</cp:coreProperties>
</file>

<file path=docProps/custom.xml><?xml version="1.0" encoding="utf-8"?>
<Properties xmlns="http://schemas.openxmlformats.org/officeDocument/2006/custom-properties" xmlns:vt="http://schemas.openxmlformats.org/officeDocument/2006/docPropsVTypes"/>
</file>