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Appendix</w:t>
      </w:r>
    </w:p>
    <w:bookmarkStart w:id="11" w:name="app:datasets"/>
    <w:p>
      <w:pPr>
        <w:pStyle w:val="Heading1"/>
      </w:pPr>
      <w:r>
        <w:t xml:space="preserve">Dataset Details</w:t>
      </w:r>
    </w:p>
    <w:p>
      <w:pPr>
        <w:pStyle w:val="FirstParagraph"/>
      </w:pPr>
      <w:r>
        <w:t xml:space="preserve">Table </w:t>
      </w:r>
      <w:hyperlink w:anchor="tab:datase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summarises the six benchmark datasets used in this study, and Table </w:t>
      </w:r>
      <w:hyperlink w:anchor="tab:sample_queri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provides representative sample queries from each.</w:t>
      </w:r>
      <w:r>
        <w:t xml:space="preserve"> </w:t>
      </w:r>
      <w:r>
        <w:t xml:space="preserve">All datasets were sampled to a maximum of 50 queries each, yielding 291 total</w:t>
      </w:r>
      <w:r>
        <w:t xml:space="preserve"> </w:t>
      </w:r>
      <w:r>
        <w:t xml:space="preserve">query–context–answer triples after filtering records with empty context fields.</w:t>
      </w:r>
      <w:r>
        <w:t xml:space="preserve"> </w:t>
      </w:r>
      <w:r>
        <w:t xml:space="preserve">Query-type labels were assigned automatically: HotpotQA and SQuAD v2 used</w:t>
      </w:r>
      <w:r>
        <w:t xml:space="preserve"> </w:t>
      </w:r>
      <w:r>
        <w:t xml:space="preserve">metadata flags (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is_impossible</w:t>
      </w:r>
      <w:r>
        <w:t xml:space="preserve">) embedded in the</w:t>
      </w:r>
      <w:r>
        <w:t xml:space="preserve"> </w:t>
      </w:r>
      <w:r>
        <w:t xml:space="preserve">dataset; all remaining datasets contain only single-hop questions as defined by</w:t>
      </w:r>
      <w:r>
        <w:t xml:space="preserve"> </w:t>
      </w:r>
      <w:r>
        <w:t xml:space="preserve">their original design, confirmed by manual inspection of a random 20-item subset.</w:t>
      </w:r>
    </w:p>
    <w:bookmarkStart w:id="9" w:name="tab:datasets"/>
    <w:p>
      <w:pPr>
        <w:pStyle w:val="TableCaption"/>
      </w:pPr>
      <w:r>
        <w:t xml:space="preserve">Benchmark datasets included in the balanced evaluation corpus.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enchmark datasets included in the balanced evaluation corpu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(HF path)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i/>
                <w:iCs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HotpotQA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Multi-hop, Comparative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hotpot_qa/distractor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SQuAD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Single-hop, Unanswerable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rajpurkar/SQuAD-v2.0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PubMedQA (labeled)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Single-hop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qiaojin/PubMedQA/pqa_labeled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PubMedQA (artif.)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Single-hop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qiaojin/PubMedQA/pqa_artificial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Single-hop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ibm/finqa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Single-hop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PatronusAI/financebench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291</w:t>
            </w:r>
          </w:p>
        </w:tc>
      </w:tr>
    </w:tbl>
    <w:bookmarkEnd w:id="9"/>
    <w:p>
      <w:pPr>
        <w:pStyle w:val="BodyText"/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Nine records excluded due to empty context after preprocessing.</w:t>
      </w:r>
    </w:p>
    <w:bookmarkStart w:id="10" w:name="tab:sample_queries"/>
    <w:p>
      <w:pPr>
        <w:pStyle w:val="TableCaption"/>
      </w:pPr>
      <w:r>
        <w:t xml:space="preserve">Representative sample queries drawn from the six benchmark datasets.</w:t>
      </w:r>
      <w:r>
        <w:t xml:space="preserve"> </w:t>
      </w:r>
      <w:r>
        <w:t xml:space="preserve">Each row shows one question–answer pair as presented to the RAG pipeline.</w:t>
      </w:r>
      <w:r>
        <w:t xml:space="preserve"> </w:t>
      </w:r>
      <w:r>
        <w:t xml:space="preserve">“N/A”</w:t>
      </w:r>
      <w:r>
        <w:t xml:space="preserve"> </w:t>
      </w:r>
      <w:r>
        <w:t xml:space="preserve">denotes unanswerable items for which no reference answer exists.</w:t>
      </w:r>
      <w:r>
        <w:t xml:space="preserve"> </w:t>
      </w:r>
      <w:r>
        <w:t xml:space="preserve">Medical answers are truncated for brevity; full long-form answers were used</w:t>
      </w:r>
      <w:r>
        <w:t xml:space="preserve"> </w:t>
      </w:r>
      <w:r>
        <w:t xml:space="preserve">during evaluation.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presentative sample queries drawn from the six benchmark datasets. Each row shows one question–answer pair as presented to the RAG pipeline. “N/A” denotes unanswerable items for which no reference answer exists. Medical answers are truncated for brevity; full long-form answers were used during evaluati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HotpotQA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Were Scott Derrickson and Ed Wood of the same nationality?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HotpotQA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government position was held by the woman who portrayed Corliss Archer in the film</w:t>
            </w:r>
            <w:r>
              <w:t xml:space="preserve"> </w:t>
            </w:r>
            <w:r>
              <w:rPr>
                <w:i/>
                <w:iCs/>
              </w:rPr>
              <w:t xml:space="preserve">Kiss and Tell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of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SQuAD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what country is Normandy located?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SQuAD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Unanswerable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gave their name to Normandy in the 1000s and 1100s?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PubMedQA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mitochondria play a role in remodelling lace plant leaves during programmed cell death?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mitochondrial dynamics were observed to progress as PCD advanced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PubMedQA (artif.)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group 2 innate lymphoid cells (ILC2s) increased in chronic rhinosinusitis with nasal polyps or eosinophilia?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ILC2s are elevated in CRSwNP and may drive nasal polyp formation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average payment volume per transaction for American Express?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FY2018 capital expenditure amount (in USD millions) for 3M?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</w:t>
            </w:r>
            <w:r>
              <w:t xml:space="preserve">,</w:t>
            </w:r>
            <w:r>
              <w:t xml:space="preserve">577.00</w:t>
            </w:r>
          </w:p>
        </w:tc>
      </w:tr>
    </w:tbl>
    <w:bookmarkEnd w:id="10"/>
    <w:bookmarkEnd w:id="11"/>
    <w:bookmarkStart w:id="13" w:name="app:chunking"/>
    <w:p>
      <w:pPr>
        <w:pStyle w:val="Heading1"/>
      </w:pPr>
      <w:r>
        <w:t xml:space="preserve">Chunking Strategy Specifications</w:t>
      </w:r>
    </w:p>
    <w:p>
      <w:pPr>
        <w:pStyle w:val="FirstParagraph"/>
      </w:pPr>
      <w:r>
        <w:t xml:space="preserve">Six chunking strategies were evaluated, combining two methods (fixed-size and</w:t>
      </w:r>
      <w:r>
        <w:t xml:space="preserve"> </w:t>
      </w:r>
      <w:r>
        <w:t xml:space="preserve">semantic) with three token-budget sizes (128, 256, 512). Table </w:t>
      </w:r>
      <w:hyperlink w:anchor="tab:chunking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provides full specifications. All token counts use the</w:t>
      </w:r>
      <w:r>
        <w:t xml:space="preserve"> </w:t>
      </w:r>
      <w:r>
        <w:rPr>
          <w:rStyle w:val="VerbatimChar"/>
        </w:rPr>
        <w:t xml:space="preserve">cl100k_base</w:t>
      </w:r>
      <w:r>
        <w:t xml:space="preserve"> </w:t>
      </w:r>
      <w:r>
        <w:t xml:space="preserve">tiktoken encoding (GPT-3/4 vocabulary). Fixed strategies produce non-overlapping</w:t>
      </w:r>
      <w:r>
        <w:t xml:space="preserve"> </w:t>
      </w:r>
      <w:r>
        <w:t xml:space="preserve">windows; semantic strategies respect paragraph and sentence boundaries before</w:t>
      </w:r>
      <w:r>
        <w:t xml:space="preserve"> </w:t>
      </w:r>
      <w:r>
        <w:t xml:space="preserve">falling back to fixed chunking for units that exceed the token budget.</w:t>
      </w:r>
    </w:p>
    <w:bookmarkStart w:id="12" w:name="tab:chunking"/>
    <w:p>
      <w:pPr>
        <w:pStyle w:val="TableCaption"/>
      </w:pPr>
      <w:r>
        <w:t xml:space="preserve">Chunking strategy specifications.</w:t>
      </w:r>
      <w:r>
        <w:t xml:space="preserve"> </w:t>
      </w:r>
      <w:r>
        <w:t xml:space="preserve">“Max tokens”</w:t>
      </w:r>
      <w:r>
        <w:t xml:space="preserve"> </w:t>
      </w:r>
      <w:r>
        <w:t xml:space="preserve">denotes the upper token</w:t>
      </w:r>
      <w:r>
        <w:t xml:space="preserve"> </w:t>
      </w:r>
      <w:r>
        <w:t xml:space="preserve">limit per chunk; fixed strategies use exact-size windows with no overlap.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hunking strategy specifications. “Max tokens” denotes the upper token limit per chunk; fixed strategies use exact-size windows with no overlap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Max tokens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Overlap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Boundary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token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token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token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Paragraph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sentence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Paragraph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sentence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Paragraph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sentence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fixed</w:t>
            </w:r>
          </w:p>
        </w:tc>
      </w:tr>
    </w:tbl>
    <w:bookmarkEnd w:id="12"/>
    <w:bookmarkEnd w:id="13"/>
    <w:bookmarkStart w:id="14" w:name="app:judge_prompt"/>
    <w:p>
      <w:pPr>
        <w:pStyle w:val="Heading1"/>
      </w:pPr>
      <w:r>
        <w:t xml:space="preserve">LLM-as-Judge Prompt</w:t>
      </w:r>
    </w:p>
    <w:p>
      <w:pPr>
        <w:pStyle w:val="FirstParagraph"/>
      </w:pPr>
      <w:r>
        <w:t xml:space="preserve">The following prompt was used verbatim for all LLM-as-judge evaluations.</w:t>
      </w:r>
      <w:r>
        <w:t xml:space="preserve"> </w:t>
      </w:r>
      <w:r>
        <w:t xml:space="preserve">Scores were elicited at temperature 0 using</w:t>
      </w:r>
      <w:r>
        <w:t xml:space="preserve"> </w:t>
      </w:r>
      <w:r>
        <w:rPr>
          <w:rStyle w:val="VerbatimChar"/>
        </w:rPr>
        <w:t xml:space="preserve">openai/gpt-4o-mini</w:t>
      </w:r>
      <w:r>
        <w:t xml:space="preserve"> </w:t>
      </w:r>
      <w:r>
        <w:t xml:space="preserve">via</w:t>
      </w:r>
      <w:r>
        <w:t xml:space="preserve"> </w:t>
      </w:r>
      <w:r>
        <w:t xml:space="preserve">the OpenRouter API. Raw integer scores (1–5) were normalized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w:r>
        <w:t xml:space="preserve">the transformation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BlockText"/>
      </w:pPr>
      <w:r>
        <w:t xml:space="preserve">You are an expert evaluator assessing the correctness of a RAG system’s answer.</w:t>
      </w:r>
    </w:p>
    <w:p>
      <w:pPr>
        <w:pStyle w:val="BlockText"/>
      </w:pPr>
      <w:r>
        <w:t xml:space="preserve">Task</w:t>
      </w:r>
      <w:r>
        <w:br/>
      </w:r>
      <w:r>
        <w:t xml:space="preserve">Rate how correctly the RESPONSE answers the QUESTION, compared to the REFERENCE ANSWER.</w:t>
      </w:r>
    </w:p>
    <w:p>
      <w:pPr>
        <w:pStyle w:val="BlockText"/>
      </w:pPr>
      <w:r>
        <w:t xml:space="preserve">Inputs</w:t>
      </w:r>
      <w:r>
        <w:br/>
      </w:r>
      <w:r>
        <w:t xml:space="preserve">- QUESTION: {question}</w:t>
      </w:r>
      <w:r>
        <w:br/>
      </w:r>
      <w:r>
        <w:t xml:space="preserve">- REFERENCE ANSWER: {ground_truth}</w:t>
      </w:r>
      <w:r>
        <w:br/>
      </w:r>
      <w:r>
        <w:t xml:space="preserve">- RESPONSE: {response}</w:t>
      </w:r>
    </w:p>
    <w:p>
      <w:pPr>
        <w:pStyle w:val="BlockText"/>
      </w:pPr>
      <w:r>
        <w:t xml:space="preserve">Scoring Rubric (1–5)</w:t>
      </w:r>
      <w:r>
        <w:br/>
      </w:r>
      <w:r>
        <w:t xml:space="preserve">5 = The response contains the correct answer with the same essential information</w:t>
      </w:r>
      <w:r>
        <w:t xml:space="preserve"> </w:t>
      </w:r>
      <w:r>
        <w:t xml:space="preserve">as the reference. Minor wording differences or additional correct elaboration</w:t>
      </w:r>
      <w:r>
        <w:t xml:space="preserve"> </w:t>
      </w:r>
      <w:r>
        <w:t xml:space="preserve">are acceptable.</w:t>
      </w:r>
      <w:r>
        <w:br/>
      </w:r>
      <w:r>
        <w:t xml:space="preserve">4 = The response is correct but misses minor details from the reference, or adds</w:t>
      </w:r>
      <w:r>
        <w:t xml:space="preserve"> </w:t>
      </w:r>
      <w:r>
        <w:t xml:space="preserve">minor inaccuracies alongside the correct answer.</w:t>
      </w:r>
      <w:r>
        <w:br/>
      </w:r>
      <w:r>
        <w:t xml:space="preserve">3 = Partially correct. Captures some key information but misses important</w:t>
      </w:r>
      <w:r>
        <w:t xml:space="preserve"> </w:t>
      </w:r>
      <w:r>
        <w:t xml:space="preserve">details or includes significant inaccuracies.</w:t>
      </w:r>
      <w:r>
        <w:br/>
      </w:r>
      <w:r>
        <w:t xml:space="preserve">2 = Mostly incorrect. Attempts to answer but misses the main point or</w:t>
      </w:r>
      <w:r>
        <w:t xml:space="preserve"> </w:t>
      </w:r>
      <w:r>
        <w:t xml:space="preserve">contradicts the reference on key facts.</w:t>
      </w:r>
      <w:r>
        <w:br/>
      </w:r>
      <w:r>
        <w:t xml:space="preserve">1 = Completely incorrect, does not answer the question, or contradicts the</w:t>
      </w:r>
      <w:r>
        <w:t xml:space="preserve"> </w:t>
      </w:r>
      <w:r>
        <w:t xml:space="preserve">reference answer entirely.</w:t>
      </w:r>
    </w:p>
    <w:p>
      <w:pPr>
        <w:pStyle w:val="BlockText"/>
      </w:pPr>
      <w:r>
        <w:t xml:space="preserve">Important</w:t>
      </w:r>
      <w:r>
        <w:br/>
      </w:r>
      <w:r>
        <w:t xml:space="preserve">- Focus on SEMANTIC correctness, not lexical overlap.</w:t>
      </w:r>
      <w:r>
        <w:br/>
      </w:r>
      <w:r>
        <w:t xml:space="preserve">- A verbose response that contains the correct answer should score 5.</w:t>
      </w:r>
      <w:r>
        <w:br/>
      </w:r>
      <w:r>
        <w:t xml:space="preserve">- Short reference answers (e.g. </w:t>
      </w:r>
      <w:r>
        <w:t xml:space="preserve">“yes”</w:t>
      </w:r>
      <w:r>
        <w:t xml:space="preserve">,</w:t>
      </w:r>
      <w:r>
        <w:t xml:space="preserve"> </w:t>
      </w:r>
      <w:r>
        <w:t xml:space="preserve">“no”</w:t>
      </w:r>
      <w:r>
        <w:t xml:space="preserve">, a name, a date): the response</w:t>
      </w:r>
      <w:r>
        <w:t xml:space="preserve"> </w:t>
      </w:r>
      <w:r>
        <w:t xml:space="preserve">must contain or clearly convey that answer.</w:t>
      </w:r>
      <w:r>
        <w:br/>
      </w:r>
      <w:r>
        <w:t xml:space="preserve">- If the question is unanswerable and the reference indicates this, a response</w:t>
      </w:r>
      <w:r>
        <w:t xml:space="preserve"> </w:t>
      </w:r>
      <w:r>
        <w:t xml:space="preserve">that appropriately declines should score highly.</w:t>
      </w:r>
    </w:p>
    <w:p>
      <w:pPr>
        <w:pStyle w:val="BlockText"/>
      </w:pPr>
      <w:r>
        <w:t xml:space="preserve">Respond with ONLY valid JSON: {"score": &lt;int 1–5&gt;, "reasoning": "&lt;one sentence&gt;"}</w:t>
      </w:r>
    </w:p>
    <w:bookmarkEnd w:id="14"/>
    <w:bookmarkStart w:id="15" w:name="app:qt_prompt"/>
    <w:p>
      <w:pPr>
        <w:pStyle w:val="Heading1"/>
      </w:pPr>
      <w:r>
        <w:t xml:space="preserve">Query-Type Classification Prompt</w:t>
      </w:r>
    </w:p>
    <w:p>
      <w:pPr>
        <w:pStyle w:val="FirstParagraph"/>
      </w:pPr>
      <w:r>
        <w:t xml:space="preserve">For datasets without built-in query-type metadata, the following prompt was used</w:t>
      </w:r>
      <w:r>
        <w:t xml:space="preserve"> </w:t>
      </w:r>
      <w:r>
        <w:t xml:space="preserve">to classify each question via</w:t>
      </w:r>
      <w:r>
        <w:t xml:space="preserve"> </w:t>
      </w:r>
      <w:r>
        <w:rPr>
          <w:rStyle w:val="VerbatimChar"/>
        </w:rPr>
        <w:t xml:space="preserve">openai/gpt-4o-mini</w:t>
      </w:r>
      <w:r>
        <w:t xml:space="preserve"> </w:t>
      </w:r>
      <w:r>
        <w:t xml:space="preserve">at temperature 0.</w:t>
      </w:r>
    </w:p>
    <w:p>
      <w:pPr>
        <w:pStyle w:val="BlockText"/>
      </w:pPr>
      <w:r>
        <w:t xml:space="preserve">Classify the following question into exactly one of these query types:</w:t>
      </w:r>
      <w:r>
        <w:br/>
      </w:r>
      <w:r>
        <w:t xml:space="preserve">single-hop, multi-hop, comparative, unanswerable.</w:t>
      </w:r>
      <w:r>
        <w:br/>
      </w:r>
      <w:r>
        <w:t xml:space="preserve">A single-hop question requires one fact.</w:t>
      </w:r>
      <w:r>
        <w:br/>
      </w:r>
      <w:r>
        <w:t xml:space="preserve">A multi-hop question requires combining facts from multiple sources.</w:t>
      </w:r>
      <w:r>
        <w:br/>
      </w:r>
      <w:r>
        <w:t xml:space="preserve">A comparative question requires comparing two or more entities.</w:t>
      </w:r>
      <w:r>
        <w:br/>
      </w:r>
      <w:r>
        <w:t xml:space="preserve">An unanswerable question cannot be answered from typical reference material.</w:t>
      </w:r>
      <w:r>
        <w:br/>
      </w:r>
      <w:r>
        <w:t xml:space="preserve">Respond with ONLY the query type label.</w:t>
      </w:r>
    </w:p>
    <w:p>
      <w:pPr>
        <w:pStyle w:val="BlockText"/>
      </w:pPr>
      <w:r>
        <w:t xml:space="preserve">Question: {query}</w:t>
      </w:r>
    </w:p>
    <w:bookmarkEnd w:id="15"/>
    <w:bookmarkStart w:id="16" w:name="app:ragas"/>
    <w:p>
      <w:pPr>
        <w:pStyle w:val="Heading1"/>
      </w:pPr>
      <w:r>
        <w:t xml:space="preserve">RAGAS Metric Definitions</w:t>
      </w:r>
    </w:p>
    <w:p>
      <w:pPr>
        <w:pStyle w:val="FirstParagraph"/>
      </w:pPr>
      <w:r>
        <w:t xml:space="preserve">Four retrieval and generation metrics were computed using the RAGAS</w:t>
      </w:r>
      <w:r>
        <w:t xml:space="preserve"> </w:t>
      </w:r>
      <w:r>
        <w:t xml:space="preserve">framework</w:t>
      </w:r>
      <w:r>
        <w:t xml:space="preserve"> </w:t>
      </w:r>
      <w:r>
        <w:t xml:space="preserve"> </w:t>
      </w:r>
      <w:r>
        <w:t xml:space="preserve">alongside the LLM-as-judge score. All RAGAS</w:t>
      </w:r>
      <w:r>
        <w:t xml:space="preserve"> </w:t>
      </w:r>
      <w:r>
        <w:t xml:space="preserve">metrics are bounded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(higher = better).</w:t>
      </w:r>
    </w:p>
    <w:p>
      <w:pPr>
        <w:pStyle w:val="DefinitionTerm"/>
      </w:pPr>
      <w:r>
        <w:t xml:space="preserve">Faithfulness</w:t>
      </w:r>
    </w:p>
    <w:p>
      <w:pPr>
        <w:pStyle w:val="Definition"/>
      </w:pPr>
      <w:r>
        <w:t xml:space="preserve">Proportion of claims in the generated answer that are</w:t>
      </w:r>
      <w:r>
        <w:t xml:space="preserve"> </w:t>
      </w:r>
      <w:r>
        <w:t xml:space="preserve">directly supported by the retrieved context. Computed by decomposing the</w:t>
      </w:r>
      <w:r>
        <w:t xml:space="preserve"> </w:t>
      </w:r>
      <w:r>
        <w:t xml:space="preserve">answer into atomic claims and checking each against the context with an LLM</w:t>
      </w:r>
      <w:r>
        <w:t xml:space="preserve"> </w:t>
      </w:r>
      <w:r>
        <w:t xml:space="preserve">verifier.</w:t>
      </w:r>
    </w:p>
    <w:p>
      <w:pPr>
        <w:pStyle w:val="DefinitionTerm"/>
      </w:pPr>
      <w:r>
        <w:t xml:space="preserve">Answer Relevancy</w:t>
      </w:r>
    </w:p>
    <w:p>
      <w:pPr>
        <w:pStyle w:val="Definition"/>
      </w:pPr>
      <w:r>
        <w:t xml:space="preserve">Cosine similarity between the embedding of the</w:t>
      </w:r>
      <w:r>
        <w:t xml:space="preserve"> </w:t>
      </w:r>
      <w:r>
        <w:t xml:space="preserve">question and embeddings of synthetic questions reverse-engineered from the</w:t>
      </w:r>
      <w:r>
        <w:t xml:space="preserve"> </w:t>
      </w:r>
      <w:r>
        <w:t xml:space="preserve">answer. Measures whether the answer actually addresses the question asked.</w:t>
      </w:r>
    </w:p>
    <w:p>
      <w:pPr>
        <w:pStyle w:val="DefinitionTerm"/>
      </w:pPr>
      <w:r>
        <w:t xml:space="preserve">Context Precision</w:t>
      </w:r>
    </w:p>
    <w:p>
      <w:pPr>
        <w:pStyle w:val="Definition"/>
      </w:pPr>
      <w:r>
        <w:t xml:space="preserve">Mean reciprocal rank of relevant context chunks</w:t>
      </w:r>
      <w:r>
        <w:t xml:space="preserve"> </w:t>
      </w:r>
      <w:r>
        <w:t xml:space="preserve">among the top-</w:t>
      </w:r>
      <m:oMath>
        <m:r>
          <m:t>k</m:t>
        </m:r>
      </m:oMath>
      <w:r>
        <w:t xml:space="preserve"> </w:t>
      </w:r>
      <w:r>
        <w:t xml:space="preserve">retrieved chunks, weighted by position. Measures how</w:t>
      </w:r>
      <w:r>
        <w:t xml:space="preserve"> </w:t>
      </w:r>
      <w:r>
        <w:t xml:space="preserve">highly the retriever ranks the most relevant passages.</w:t>
      </w:r>
    </w:p>
    <w:p>
      <w:pPr>
        <w:pStyle w:val="DefinitionTerm"/>
      </w:pPr>
      <w:r>
        <w:t xml:space="preserve">Context Recall</w:t>
      </w:r>
    </w:p>
    <w:p>
      <w:pPr>
        <w:pStyle w:val="Definition"/>
      </w:pPr>
      <w:r>
        <w:t xml:space="preserve">Fraction of ground-truth answer claims that can be</w:t>
      </w:r>
      <w:r>
        <w:t xml:space="preserve"> </w:t>
      </w:r>
      <w:r>
        <w:t xml:space="preserve">attributed to the retrieved context. Measures retrieval completeness.</w:t>
      </w:r>
    </w:p>
    <w:bookmarkEnd w:id="16"/>
    <w:bookmarkStart w:id="18" w:name="app:anova"/>
    <w:p>
      <w:pPr>
        <w:pStyle w:val="Heading1"/>
      </w:pPr>
      <w:r>
        <w:t xml:space="preserve">Full ANOVA Results</w:t>
      </w:r>
    </w:p>
    <w:bookmarkStart w:id="17" w:name="tab:anova"/>
    <w:p>
      <w:pPr>
        <w:pStyle w:val="TableCaption"/>
      </w:pPr>
      <w:r>
        <w:t xml:space="preserve">Type III ANOVA Results for LLM-as-Judge Score. Main effects only; interaction terms were excluded due to empty cells arising from domain–query-type confounding (medical and finance domains contain only single-hop queries).</w:t>
      </w:r>
      <w:r>
        <w:t xml:space="preserve"> </w:t>
      </w:r>
      <m:oMath>
        <m:sSubSup>
          <m:e>
            <m:r>
              <m:t>η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= partial eta squared.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ype III ANOVA Results for LLM-as-Judge Score. Main effects only; interaction terms were excluded due to empty cells arising from domain–query-type confounding (medical and finance domains contain only single-hop queries). \eta^2_p = partial eta squared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df</w:t>
            </w:r>
            <w:r>
              <w:rPr>
                <w:b/>
                <w:bCs/>
                <w:vertAlign w:val="subscript"/>
              </w:rPr>
              <w:t xml:space="preserve">num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df</w:t>
            </w:r>
            <w:r>
              <w:rPr>
                <w:b/>
                <w:bCs/>
                <w:vertAlign w:val="subscript"/>
              </w:rPr>
              <w:t xml:space="preserve">den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bi"/>
                    </m:rPr>
                    <m:t>η</m:t>
                  </m:r>
                </m:e>
                <m:sub>
                  <m:r>
                    <m:rPr>
                      <m:sty m:val="bi"/>
                    </m:rPr>
                    <m:t>p</m:t>
                  </m:r>
                </m:sub>
                <m:sup>
                  <m:r>
                    <m:rPr>
                      <m:sty m:val="b"/>
                    </m:rPr>
                    <m:t>2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Chunking strategy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.003 (negligible)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.014 (small)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.112 (medium)</w:t>
            </w:r>
          </w:p>
        </w:tc>
      </w:tr>
    </w:tbl>
    <w:bookmarkEnd w:id="17"/>
    <w:bookmarkEnd w:id="18"/>
    <w:bookmarkStart w:id="22" w:name="app:tukey"/>
    <w:p>
      <w:pPr>
        <w:pStyle w:val="Heading1"/>
      </w:pPr>
      <w:r>
        <w:t xml:space="preserve">Tukey HSD Post-Hoc Tables</w:t>
      </w:r>
    </w:p>
    <w:bookmarkStart w:id="19" w:name="tab:tukey_domain"/>
    <w:p>
      <w:pPr>
        <w:pStyle w:val="TableCaption"/>
      </w:pPr>
      <w:r>
        <w:t xml:space="preserve">Tukey HSD post-hoc pairwise comparisons by domain for LLM-as-Judge Score. Mean difference = Group A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Group B (positive values indicate Group A scores higher). 95% CI = confidence interval for mean difference.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computed using pooled SD. ns = not significant.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ukey HSD post-hoc pairwise comparisons by domain for LLM-as-Judge Score. Mean difference = Group A - Group B (positive values indicate Group A scores higher). 95% CI = confidence interval for mean difference. Cohen’s d computed using pooled SD. ns = not significant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Group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Group 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 Diff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i/>
                <w:i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p</w:t>
            </w:r>
            <m:oMath>
              <m:sSub>
                <m:e>
                  <m:r>
                    <m:t>​</m:t>
                  </m:r>
                </m:e>
                <m:sub>
                  <m:r>
                    <m:rPr>
                      <m:nor/>
                      <m:sty m:val="p"/>
                    </m:rPr>
                    <m:t>adj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0.234,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0.281]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0.245,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0.298]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0.037,0.009]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.334</w:t>
            </w:r>
          </w:p>
        </w:tc>
      </w:tr>
    </w:tbl>
    <w:bookmarkEnd w:id="19"/>
    <w:bookmarkStart w:id="20" w:name="tab:tukey_querytype"/>
    <w:p>
      <w:pPr>
        <w:pStyle w:val="TableCaption"/>
      </w:pPr>
      <w:r>
        <w:t xml:space="preserve">Tukey HSD post-hoc pairwise comparisons by query type for LLM-as-Judge Score. Mean difference = Group A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Group B (positive values indicate Group A scores higher). 95% CI = confidence interval for mean difference.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computed using pooled SD. ns = not significant.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ukey HSD post-hoc pairwise comparisons by query type for LLM-as-Judge Score. Mean difference = Group A - Group B (positive values indicate Group A scores higher). 95% CI = confidence interval for mean difference. Cohen’s d computed using pooled SD. ns = not significant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Group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Group 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 Diff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i/>
                <w:i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p</w:t>
            </w:r>
            <m:oMath>
              <m:sSub>
                <m:e>
                  <m:r>
                    <m:t>​</m:t>
                  </m:r>
                </m:e>
                <m:sub>
                  <m:r>
                    <m:rPr>
                      <m:nor/>
                      <m:sty m:val="p"/>
                    </m:rPr>
                    <m:t>adj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Multi-hop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0.021,0.121]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Single-hop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0.103,0.193]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Unanswerable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0.074,0.178]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Single-hop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0.047,0.107]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Unanswerable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0.015,0.094]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Unanswerable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0.011,0.055]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.307</w:t>
            </w:r>
          </w:p>
        </w:tc>
      </w:tr>
    </w:tbl>
    <w:bookmarkEnd w:id="20"/>
    <w:bookmarkStart w:id="21" w:name="tab:tukey_strategy"/>
    <w:p>
      <w:pPr>
        <w:pStyle w:val="TableCaption"/>
      </w:pPr>
      <w:r>
        <w:t xml:space="preserve">Tukey HSD post-hoc pairwise comparisons by chunking strategy for LLM-as-Judge Score. Mean difference = Group A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Group B (positive values indicate Group A scores higher). 95% CI = confidence interval for mean difference.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computed using pooled SD. All significant pairs involve</w:t>
      </w:r>
      <w:r>
        <w:t xml:space="preserve"> </w:t>
      </w:r>
      <w:r>
        <w:rPr>
          <w:rStyle w:val="VerbatimChar"/>
        </w:rPr>
        <w:t xml:space="preserve">fixed_128</w:t>
      </w:r>
      <w:r>
        <w:t xml:space="preserve"> </w:t>
      </w:r>
      <w:r>
        <w:t xml:space="preserve">as the lower-scoring group; effect sizes are negligible throughout (</w:t>
      </w:r>
      <m:oMath>
        <m:r>
          <m:t>d</m:t>
        </m:r>
        <m:r>
          <m:rPr>
            <m:sty m:val="p"/>
          </m:rPr>
          <m:t>&lt;</m:t>
        </m:r>
        <m:r>
          <m:t>0.20</m:t>
        </m:r>
      </m:oMath>
      <w:r>
        <w:t xml:space="preserve">), consistent with the small ANOVA</w:t>
      </w:r>
      <w:r>
        <w:t xml:space="preserve"> </w:t>
      </w:r>
      <m:oMath>
        <m:sSubSup>
          <m:e>
            <m:r>
              <m:t>η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.003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ukey HSD post-hoc pairwise comparisons by chunking strategy for LLM-as-Judge Score. Mean difference = Group A - Group B (positive values indicate Group A scores higher). 95% CI = confidence interval for mean difference. Cohen’s d computed using pooled SD. All significant pairs involve fixed_128 as the lower-scoring group; effect sizes are negligible throughout (d &lt; 0.20), consistent with the small ANOVA \eta^2_p = .003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Group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Group 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 Diff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i/>
                <w:i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p</w:t>
            </w:r>
            <m:oMath>
              <m:sSub>
                <m:e>
                  <m:r>
                    <m:t>​</m:t>
                  </m:r>
                </m:e>
                <m:sub>
                  <m:r>
                    <m:rPr>
                      <m:nor/>
                      <m:sty m:val="p"/>
                    </m:rPr>
                    <m:t>adj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fixed_128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0.000,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0.084]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fixed_512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fixed_128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0.000,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0.084]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fixed_128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0.001,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0.085]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fixed_128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0.013,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0.099]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semantic_512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fixed_128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0.011,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fixed_512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fixed_256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0.042,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0.042]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fixed_256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0.041,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0.043]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fixed_256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0.029,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0.057]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semantic_512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fixed_256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0.030,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0.055]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fixed_512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0.041,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0.043]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fixed_512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0.029,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0.057]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semantic_512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fixed_512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0.030,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0.055]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semantic_128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0.030,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0.057]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semantic_512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semantic_128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0.032,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0.055]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semantic_512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semantic_256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0.046,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0.042]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</w:tbl>
    <w:bookmarkEnd w:id="21"/>
    <w:bookmarkEnd w:id="22"/>
    <w:bookmarkStart w:id="24" w:name="app:contrast"/>
    <w:p>
      <w:pPr>
        <w:pStyle w:val="Heading1"/>
      </w:pPr>
      <w:r>
        <w:t xml:space="preserve">Targeted Contrast: Finance vs. General Domain</w:t>
      </w:r>
    </w:p>
    <w:p>
      <w:pPr>
        <w:pStyle w:val="FirstParagraph"/>
      </w:pPr>
      <w:r>
        <w:t xml:space="preserve">A Welch’s</w:t>
      </w:r>
      <w:r>
        <w:t xml:space="preserve"> </w:t>
      </w:r>
      <w:r>
        <w:rPr>
          <w:i/>
          <w:iCs/>
        </w:rPr>
        <w:t xml:space="preserve">t</w:t>
      </w:r>
      <w:r>
        <w:t xml:space="preserve">-test was conducted on the difference score</w:t>
      </w:r>
      <w:r>
        <w:t xml:space="preserve"> </w:t>
      </w:r>
      <w:r>
        <w:t xml:space="preserve">(LLM Judge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Faithfulness) to isolate retrieval-generation divergence</w:t>
      </w:r>
      <w:r>
        <w:t xml:space="preserve"> </w:t>
      </w:r>
      <w:r>
        <w:t xml:space="preserve">between the Finance and General domains. Results are reported in</w:t>
      </w:r>
      <w:r>
        <w:t xml:space="preserve"> </w:t>
      </w:r>
      <w:r>
        <w:t xml:space="preserve">Table </w:t>
      </w:r>
      <w:hyperlink w:anchor="tab:targeted_contrast">
        <w:r>
          <w:rPr>
            <w:rStyle w:val="Hyperlink"/>
          </w:rPr>
          <w:t xml:space="preserve">8</w:t>
        </w:r>
      </w:hyperlink>
      <w:r>
        <w:t xml:space="preserve">.</w:t>
      </w:r>
    </w:p>
    <w:bookmarkStart w:id="23" w:name="tab:targeted_contrast"/>
    <w:p>
      <w:pPr>
        <w:pStyle w:val="TableCaption"/>
      </w:pPr>
      <w:r>
        <w:t xml:space="preserve">Welch’s</w:t>
      </w:r>
      <w:r>
        <w:t xml:space="preserve"> </w:t>
      </w:r>
      <w:r>
        <w:rPr>
          <w:i/>
          <w:iCs/>
        </w:rPr>
        <w:t xml:space="preserve">t</w:t>
      </w:r>
      <w:r>
        <w:t xml:space="preserve">-test: Finance vs. General on</w:t>
      </w:r>
      <w:r>
        <w:t xml:space="preserve"> </w:t>
      </w:r>
      <w:r>
        <w:t xml:space="preserve">(LLM Judge Score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Faithfulness). Negative mean difference indicates</w:t>
      </w:r>
      <w:r>
        <w:t xml:space="preserve"> </w:t>
      </w:r>
      <w:r>
        <w:t xml:space="preserve">Finance scores are lower on this combined metric.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computed using pooled SD.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elch’s t-test: Finance vs. General on (LLM Judge Score - Faithfulness). Negative mean difference indicates Finance scores are lower on this combined metric. Cohen’s d computed using pooled SD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Finance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Finance</w:t>
            </w:r>
            <w:r>
              <w:t xml:space="preserve"> </w:t>
            </w:r>
            <m:oMath>
              <m:r>
                <m:t>S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General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General</w:t>
            </w:r>
            <w:r>
              <w:t xml:space="preserve"> </w:t>
            </w:r>
            <m:oMath>
              <m:r>
                <m:t>S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i/>
                <w:iCs/>
              </w:rP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i/>
                <w:i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Faithful.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9.90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.001</w:t>
            </w:r>
          </w:p>
        </w:tc>
      </w:tr>
    </w:tbl>
    <w:bookmarkEnd w:id="23"/>
    <w:p>
      <w:pPr>
        <w:pStyle w:val="BodyText"/>
      </w:pP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Finance</m:t>
            </m:r>
          </m:sub>
        </m:sSub>
        <m:r>
          <m:rPr>
            <m:sty m:val="p"/>
          </m:rPr>
          <m:t>=</m:t>
        </m:r>
        <m:r>
          <m:t>1600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General</m:t>
            </m:r>
          </m:sub>
        </m:sSub>
        <m:r>
          <m:rPr>
            <m:sty m:val="p"/>
          </m:rPr>
          <m:t>=</m:t>
        </m:r>
        <m:r>
          <m:t>2992</m:t>
        </m:r>
      </m:oMath>
      <w:r>
        <w:t xml:space="preserve">,</w:t>
      </w:r>
      <w:r>
        <w:t xml:space="preserve"> </w:t>
      </w:r>
      <w:r>
        <w:t xml:space="preserve">Welch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2445.9</m:t>
        </m:r>
      </m:oMath>
      <w:r>
        <w:t xml:space="preserve">, Cohen’s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0.322</m:t>
        </m:r>
      </m:oMath>
      <w:r>
        <w:t xml:space="preserve"> </w:t>
      </w:r>
      <w:r>
        <w:t xml:space="preserve">(small).</w:t>
      </w:r>
    </w:p>
    <w:p>
      <w:pPr>
        <w:pStyle w:val="BodyText"/>
      </w:pPr>
      <w:r>
        <w:t xml:space="preserve">This result indicates that in the Finance domain the LLM judge consistently</w:t>
      </w:r>
      <w:r>
        <w:t xml:space="preserve"> </w:t>
      </w:r>
      <w:r>
        <w:t xml:space="preserve">awarded lower scores relative to faithfulness compared with the General domain,</w:t>
      </w:r>
      <w:r>
        <w:t xml:space="preserve"> </w:t>
      </w:r>
      <w:r>
        <w:t xml:space="preserve">suggesting that Finance queries impose a correctness penalty beyond what</w:t>
      </w:r>
      <w:r>
        <w:t xml:space="preserve"> </w:t>
      </w:r>
      <w:r>
        <w:t xml:space="preserve">retrieval quality alone explains—likely reflecting the numerical and</w:t>
      </w:r>
      <w:r>
        <w:t xml:space="preserve"> </w:t>
      </w:r>
      <w:r>
        <w:t xml:space="preserve">domain-specific vocabulary demands of financial QA.</w:t>
      </w:r>
    </w:p>
    <w:bookmarkEnd w:id="24"/>
    <w:bookmarkStart w:id="25" w:name="app:pipeline"/>
    <w:p>
      <w:pPr>
        <w:pStyle w:val="Heading1"/>
      </w:pPr>
      <w:r>
        <w:t xml:space="preserve">RAG Pipeline Overview</w:t>
      </w:r>
    </w:p>
    <w:p>
      <w:pPr>
        <w:pStyle w:val="FirstParagraph"/>
      </w:pPr>
      <w:r>
        <w:t xml:space="preserve">The end-to-end RAG evaluation pipeline proceeded as follows: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Document ingestion.</w:t>
      </w:r>
      <w:r>
        <w:t xml:space="preserve"> </w:t>
      </w:r>
      <w:r>
        <w:t xml:space="preserve">Each query’s gold context passage was</w:t>
      </w:r>
      <w:r>
        <w:t xml:space="preserve"> </w:t>
      </w:r>
      <w:r>
        <w:t xml:space="preserve">chunked according to one of the six strategies</w:t>
      </w:r>
      <w:r>
        <w:t xml:space="preserve"> </w:t>
      </w:r>
      <w:r>
        <w:t xml:space="preserve">(Appendix </w:t>
      </w:r>
      <w:hyperlink w:anchor="app:chunking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Embedding and indexing.</w:t>
      </w:r>
      <w:r>
        <w:t xml:space="preserve"> </w:t>
      </w:r>
      <w:r>
        <w:t xml:space="preserve">Chunks were embedded with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(OpenAI,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1536</m:t>
        </m:r>
      </m:oMath>
      <w:r>
        <w:t xml:space="preserve">) and stored in a</w:t>
      </w:r>
      <w:r>
        <w:t xml:space="preserve"> </w:t>
      </w:r>
      <w:r>
        <w:t xml:space="preserve">Qdrant vector collection, one collection per strategy.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Retrieval.</w:t>
      </w:r>
      <w:r>
        <w:t xml:space="preserve"> </w:t>
      </w:r>
      <w:r>
        <w:t xml:space="preserve">At inference time, the query was embedded with</w:t>
      </w:r>
      <w:r>
        <w:t xml:space="preserve"> </w:t>
      </w:r>
      <w:r>
        <w:t xml:space="preserve">the same model and the top-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nearest chunks were retrieved via</w:t>
      </w:r>
      <w:r>
        <w:t xml:space="preserve"> </w:t>
      </w:r>
      <w:r>
        <w:t xml:space="preserve">cosine similarity.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Generation.</w:t>
      </w:r>
      <w:r>
        <w:t xml:space="preserve"> </w:t>
      </w:r>
      <w:r>
        <w:t xml:space="preserve">Five LLMs (GPT-4o-mini, Claude 3.5 Sonnet,</w:t>
      </w:r>
      <w:r>
        <w:t xml:space="preserve"> </w:t>
      </w:r>
      <w:r>
        <w:t xml:space="preserve">Gemini 2.5 Pro, Llama 3.1 70B, Mistral Large) generated answers from a</w:t>
      </w:r>
      <w:r>
        <w:t xml:space="preserve"> </w:t>
      </w:r>
      <w:r>
        <w:t xml:space="preserve">fixed prompt template:</w:t>
      </w:r>
      <w:r>
        <w:t xml:space="preserve"> </w:t>
      </w:r>
      <w:r>
        <w:rPr>
          <w:i/>
          <w:iCs/>
        </w:rPr>
        <w:t xml:space="preserve">“Based on the context below, answer this</w:t>
      </w:r>
      <w:r>
        <w:rPr>
          <w:i/>
          <w:iCs/>
        </w:rPr>
        <w:t xml:space="preserve"> </w:t>
      </w:r>
      <w:r>
        <w:rPr>
          <w:i/>
          <w:iCs/>
        </w:rPr>
        <w:t xml:space="preserve">question: {query}</w:t>
      </w:r>
      <m:oMath>
        <m:r>
          <m:rPr>
            <m:sty m:val="p"/>
          </m:rPr>
          <m:t>∖</m:t>
        </m:r>
      </m:oMath>
      <w:r>
        <w:rPr>
          <w:i/>
          <w:iCs/>
        </w:rPr>
        <w:t xml:space="preserve">n</w:t>
      </w:r>
      <m:oMath>
        <m:r>
          <m:rPr>
            <m:sty m:val="p"/>
          </m:rPr>
          <m:t>∖</m:t>
        </m:r>
      </m:oMath>
      <w:r>
        <w:rPr>
          <w:i/>
          <w:iCs/>
        </w:rPr>
        <w:t xml:space="preserve">nContext:</w:t>
      </w:r>
      <m:oMath>
        <m:r>
          <m:rPr>
            <m:sty m:val="p"/>
          </m:rPr>
          <m:t>∖</m:t>
        </m:r>
      </m:oMath>
      <w:r>
        <w:rPr>
          <w:i/>
          <w:iCs/>
        </w:rPr>
        <w:t xml:space="preserve">n{context}”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Evaluation.</w:t>
      </w:r>
      <w:r>
        <w:t xml:space="preserve"> </w:t>
      </w:r>
      <w:r>
        <w:t xml:space="preserve">Each (question, context, answer) triple was</w:t>
      </w:r>
      <w:r>
        <w:t xml:space="preserve"> </w:t>
      </w:r>
      <w:r>
        <w:t xml:space="preserve">scored by the LLM-as-judge (Appendix </w:t>
      </w:r>
      <w:hyperlink w:anchor="app:judge_prompt">
        <w:r>
          <w:rPr>
            <w:rStyle w:val="Hyperlink"/>
          </w:rPr>
          <w:t xml:space="preserve">3</w:t>
        </w:r>
      </w:hyperlink>
      <w:r>
        <w:t xml:space="preserve">) and by the</w:t>
      </w:r>
      <w:r>
        <w:t xml:space="preserve"> </w:t>
      </w:r>
      <w:r>
        <w:t xml:space="preserve">four RAGAS metrics (Appendix </w:t>
      </w:r>
      <w:hyperlink w:anchor="app:ragas">
        <w:r>
          <w:rPr>
            <w:rStyle w:val="Hyperlink"/>
          </w:rPr>
          <w:t xml:space="preserve">5</w:t>
        </w:r>
      </w:hyperlink>
      <w:r>
        <w:t xml:space="preserve">), both using</w:t>
      </w:r>
      <w:r>
        <w:t xml:space="preserve"> </w:t>
      </w:r>
      <w:r>
        <w:rPr>
          <w:rStyle w:val="VerbatimChar"/>
        </w:rPr>
        <w:t xml:space="preserve">openai/gpt-4o-mini</w:t>
      </w:r>
      <w:r>
        <w:t xml:space="preserve"> </w:t>
      </w:r>
      <w:r>
        <w:t xml:space="preserve">via OpenRouter at temperature 0.</w:t>
      </w:r>
    </w:p>
    <w:p>
      <w:pPr>
        <w:pStyle w:val="FirstParagraph"/>
      </w:pPr>
      <w:r>
        <w:t xml:space="preserve">All inference and evaluation calls were routed through the OpenRouter API.</w:t>
      </w:r>
      <w:r>
        <w:t xml:space="preserve"> </w:t>
      </w:r>
      <w:r>
        <w:t xml:space="preserve">LLM responses were generated with default temperature settings per model.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Es Sadig, S., et al. (2023).</w:t>
      </w:r>
      <w:r>
        <w:t xml:space="preserve"> </w:t>
      </w:r>
      <w:r>
        <w:rPr>
          <w:i/>
          <w:iCs/>
        </w:rPr>
        <w:t xml:space="preserve">RAGAS: Automated Evaluation of Retrieval Augmented Generation</w:t>
      </w:r>
      <w:r>
        <w:t xml:space="preserve">.</w:t>
      </w:r>
      <w:r>
        <w:t xml:space="preserve"> </w:t>
      </w:r>
      <w:r>
        <w:t xml:space="preserve">arXiv:2309.15217.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</dc:title>
  <dc:creator/>
  <cp:keywords/>
  <dcterms:created xsi:type="dcterms:W3CDTF">2026-04-29T01:17:22Z</dcterms:created>
  <dcterms:modified xsi:type="dcterms:W3CDTF">2026-04-29T01:17:22Z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