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7D553D" w:rsidR="00177915" w:rsidP="007D553D" w:rsidRDefault="00BA25B9" w14:paraId="51E3719D" w14:textId="77777777">
      <w:pPr>
        <w:pStyle w:val="Heading1"/>
      </w:pPr>
      <w:r w:rsidRPr="007D553D">
        <w:t>CS 405 Project Two Script Template</w:t>
      </w:r>
    </w:p>
    <w:p w:rsidR="007D553D" w:rsidP="007D553D" w:rsidRDefault="007D553D" w14:paraId="1D8A85EE" w14:textId="77777777">
      <w:pPr>
        <w:suppressAutoHyphens/>
        <w:spacing w:after="0" w:line="240" w:lineRule="auto"/>
        <w:jc w:val="center"/>
        <w:rPr>
          <w:b/>
        </w:rPr>
      </w:pPr>
    </w:p>
    <w:p w:rsidR="3074D529" w:rsidP="2CAD36FC" w:rsidRDefault="3074D529" w14:paraId="64D0AD91" w14:textId="0A4DFB2B">
      <w:pPr>
        <w:pStyle w:val="Normal"/>
        <w:suppressLineNumbers w:val="0"/>
        <w:bidi w:val="0"/>
        <w:spacing w:before="0" w:beforeAutospacing="off" w:after="0" w:afterAutospacing="off" w:line="240" w:lineRule="auto"/>
        <w:ind w:left="0" w:right="0"/>
        <w:jc w:val="left"/>
      </w:pPr>
      <w:r w:rsidRPr="2CAD36FC" w:rsidR="3074D529">
        <w:rPr>
          <w:color w:val="000000" w:themeColor="text1" w:themeTint="FF" w:themeShade="FF"/>
        </w:rPr>
        <w:t>Jaden Williams</w:t>
      </w:r>
    </w:p>
    <w:p w:rsidR="3074D529" w:rsidP="2CAD36FC" w:rsidRDefault="3074D529" w14:paraId="520D6353" w14:textId="33E3F42E">
      <w:pPr>
        <w:pStyle w:val="Normal"/>
        <w:suppressLineNumbers w:val="0"/>
        <w:bidi w:val="0"/>
        <w:spacing w:before="0" w:beforeAutospacing="off" w:after="0" w:afterAutospacing="off" w:line="240" w:lineRule="auto"/>
        <w:ind w:left="0" w:right="0"/>
        <w:jc w:val="left"/>
        <w:rPr>
          <w:color w:val="000000" w:themeColor="text1" w:themeTint="FF" w:themeShade="FF"/>
        </w:rPr>
      </w:pPr>
      <w:r w:rsidRPr="2CAD36FC" w:rsidR="3074D529">
        <w:rPr>
          <w:color w:val="000000" w:themeColor="text1" w:themeTint="FF" w:themeShade="FF"/>
        </w:rPr>
        <w:t>SNHU – CS405</w:t>
      </w:r>
    </w:p>
    <w:p w:rsidR="3074D529" w:rsidP="2CAD36FC" w:rsidRDefault="3074D529" w14:paraId="0023CE77" w14:textId="59249E34">
      <w:pPr>
        <w:pStyle w:val="Normal"/>
        <w:suppressLineNumbers w:val="0"/>
        <w:bidi w:val="0"/>
        <w:spacing w:before="0" w:beforeAutospacing="off" w:after="0" w:afterAutospacing="off" w:line="240" w:lineRule="auto"/>
        <w:ind w:left="0" w:right="0"/>
        <w:jc w:val="left"/>
        <w:rPr>
          <w:color w:val="000000" w:themeColor="text1" w:themeTint="FF" w:themeShade="FF"/>
        </w:rPr>
      </w:pPr>
      <w:r w:rsidRPr="2CAD36FC" w:rsidR="3074D529">
        <w:rPr>
          <w:color w:val="000000" w:themeColor="text1" w:themeTint="FF" w:themeShade="FF"/>
        </w:rPr>
        <w:t>6/22/2025</w:t>
      </w:r>
    </w:p>
    <w:p w:rsidRPr="007D553D" w:rsidR="007D553D" w:rsidP="007D553D" w:rsidRDefault="007D553D" w14:paraId="5B0DF8A6" w14:textId="77777777">
      <w:pPr>
        <w:suppressAutoHyphens/>
        <w:spacing w:after="0" w:line="240" w:lineRule="auto"/>
        <w:jc w:val="center"/>
        <w:rPr>
          <w:b/>
        </w:rPr>
      </w:pPr>
    </w:p>
    <w:tbl>
      <w:tblPr>
        <w:tblW w:w="957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2115"/>
        <w:gridCol w:w="7455"/>
      </w:tblGrid>
      <w:tr w:rsidRPr="007D553D" w:rsidR="00177915" w:rsidTr="093E27C2" w14:paraId="35AE1259" w14:textId="77777777">
        <w:trPr>
          <w:trHeight w:val="1373"/>
          <w:tblHeader/>
        </w:trPr>
        <w:tc>
          <w:tcPr>
            <w:tcW w:w="2115" w:type="dxa"/>
            <w:tcMar/>
            <w:vAlign w:val="center"/>
          </w:tcPr>
          <w:p w:rsidRPr="007D553D" w:rsidR="00177915" w:rsidP="007D553D" w:rsidRDefault="00BA25B9" w14:paraId="4208F210" w14:textId="77777777">
            <w:pPr>
              <w:suppressAutoHyphens/>
              <w:jc w:val="center"/>
              <w:rPr>
                <w:b/>
              </w:rPr>
            </w:pPr>
            <w:r w:rsidRPr="007D553D">
              <w:rPr>
                <w:b/>
              </w:rPr>
              <w:t>Slide Number</w:t>
            </w:r>
          </w:p>
        </w:tc>
        <w:tc>
          <w:tcPr>
            <w:tcW w:w="7455" w:type="dxa"/>
            <w:tcMar/>
            <w:vAlign w:val="center"/>
          </w:tcPr>
          <w:p w:rsidRPr="007D553D" w:rsidR="00177915" w:rsidP="007D553D" w:rsidRDefault="00BA25B9" w14:paraId="6C3B3005" w14:textId="77777777">
            <w:pPr>
              <w:suppressAutoHyphens/>
              <w:jc w:val="center"/>
              <w:rPr>
                <w:b/>
              </w:rPr>
            </w:pPr>
            <w:r w:rsidRPr="007D553D">
              <w:rPr>
                <w:b/>
              </w:rPr>
              <w:t>Narrative</w:t>
            </w:r>
          </w:p>
        </w:tc>
      </w:tr>
      <w:tr w:rsidRPr="007D553D" w:rsidR="00177915" w:rsidTr="093E27C2" w14:paraId="1C716D72" w14:textId="77777777">
        <w:trPr>
          <w:trHeight w:val="1296"/>
        </w:trPr>
        <w:tc>
          <w:tcPr>
            <w:tcW w:w="2115" w:type="dxa"/>
            <w:tcMar/>
            <w:vAlign w:val="center"/>
          </w:tcPr>
          <w:p w:rsidRPr="007D553D" w:rsidR="00177915" w:rsidP="007D553D" w:rsidRDefault="00BA25B9" w14:paraId="7202B4C6" w14:textId="77777777">
            <w:pPr>
              <w:suppressAutoHyphens/>
              <w:jc w:val="center"/>
              <w:rPr>
                <w:b/>
              </w:rPr>
            </w:pPr>
            <w:r w:rsidRPr="007D553D">
              <w:rPr>
                <w:b/>
              </w:rPr>
              <w:t>1</w:t>
            </w:r>
          </w:p>
        </w:tc>
        <w:tc>
          <w:tcPr>
            <w:tcW w:w="7455" w:type="dxa"/>
            <w:tcMar/>
          </w:tcPr>
          <w:p w:rsidRPr="007D553D" w:rsidR="00177915" w:rsidP="007D553D" w:rsidRDefault="007D553D" w14:paraId="6CDE04F7" w14:textId="601E6CCF">
            <w:pPr>
              <w:suppressAutoHyphens/>
            </w:pPr>
            <w:r w:rsidR="4457EB58">
              <w:rPr/>
              <w:t xml:space="preserve">My name is Jaden </w:t>
            </w:r>
            <w:r w:rsidR="4457EB58">
              <w:rPr/>
              <w:t>Williams</w:t>
            </w:r>
            <w:r w:rsidR="4457EB58">
              <w:rPr/>
              <w:t xml:space="preserve"> and I am the developer behind the Green Pace security policy. </w:t>
            </w:r>
            <w:r w:rsidR="40F6CC6D">
              <w:rPr/>
              <w:t xml:space="preserve">The policy is in place to help secure our data and the software we create. </w:t>
            </w:r>
          </w:p>
        </w:tc>
      </w:tr>
      <w:tr w:rsidRPr="007D553D" w:rsidR="00177915" w:rsidTr="093E27C2" w14:paraId="389ED8C6" w14:textId="77777777">
        <w:trPr>
          <w:trHeight w:val="1373"/>
        </w:trPr>
        <w:tc>
          <w:tcPr>
            <w:tcW w:w="2115" w:type="dxa"/>
            <w:tcMar/>
            <w:vAlign w:val="center"/>
          </w:tcPr>
          <w:p w:rsidRPr="007D553D" w:rsidR="00177915" w:rsidP="007D553D" w:rsidRDefault="00BA25B9" w14:paraId="46806FAD" w14:textId="77777777">
            <w:pPr>
              <w:suppressAutoHyphens/>
              <w:jc w:val="center"/>
              <w:rPr>
                <w:b/>
              </w:rPr>
            </w:pPr>
            <w:r w:rsidRPr="007D553D">
              <w:rPr>
                <w:b/>
              </w:rPr>
              <w:t>2</w:t>
            </w:r>
          </w:p>
        </w:tc>
        <w:tc>
          <w:tcPr>
            <w:tcW w:w="7455" w:type="dxa"/>
            <w:tcMar/>
          </w:tcPr>
          <w:p w:rsidRPr="007D553D" w:rsidR="00177915" w:rsidP="007D553D" w:rsidRDefault="007D553D" w14:paraId="484921B4" w14:textId="48B4BD02">
            <w:pPr>
              <w:suppressAutoHyphens/>
            </w:pPr>
            <w:r w:rsidRPr="093E27C2" w:rsidR="701567DA">
              <w:rPr>
                <w:rFonts w:ascii="Calibri" w:hAnsi="Calibri" w:eastAsia="Calibri" w:cs="Calibri"/>
                <w:noProof w:val="0"/>
                <w:sz w:val="22"/>
                <w:szCs w:val="22"/>
                <w:lang w:val="en-US"/>
              </w:rPr>
              <w:t>The security policy ensures that our software design processes and build tools implement a Defense in Depth strategy, providing multiple layers of security to protect our assets.</w:t>
            </w:r>
          </w:p>
        </w:tc>
      </w:tr>
      <w:tr w:rsidRPr="007D553D" w:rsidR="00177915" w:rsidTr="093E27C2" w14:paraId="60921BDE" w14:textId="77777777">
        <w:trPr>
          <w:trHeight w:val="1296"/>
        </w:trPr>
        <w:tc>
          <w:tcPr>
            <w:tcW w:w="2115" w:type="dxa"/>
            <w:tcMar/>
            <w:vAlign w:val="center"/>
          </w:tcPr>
          <w:p w:rsidRPr="007D553D" w:rsidR="00177915" w:rsidP="007D553D" w:rsidRDefault="00BA25B9" w14:paraId="40EEEA5D" w14:textId="77777777">
            <w:pPr>
              <w:suppressAutoHyphens/>
              <w:jc w:val="center"/>
              <w:rPr>
                <w:b/>
              </w:rPr>
            </w:pPr>
            <w:r w:rsidRPr="007D553D">
              <w:rPr>
                <w:b/>
              </w:rPr>
              <w:t>3</w:t>
            </w:r>
          </w:p>
        </w:tc>
        <w:tc>
          <w:tcPr>
            <w:tcW w:w="7455" w:type="dxa"/>
            <w:tcMar/>
          </w:tcPr>
          <w:p w:rsidRPr="007D553D" w:rsidR="00177915" w:rsidP="007D553D" w:rsidRDefault="007D553D" w14:paraId="28A1C1BC" w14:textId="7286BB1F">
            <w:pPr>
              <w:suppressAutoHyphens/>
            </w:pPr>
            <w:r w:rsidRPr="093E27C2" w:rsidR="1C9127E1">
              <w:rPr>
                <w:rFonts w:ascii="Calibri" w:hAnsi="Calibri" w:eastAsia="Calibri" w:cs="Calibri"/>
                <w:noProof w:val="0"/>
                <w:sz w:val="22"/>
                <w:szCs w:val="22"/>
                <w:lang w:val="en-US"/>
              </w:rPr>
              <w:t>The threat matrix table was created by analyzing the selected code stack for common coding errors that have historically led to known security vulnerabilities. It outlines potential issues within the stack and assesses the likelihood of a security breach. These vulnerabilities were identified using examples from the Software Engineering Institute wiki at Carnegie Mellon University. Additionally, potential security flaws can be detected during the development and build stages of the CI/CD pipeline through automated security scanning tools.</w:t>
            </w:r>
          </w:p>
        </w:tc>
      </w:tr>
      <w:tr w:rsidRPr="007D553D" w:rsidR="00177915" w:rsidTr="093E27C2" w14:paraId="3E69DF9E" w14:textId="77777777">
        <w:trPr>
          <w:trHeight w:val="1373"/>
        </w:trPr>
        <w:tc>
          <w:tcPr>
            <w:tcW w:w="2115" w:type="dxa"/>
            <w:tcMar/>
            <w:vAlign w:val="center"/>
          </w:tcPr>
          <w:p w:rsidRPr="007D553D" w:rsidR="00177915" w:rsidP="007D553D" w:rsidRDefault="00BA25B9" w14:paraId="6043F3EE" w14:textId="77777777">
            <w:pPr>
              <w:suppressAutoHyphens/>
              <w:jc w:val="center"/>
              <w:rPr>
                <w:b/>
              </w:rPr>
            </w:pPr>
            <w:r w:rsidRPr="007D553D">
              <w:rPr>
                <w:b/>
              </w:rPr>
              <w:t>4</w:t>
            </w:r>
          </w:p>
        </w:tc>
        <w:tc>
          <w:tcPr>
            <w:tcW w:w="7455" w:type="dxa"/>
            <w:tcMar/>
          </w:tcPr>
          <w:p w:rsidRPr="007D553D" w:rsidR="00177915" w:rsidP="007D553D" w:rsidRDefault="007D553D" w14:paraId="29F1DAF6" w14:textId="65FCE330">
            <w:pPr>
              <w:suppressAutoHyphens/>
            </w:pPr>
            <w:r w:rsidR="398608ED">
              <w:rPr/>
              <w:t>T</w:t>
            </w:r>
            <w:r w:rsidRPr="093E27C2" w:rsidR="398608ED">
              <w:rPr>
                <w:rFonts w:ascii="Calibri" w:hAnsi="Calibri" w:eastAsia="Calibri" w:cs="Calibri"/>
                <w:noProof w:val="0"/>
                <w:sz w:val="22"/>
                <w:szCs w:val="22"/>
                <w:lang w:val="en-US"/>
              </w:rPr>
              <w:t>en</w:t>
            </w:r>
            <w:r w:rsidRPr="093E27C2" w:rsidR="398608ED">
              <w:rPr>
                <w:rFonts w:ascii="Calibri" w:hAnsi="Calibri" w:eastAsia="Calibri" w:cs="Calibri"/>
                <w:noProof w:val="0"/>
                <w:sz w:val="22"/>
                <w:szCs w:val="22"/>
                <w:lang w:val="en-US"/>
              </w:rPr>
              <w:t xml:space="preserve"> key principles of software engineering </w:t>
            </w:r>
            <w:r w:rsidRPr="093E27C2" w:rsidR="398608ED">
              <w:rPr>
                <w:rFonts w:ascii="Calibri" w:hAnsi="Calibri" w:eastAsia="Calibri" w:cs="Calibri"/>
                <w:noProof w:val="0"/>
                <w:sz w:val="22"/>
                <w:szCs w:val="22"/>
                <w:lang w:val="en-US"/>
              </w:rPr>
              <w:t>have</w:t>
            </w:r>
            <w:r w:rsidRPr="093E27C2" w:rsidR="398608ED">
              <w:rPr>
                <w:rFonts w:ascii="Calibri" w:hAnsi="Calibri" w:eastAsia="Calibri" w:cs="Calibri"/>
                <w:noProof w:val="0"/>
                <w:sz w:val="22"/>
                <w:szCs w:val="22"/>
                <w:lang w:val="en-US"/>
              </w:rPr>
              <w:t xml:space="preserve"> been chosen to integrate security into every phase of the SDLC, fostering a </w:t>
            </w:r>
            <w:r w:rsidRPr="093E27C2" w:rsidR="398608ED">
              <w:rPr>
                <w:rFonts w:ascii="Calibri" w:hAnsi="Calibri" w:eastAsia="Calibri" w:cs="Calibri"/>
                <w:noProof w:val="0"/>
                <w:sz w:val="22"/>
                <w:szCs w:val="22"/>
                <w:lang w:val="en-US"/>
              </w:rPr>
              <w:t>DevSecOps</w:t>
            </w:r>
            <w:r w:rsidRPr="093E27C2" w:rsidR="398608ED">
              <w:rPr>
                <w:rFonts w:ascii="Calibri" w:hAnsi="Calibri" w:eastAsia="Calibri" w:cs="Calibri"/>
                <w:noProof w:val="0"/>
                <w:sz w:val="22"/>
                <w:szCs w:val="22"/>
                <w:lang w:val="en-US"/>
              </w:rPr>
              <w:t xml:space="preserve"> culture at Green Pace. Notably, the principle of Defense in Depth has been included in this framework. By blending modern standards with foundational, time-tested security practices, we can design and architect systems with security in mind, ensuring a secure environment.</w:t>
            </w:r>
          </w:p>
        </w:tc>
      </w:tr>
      <w:tr w:rsidRPr="007D553D" w:rsidR="00177915" w:rsidTr="093E27C2" w14:paraId="58F717C1" w14:textId="77777777">
        <w:trPr>
          <w:trHeight w:val="1296"/>
        </w:trPr>
        <w:tc>
          <w:tcPr>
            <w:tcW w:w="2115" w:type="dxa"/>
            <w:tcMar/>
            <w:vAlign w:val="center"/>
          </w:tcPr>
          <w:p w:rsidRPr="007D553D" w:rsidR="00177915" w:rsidP="007D553D" w:rsidRDefault="00BA25B9" w14:paraId="7EB4787A" w14:textId="77777777">
            <w:pPr>
              <w:suppressAutoHyphens/>
              <w:jc w:val="center"/>
              <w:rPr>
                <w:b/>
              </w:rPr>
            </w:pPr>
            <w:r w:rsidRPr="007D553D">
              <w:rPr>
                <w:b/>
              </w:rPr>
              <w:t>5</w:t>
            </w:r>
          </w:p>
        </w:tc>
        <w:tc>
          <w:tcPr>
            <w:tcW w:w="7455" w:type="dxa"/>
            <w:tcMar/>
          </w:tcPr>
          <w:p w:rsidRPr="007D553D" w:rsidR="00177915" w:rsidP="007D553D" w:rsidRDefault="007D553D" w14:paraId="6C7ED67B" w14:textId="39A737EA">
            <w:pPr>
              <w:suppressAutoHyphens/>
            </w:pPr>
            <w:r w:rsidRPr="093E27C2" w:rsidR="1DA1D569">
              <w:rPr>
                <w:rFonts w:ascii="Calibri" w:hAnsi="Calibri" w:eastAsia="Calibri" w:cs="Calibri"/>
                <w:noProof w:val="0"/>
                <w:sz w:val="22"/>
                <w:szCs w:val="22"/>
                <w:lang w:val="en-US"/>
              </w:rPr>
              <w:t>For the Green Pace tech stack, we’ve analyzed the following coding standards to establish a secure development environment. The table outlines each rule, the likelihood of associated security vulnerabilities, and the severity of their potential business impact. The priority column ranks the rules by importance, with higher values indicating greater priority for addressing specific vulnerabilities.</w:t>
            </w:r>
          </w:p>
        </w:tc>
      </w:tr>
      <w:tr w:rsidRPr="007D553D" w:rsidR="00177915" w:rsidTr="093E27C2" w14:paraId="1D6184BF" w14:textId="77777777">
        <w:trPr>
          <w:trHeight w:val="1373"/>
        </w:trPr>
        <w:tc>
          <w:tcPr>
            <w:tcW w:w="2115" w:type="dxa"/>
            <w:tcMar/>
            <w:vAlign w:val="center"/>
          </w:tcPr>
          <w:p w:rsidRPr="007D553D" w:rsidR="00177915" w:rsidP="007D553D" w:rsidRDefault="00BA25B9" w14:paraId="1A5736AF" w14:textId="77777777">
            <w:pPr>
              <w:suppressAutoHyphens/>
              <w:jc w:val="center"/>
              <w:rPr>
                <w:b/>
              </w:rPr>
            </w:pPr>
            <w:r w:rsidRPr="007D553D">
              <w:rPr>
                <w:b/>
              </w:rPr>
              <w:t>6</w:t>
            </w:r>
          </w:p>
        </w:tc>
        <w:tc>
          <w:tcPr>
            <w:tcW w:w="7455" w:type="dxa"/>
            <w:tcMar/>
          </w:tcPr>
          <w:p w:rsidRPr="007D553D" w:rsidR="00177915" w:rsidP="007D553D" w:rsidRDefault="007D553D" w14:paraId="1ED99CCF" w14:textId="43A9821A">
            <w:pPr>
              <w:suppressAutoHyphens/>
            </w:pPr>
            <w:r w:rsidRPr="093E27C2" w:rsidR="58D4E568">
              <w:rPr>
                <w:rFonts w:ascii="Calibri" w:hAnsi="Calibri" w:eastAsia="Calibri" w:cs="Calibri"/>
                <w:noProof w:val="0"/>
                <w:sz w:val="22"/>
                <w:szCs w:val="22"/>
                <w:lang w:val="en-US"/>
              </w:rPr>
              <w:t>Green Pace’s encryption policies apply to all stages of data handling. Data at rest, such as when stored or idle, must be encrypted. Data in transit, like during transmission or travel, should be protected using HTTPS and SSL/TLS protocols. Additionally, sensitive data—such as credit card numbers and passwords—must remain encrypted while in use, ensuring that it is never left unsecured.</w:t>
            </w:r>
          </w:p>
        </w:tc>
      </w:tr>
      <w:tr w:rsidRPr="007D553D" w:rsidR="00177915" w:rsidTr="093E27C2" w14:paraId="19E871C4" w14:textId="77777777">
        <w:trPr>
          <w:trHeight w:val="1296"/>
        </w:trPr>
        <w:tc>
          <w:tcPr>
            <w:tcW w:w="2115" w:type="dxa"/>
            <w:tcMar/>
            <w:vAlign w:val="center"/>
          </w:tcPr>
          <w:p w:rsidRPr="007D553D" w:rsidR="00177915" w:rsidP="007D553D" w:rsidRDefault="00BA25B9" w14:paraId="412E5B2B" w14:textId="77777777">
            <w:pPr>
              <w:suppressAutoHyphens/>
              <w:jc w:val="center"/>
              <w:rPr>
                <w:b/>
              </w:rPr>
            </w:pPr>
            <w:r w:rsidRPr="007D553D">
              <w:rPr>
                <w:b/>
              </w:rPr>
              <w:t>7</w:t>
            </w:r>
          </w:p>
        </w:tc>
        <w:tc>
          <w:tcPr>
            <w:tcW w:w="7455" w:type="dxa"/>
            <w:tcMar/>
          </w:tcPr>
          <w:p w:rsidRPr="007D553D" w:rsidR="00177915" w:rsidP="007D553D" w:rsidRDefault="007D553D" w14:paraId="2A6C5AE9" w14:textId="30F866E9">
            <w:pPr>
              <w:suppressAutoHyphens/>
            </w:pPr>
            <w:r w:rsidRPr="093E27C2" w:rsidR="0AB08C9D">
              <w:rPr>
                <w:rFonts w:ascii="Calibri" w:hAnsi="Calibri" w:eastAsia="Calibri" w:cs="Calibri"/>
                <w:noProof w:val="0"/>
                <w:sz w:val="22"/>
                <w:szCs w:val="22"/>
                <w:lang w:val="en-US"/>
              </w:rPr>
              <w:t>Triple-A policies are designed to track system access and define user permissions. Authentication verifies a user's identity, ensuring they are who they claim to be. Authorization determines the actions a user is permitted to perform through a role-based access system. Accounting monitors system activity, including which resources were accessed, by whom, what commands were executed, and what data was transmitted.</w:t>
            </w:r>
          </w:p>
        </w:tc>
      </w:tr>
      <w:tr w:rsidRPr="007D553D" w:rsidR="00177915" w:rsidTr="093E27C2" w14:paraId="1CB4AF40" w14:textId="77777777">
        <w:trPr>
          <w:trHeight w:val="1296"/>
        </w:trPr>
        <w:tc>
          <w:tcPr>
            <w:tcW w:w="2115" w:type="dxa"/>
            <w:tcMar/>
            <w:vAlign w:val="center"/>
          </w:tcPr>
          <w:p w:rsidRPr="007D553D" w:rsidR="00177915" w:rsidP="007D553D" w:rsidRDefault="00BA25B9" w14:paraId="05612CDF" w14:textId="77777777">
            <w:pPr>
              <w:suppressAutoHyphens/>
              <w:jc w:val="center"/>
              <w:rPr>
                <w:b/>
              </w:rPr>
            </w:pPr>
            <w:r w:rsidRPr="007D553D">
              <w:rPr>
                <w:b/>
              </w:rPr>
              <w:lastRenderedPageBreak/>
              <w:t>8</w:t>
            </w:r>
          </w:p>
        </w:tc>
        <w:tc>
          <w:tcPr>
            <w:tcW w:w="7455" w:type="dxa"/>
            <w:tcMar/>
          </w:tcPr>
          <w:p w:rsidRPr="007D553D" w:rsidR="00177915" w:rsidP="093E27C2" w:rsidRDefault="007D553D" w14:paraId="7C03111E" w14:textId="520EEDF0">
            <w:pPr>
              <w:pStyle w:val="Normal"/>
              <w:suppressLineNumbers w:val="0"/>
              <w:bidi w:val="0"/>
              <w:spacing w:before="0" w:beforeAutospacing="off" w:after="0" w:afterAutospacing="off" w:line="240" w:lineRule="auto"/>
              <w:ind w:left="0" w:right="0"/>
              <w:jc w:val="left"/>
            </w:pPr>
            <w:r w:rsidR="7C960C35">
              <w:rPr/>
              <w:t>The implementation of unit testing is key to ensuring you have a secure and reliable program. Unit testing involves testing individual components or functions of a software application to ensure they work as intended in isolation.</w:t>
            </w:r>
          </w:p>
        </w:tc>
      </w:tr>
      <w:tr w:rsidRPr="007D553D" w:rsidR="00177915" w:rsidTr="093E27C2" w14:paraId="16627A85" w14:textId="77777777">
        <w:trPr>
          <w:trHeight w:val="1296"/>
        </w:trPr>
        <w:tc>
          <w:tcPr>
            <w:tcW w:w="2115" w:type="dxa"/>
            <w:tcMar/>
            <w:vAlign w:val="center"/>
          </w:tcPr>
          <w:p w:rsidRPr="007D553D" w:rsidR="00177915" w:rsidP="007D553D" w:rsidRDefault="00BA25B9" w14:paraId="5AB3EDC2" w14:textId="77777777">
            <w:pPr>
              <w:suppressAutoHyphens/>
              <w:jc w:val="center"/>
              <w:rPr>
                <w:b/>
              </w:rPr>
            </w:pPr>
            <w:r w:rsidRPr="007D553D">
              <w:rPr>
                <w:b/>
              </w:rPr>
              <w:t>9</w:t>
            </w:r>
          </w:p>
        </w:tc>
        <w:tc>
          <w:tcPr>
            <w:tcW w:w="7455" w:type="dxa"/>
            <w:tcMar/>
          </w:tcPr>
          <w:p w:rsidRPr="007D553D" w:rsidR="00177915" w:rsidP="007D553D" w:rsidRDefault="007D553D" w14:paraId="43B51E91" w14:textId="36064ED9">
            <w:pPr>
              <w:suppressAutoHyphens/>
            </w:pPr>
            <w:r w:rsidR="46F57931">
              <w:rPr/>
              <w:t xml:space="preserve">This unit test ensures that the clear function clears the data set from the collection. </w:t>
            </w:r>
            <w:r w:rsidR="683F44CF">
              <w:rPr/>
              <w:t xml:space="preserve">This removes the old data </w:t>
            </w:r>
            <w:r w:rsidR="5F33CCA3">
              <w:rPr/>
              <w:t>and confirms that the size of the collection is now zero. If clear did not work, this could lead to data leak</w:t>
            </w:r>
            <w:r w:rsidR="63463EC1">
              <w:rPr/>
              <w:t xml:space="preserve">age from protected data </w:t>
            </w:r>
            <w:r w:rsidR="63463EC1">
              <w:rPr/>
              <w:t>remaining</w:t>
            </w:r>
            <w:r w:rsidR="63463EC1">
              <w:rPr/>
              <w:t xml:space="preserve"> in memory – which could lead to it being accessed by threat actors. </w:t>
            </w:r>
          </w:p>
        </w:tc>
      </w:tr>
      <w:tr w:rsidRPr="007D553D" w:rsidR="00177915" w:rsidTr="093E27C2" w14:paraId="609CC02D" w14:textId="77777777">
        <w:trPr>
          <w:trHeight w:val="1296"/>
        </w:trPr>
        <w:tc>
          <w:tcPr>
            <w:tcW w:w="2115" w:type="dxa"/>
            <w:tcMar/>
            <w:vAlign w:val="center"/>
          </w:tcPr>
          <w:p w:rsidRPr="007D553D" w:rsidR="00177915" w:rsidP="007D553D" w:rsidRDefault="00BA25B9" w14:paraId="5B02EBA0" w14:textId="77777777">
            <w:pPr>
              <w:suppressAutoHyphens/>
              <w:jc w:val="center"/>
              <w:rPr>
                <w:b/>
              </w:rPr>
            </w:pPr>
            <w:r w:rsidRPr="007D553D">
              <w:rPr>
                <w:b/>
              </w:rPr>
              <w:t>10</w:t>
            </w:r>
          </w:p>
        </w:tc>
        <w:tc>
          <w:tcPr>
            <w:tcW w:w="7455" w:type="dxa"/>
            <w:tcMar/>
          </w:tcPr>
          <w:p w:rsidRPr="007D553D" w:rsidR="00177915" w:rsidP="093E27C2" w:rsidRDefault="007D553D" w14:paraId="1A163284" w14:textId="63173998">
            <w:pPr>
              <w:pStyle w:val="Normal"/>
              <w:suppressLineNumbers w:val="0"/>
              <w:bidi w:val="0"/>
              <w:spacing w:before="0" w:beforeAutospacing="off" w:after="0" w:afterAutospacing="off" w:line="240" w:lineRule="auto"/>
              <w:ind w:left="0" w:right="0"/>
              <w:jc w:val="left"/>
            </w:pPr>
            <w:r w:rsidR="7D985A48">
              <w:rPr/>
              <w:t xml:space="preserve">This unit test is a negative test to ensure an exception is thrown for an out-of-range index. </w:t>
            </w:r>
            <w:r w:rsidR="7A2B7FA2">
              <w:rPr/>
              <w:t xml:space="preserve">By intentionally </w:t>
            </w:r>
            <w:r w:rsidR="7A2B7FA2">
              <w:rPr/>
              <w:t>attempting</w:t>
            </w:r>
            <w:r w:rsidR="7A2B7FA2">
              <w:rPr/>
              <w:t xml:space="preserve"> to access an index that is not </w:t>
            </w:r>
            <w:r w:rsidR="1F679834">
              <w:rPr/>
              <w:t>inbound</w:t>
            </w:r>
            <w:r w:rsidR="7A2B7FA2">
              <w:rPr/>
              <w:t xml:space="preserve">, we can see how the code reacts, and if it reacts properly. </w:t>
            </w:r>
            <w:r w:rsidR="4C5CB8A5">
              <w:rPr/>
              <w:t xml:space="preserve">If the code can write to out-of-bounds memory </w:t>
            </w:r>
            <w:r w:rsidR="7B21FACA">
              <w:rPr/>
              <w:t>allocations,</w:t>
            </w:r>
            <w:r w:rsidR="4C5CB8A5">
              <w:rPr/>
              <w:t xml:space="preserve"> this could lead to memory being overwritten, or crashes due to the overload. </w:t>
            </w:r>
            <w:r w:rsidR="5BBDC966">
              <w:rPr/>
              <w:t xml:space="preserve">A malicious actor could use this to employ a DoS attack to gain access to the system. </w:t>
            </w:r>
          </w:p>
        </w:tc>
      </w:tr>
      <w:tr w:rsidRPr="007D553D" w:rsidR="00177915" w:rsidTr="093E27C2" w14:paraId="35903F49" w14:textId="77777777">
        <w:trPr>
          <w:trHeight w:val="1296"/>
        </w:trPr>
        <w:tc>
          <w:tcPr>
            <w:tcW w:w="2115" w:type="dxa"/>
            <w:tcMar/>
            <w:vAlign w:val="center"/>
          </w:tcPr>
          <w:p w:rsidRPr="007D553D" w:rsidR="00177915" w:rsidP="007D553D" w:rsidRDefault="00BA25B9" w14:paraId="78857076" w14:textId="77777777">
            <w:pPr>
              <w:suppressAutoHyphens/>
              <w:jc w:val="center"/>
              <w:rPr>
                <w:b/>
              </w:rPr>
            </w:pPr>
            <w:r w:rsidRPr="007D553D">
              <w:rPr>
                <w:b/>
              </w:rPr>
              <w:t>11</w:t>
            </w:r>
          </w:p>
        </w:tc>
        <w:tc>
          <w:tcPr>
            <w:tcW w:w="7455" w:type="dxa"/>
            <w:tcMar/>
          </w:tcPr>
          <w:p w:rsidRPr="007D553D" w:rsidR="00177915" w:rsidP="007D553D" w:rsidRDefault="007D553D" w14:paraId="32385135" w14:textId="16CC5AA4">
            <w:pPr>
              <w:suppressAutoHyphens/>
            </w:pPr>
            <w:r w:rsidRPr="093E27C2" w:rsidR="20479415">
              <w:rPr>
                <w:rFonts w:ascii="Calibri" w:hAnsi="Calibri" w:eastAsia="Calibri" w:cs="Calibri"/>
                <w:noProof w:val="0"/>
                <w:sz w:val="22"/>
                <w:szCs w:val="22"/>
                <w:lang w:val="en-US"/>
              </w:rPr>
              <w:t>The Automation Summary illustrates the full flow of the DevSecOps pipeline, highlighting where security is integrated at each stage of the process.</w:t>
            </w:r>
          </w:p>
        </w:tc>
      </w:tr>
      <w:tr w:rsidRPr="007D553D" w:rsidR="00177915" w:rsidTr="093E27C2" w14:paraId="2637279C" w14:textId="77777777">
        <w:trPr>
          <w:trHeight w:val="1296"/>
        </w:trPr>
        <w:tc>
          <w:tcPr>
            <w:tcW w:w="2115" w:type="dxa"/>
            <w:tcMar/>
            <w:vAlign w:val="center"/>
          </w:tcPr>
          <w:p w:rsidRPr="007D553D" w:rsidR="00177915" w:rsidP="007D553D" w:rsidRDefault="00BA25B9" w14:paraId="79D8B5F9" w14:textId="77777777">
            <w:pPr>
              <w:suppressAutoHyphens/>
              <w:jc w:val="center"/>
              <w:rPr>
                <w:b/>
              </w:rPr>
            </w:pPr>
            <w:r w:rsidRPr="007D553D">
              <w:rPr>
                <w:b/>
              </w:rPr>
              <w:t>12</w:t>
            </w:r>
          </w:p>
        </w:tc>
        <w:tc>
          <w:tcPr>
            <w:tcW w:w="7455" w:type="dxa"/>
            <w:tcMar/>
          </w:tcPr>
          <w:p w:rsidRPr="007D553D" w:rsidR="00177915" w:rsidP="007D553D" w:rsidRDefault="007D553D" w14:paraId="09CA053A" w14:textId="4F39AD7F">
            <w:pPr>
              <w:suppressAutoHyphens/>
            </w:pPr>
            <w:r w:rsidR="56C7697A">
              <w:rPr/>
              <w:t>DevSecOps integrates security throughout the entire DevOps pipeline, ensuring that security is part of every stage—from planning and coding to testing, deployment, and monitoring. Key tools in this process include CPPCheck, which performs static code analysis to catch potential vulnerabilities early. For front-end compilation, Babel ensures compatibility across environments. And for automated testing, OWASP ZAP helps identify security issues in web applications before deployment. These tools work together to make security an integral part of the development process, not an afterthought.</w:t>
            </w:r>
          </w:p>
        </w:tc>
      </w:tr>
      <w:tr w:rsidRPr="007D553D" w:rsidR="00177915" w:rsidTr="093E27C2" w14:paraId="040861A0" w14:textId="77777777">
        <w:trPr>
          <w:trHeight w:val="1296"/>
        </w:trPr>
        <w:tc>
          <w:tcPr>
            <w:tcW w:w="2115" w:type="dxa"/>
            <w:tcMar/>
            <w:vAlign w:val="center"/>
          </w:tcPr>
          <w:p w:rsidRPr="007D553D" w:rsidR="00177915" w:rsidP="007D553D" w:rsidRDefault="00BA25B9" w14:paraId="2CF76596" w14:textId="77777777">
            <w:pPr>
              <w:suppressAutoHyphens/>
              <w:jc w:val="center"/>
              <w:rPr>
                <w:b/>
              </w:rPr>
            </w:pPr>
            <w:r w:rsidRPr="007D553D">
              <w:rPr>
                <w:b/>
              </w:rPr>
              <w:t>13</w:t>
            </w:r>
          </w:p>
        </w:tc>
        <w:tc>
          <w:tcPr>
            <w:tcW w:w="7455" w:type="dxa"/>
            <w:tcMar/>
          </w:tcPr>
          <w:p w:rsidRPr="007D553D" w:rsidR="00177915" w:rsidP="007D553D" w:rsidRDefault="007D553D" w14:paraId="2A010422" w14:textId="1D8A7FD7">
            <w:pPr>
              <w:suppressAutoHyphens/>
            </w:pPr>
            <w:r w:rsidR="405013BB">
              <w:rPr/>
              <w:t>Today, organizations face security gaps, slow release cycles, and compliance risks. The solution is simple—integrate security at every stage with DevSecOps and automate testing to address these challenges. By acting now, you’ll benefit from faster, more secure releases while ensuring compliance. However, be mindful of the initial setup cost and the time required for teams to adapt. If you delay, you risk increased vulnerabilities, compliance issues, and higher remediation costs down the line. Next steps? Train your teams on DevSecOps, automate security and testing processes, and integrate CI/CD pipelines for continuous feedback and improvement</w:t>
            </w:r>
          </w:p>
        </w:tc>
      </w:tr>
      <w:tr w:rsidRPr="007D553D" w:rsidR="00177915" w:rsidTr="093E27C2" w14:paraId="37616630" w14:textId="77777777">
        <w:trPr>
          <w:trHeight w:val="1296"/>
        </w:trPr>
        <w:tc>
          <w:tcPr>
            <w:tcW w:w="2115" w:type="dxa"/>
            <w:tcMar/>
            <w:vAlign w:val="center"/>
          </w:tcPr>
          <w:p w:rsidRPr="007D553D" w:rsidR="00177915" w:rsidP="007D553D" w:rsidRDefault="00BA25B9" w14:paraId="5095DF5C" w14:textId="77777777">
            <w:pPr>
              <w:suppressAutoHyphens/>
              <w:jc w:val="center"/>
              <w:rPr>
                <w:b/>
              </w:rPr>
            </w:pPr>
            <w:r w:rsidRPr="007D553D">
              <w:rPr>
                <w:b/>
              </w:rPr>
              <w:t>14</w:t>
            </w:r>
          </w:p>
        </w:tc>
        <w:tc>
          <w:tcPr>
            <w:tcW w:w="7455" w:type="dxa"/>
            <w:tcMar/>
          </w:tcPr>
          <w:p w:rsidRPr="007D553D" w:rsidR="00177915" w:rsidP="093E27C2" w:rsidRDefault="007D553D" w14:paraId="20A6BB05" w14:textId="3A388692">
            <w:pPr>
              <w:suppressAutoHyphens/>
              <w:rPr>
                <w:rFonts w:ascii="Calibri" w:hAnsi="Calibri" w:eastAsia="Calibri" w:cs="Calibri"/>
                <w:b w:val="0"/>
                <w:bCs w:val="0"/>
                <w:noProof w:val="0"/>
                <w:sz w:val="22"/>
                <w:szCs w:val="22"/>
                <w:lang w:val="en-US"/>
              </w:rPr>
            </w:pPr>
            <w:r w:rsidRPr="093E27C2" w:rsidR="2C88E286">
              <w:rPr>
                <w:rFonts w:ascii="Calibri" w:hAnsi="Calibri" w:eastAsia="Calibri" w:cs="Calibri"/>
                <w:b w:val="0"/>
                <w:bCs w:val="0"/>
                <w:noProof w:val="0"/>
                <w:sz w:val="22"/>
                <w:szCs w:val="22"/>
                <w:lang w:val="en-US"/>
              </w:rPr>
              <w:t xml:space="preserve">To stay ahead of evolving threats, it's crucial to </w:t>
            </w:r>
            <w:r w:rsidRPr="093E27C2" w:rsidR="2C88E286">
              <w:rPr>
                <w:rFonts w:ascii="Calibri" w:hAnsi="Calibri" w:eastAsia="Calibri" w:cs="Calibri"/>
                <w:b w:val="0"/>
                <w:bCs w:val="0"/>
                <w:noProof w:val="0"/>
                <w:sz w:val="22"/>
                <w:szCs w:val="22"/>
                <w:lang w:val="en-US"/>
              </w:rPr>
              <w:t>update your security policy frequently</w:t>
            </w:r>
            <w:r w:rsidRPr="093E27C2" w:rsidR="2C88E286">
              <w:rPr>
                <w:rFonts w:ascii="Calibri" w:hAnsi="Calibri" w:eastAsia="Calibri" w:cs="Calibri"/>
                <w:b w:val="0"/>
                <w:bCs w:val="0"/>
                <w:noProof w:val="0"/>
                <w:sz w:val="22"/>
                <w:szCs w:val="22"/>
                <w:lang w:val="en-US"/>
              </w:rPr>
              <w:t xml:space="preserve">. Malicious actors are constantly innovating their attack methods, and your policy must adapt to prevent vulnerabilities. Consider bringing in an </w:t>
            </w:r>
            <w:r w:rsidRPr="093E27C2" w:rsidR="2C88E286">
              <w:rPr>
                <w:rFonts w:ascii="Calibri" w:hAnsi="Calibri" w:eastAsia="Calibri" w:cs="Calibri"/>
                <w:b w:val="0"/>
                <w:bCs w:val="0"/>
                <w:noProof w:val="0"/>
                <w:sz w:val="22"/>
                <w:szCs w:val="22"/>
                <w:lang w:val="en-US"/>
              </w:rPr>
              <w:t>outside company</w:t>
            </w:r>
            <w:r w:rsidRPr="093E27C2" w:rsidR="2C88E286">
              <w:rPr>
                <w:rFonts w:ascii="Calibri" w:hAnsi="Calibri" w:eastAsia="Calibri" w:cs="Calibri"/>
                <w:b w:val="0"/>
                <w:bCs w:val="0"/>
                <w:noProof w:val="0"/>
                <w:sz w:val="22"/>
                <w:szCs w:val="22"/>
                <w:lang w:val="en-US"/>
              </w:rPr>
              <w:t xml:space="preserve"> for </w:t>
            </w:r>
            <w:r w:rsidRPr="093E27C2" w:rsidR="2C88E286">
              <w:rPr>
                <w:rFonts w:ascii="Calibri" w:hAnsi="Calibri" w:eastAsia="Calibri" w:cs="Calibri"/>
                <w:b w:val="0"/>
                <w:bCs w:val="0"/>
                <w:noProof w:val="0"/>
                <w:sz w:val="22"/>
                <w:szCs w:val="22"/>
                <w:lang w:val="en-US"/>
              </w:rPr>
              <w:t>annual reviews</w:t>
            </w:r>
            <w:r w:rsidRPr="093E27C2" w:rsidR="2C88E286">
              <w:rPr>
                <w:rFonts w:ascii="Calibri" w:hAnsi="Calibri" w:eastAsia="Calibri" w:cs="Calibri"/>
                <w:b w:val="0"/>
                <w:bCs w:val="0"/>
                <w:noProof w:val="0"/>
                <w:sz w:val="22"/>
                <w:szCs w:val="22"/>
                <w:lang w:val="en-US"/>
              </w:rPr>
              <w:t xml:space="preserve">—a fresh set of eyes, like a White Hat hacking agency, can significantly improve your policy and uncover hidden weaknesses. Finally, </w:t>
            </w:r>
            <w:r w:rsidRPr="093E27C2" w:rsidR="2C88E286">
              <w:rPr>
                <w:rFonts w:ascii="Calibri" w:hAnsi="Calibri" w:eastAsia="Calibri" w:cs="Calibri"/>
                <w:b w:val="0"/>
                <w:bCs w:val="0"/>
                <w:noProof w:val="0"/>
                <w:sz w:val="22"/>
                <w:szCs w:val="22"/>
                <w:lang w:val="en-US"/>
              </w:rPr>
              <w:t>implement the policy early and often</w:t>
            </w:r>
            <w:r w:rsidRPr="093E27C2" w:rsidR="2C88E286">
              <w:rPr>
                <w:rFonts w:ascii="Calibri" w:hAnsi="Calibri" w:eastAsia="Calibri" w:cs="Calibri"/>
                <w:b w:val="0"/>
                <w:bCs w:val="0"/>
                <w:noProof w:val="0"/>
                <w:sz w:val="22"/>
                <w:szCs w:val="22"/>
                <w:lang w:val="en-US"/>
              </w:rPr>
              <w:t>. The sooner every team member adopts it, the quicker your program becomes and stays secure.</w:t>
            </w:r>
          </w:p>
        </w:tc>
      </w:tr>
      <w:tr w:rsidR="093E27C2" w:rsidTr="093E27C2" w14:paraId="1CB47D88">
        <w:trPr>
          <w:trHeight w:val="300"/>
        </w:trPr>
        <w:tc>
          <w:tcPr>
            <w:tcW w:w="2115" w:type="dxa"/>
            <w:tcMar/>
            <w:vAlign w:val="center"/>
          </w:tcPr>
          <w:p w:rsidR="498DD1EB" w:rsidP="093E27C2" w:rsidRDefault="498DD1EB" w14:paraId="6AC580D7" w14:textId="34B25857">
            <w:pPr>
              <w:pStyle w:val="Normal"/>
              <w:jc w:val="center"/>
              <w:rPr>
                <w:b w:val="1"/>
                <w:bCs w:val="1"/>
              </w:rPr>
            </w:pPr>
            <w:r w:rsidRPr="093E27C2" w:rsidR="498DD1EB">
              <w:rPr>
                <w:b w:val="1"/>
                <w:bCs w:val="1"/>
              </w:rPr>
              <w:t>15</w:t>
            </w:r>
          </w:p>
        </w:tc>
        <w:tc>
          <w:tcPr>
            <w:tcW w:w="7455" w:type="dxa"/>
            <w:tcMar/>
          </w:tcPr>
          <w:p w:rsidR="05832C94" w:rsidP="093E27C2" w:rsidRDefault="05832C94" w14:paraId="3249D1F2" w14:textId="4454DBBA">
            <w:pPr>
              <w:rPr>
                <w:rFonts w:ascii="Calibri" w:hAnsi="Calibri" w:eastAsia="Calibri" w:cs="Calibri"/>
                <w:b w:val="0"/>
                <w:bCs w:val="0"/>
                <w:noProof w:val="0"/>
                <w:sz w:val="22"/>
                <w:szCs w:val="22"/>
                <w:lang w:val="en-US"/>
              </w:rPr>
            </w:pPr>
            <w:r w:rsidRPr="093E27C2" w:rsidR="05832C94">
              <w:rPr>
                <w:rFonts w:ascii="Calibri" w:hAnsi="Calibri" w:eastAsia="Calibri" w:cs="Calibri"/>
                <w:b w:val="0"/>
                <w:bCs w:val="0"/>
                <w:noProof w:val="0"/>
                <w:sz w:val="22"/>
                <w:szCs w:val="22"/>
                <w:lang w:val="en-US"/>
              </w:rPr>
              <w:t>Proactive security is key—</w:t>
            </w:r>
            <w:r w:rsidRPr="093E27C2" w:rsidR="05832C94">
              <w:rPr>
                <w:rFonts w:ascii="Calibri" w:hAnsi="Calibri" w:eastAsia="Calibri" w:cs="Calibri"/>
                <w:b w:val="0"/>
                <w:bCs w:val="0"/>
                <w:noProof w:val="0"/>
                <w:sz w:val="22"/>
                <w:szCs w:val="22"/>
                <w:lang w:val="en-US"/>
              </w:rPr>
              <w:t>embed security early in the development cycle</w:t>
            </w:r>
            <w:r w:rsidRPr="093E27C2" w:rsidR="05832C94">
              <w:rPr>
                <w:rFonts w:ascii="Calibri" w:hAnsi="Calibri" w:eastAsia="Calibri" w:cs="Calibri"/>
                <w:b w:val="0"/>
                <w:bCs w:val="0"/>
                <w:noProof w:val="0"/>
                <w:sz w:val="22"/>
                <w:szCs w:val="22"/>
                <w:lang w:val="en-US"/>
              </w:rPr>
              <w:t xml:space="preserve"> by shifting left. Use </w:t>
            </w:r>
            <w:r w:rsidRPr="093E27C2" w:rsidR="05832C94">
              <w:rPr>
                <w:rFonts w:ascii="Calibri" w:hAnsi="Calibri" w:eastAsia="Calibri" w:cs="Calibri"/>
                <w:b w:val="0"/>
                <w:bCs w:val="0"/>
                <w:noProof w:val="0"/>
                <w:sz w:val="22"/>
                <w:szCs w:val="22"/>
                <w:lang w:val="en-US"/>
              </w:rPr>
              <w:t>continuous monitoring</w:t>
            </w:r>
            <w:r w:rsidRPr="093E27C2" w:rsidR="05832C94">
              <w:rPr>
                <w:rFonts w:ascii="Calibri" w:hAnsi="Calibri" w:eastAsia="Calibri" w:cs="Calibri"/>
                <w:b w:val="0"/>
                <w:bCs w:val="0"/>
                <w:noProof w:val="0"/>
                <w:sz w:val="22"/>
                <w:szCs w:val="22"/>
                <w:lang w:val="en-US"/>
              </w:rPr>
              <w:t xml:space="preserve"> with automated tools to detect and respond to threats in real time. As threats evolve, it's essential to </w:t>
            </w:r>
            <w:r w:rsidRPr="093E27C2" w:rsidR="05832C94">
              <w:rPr>
                <w:rFonts w:ascii="Calibri" w:hAnsi="Calibri" w:eastAsia="Calibri" w:cs="Calibri"/>
                <w:b w:val="0"/>
                <w:bCs w:val="0"/>
                <w:noProof w:val="0"/>
                <w:sz w:val="22"/>
                <w:szCs w:val="22"/>
                <w:lang w:val="en-US"/>
              </w:rPr>
              <w:t>adapt and evolve</w:t>
            </w:r>
            <w:r w:rsidRPr="093E27C2" w:rsidR="05832C94">
              <w:rPr>
                <w:rFonts w:ascii="Calibri" w:hAnsi="Calibri" w:eastAsia="Calibri" w:cs="Calibri"/>
                <w:b w:val="0"/>
                <w:bCs w:val="0"/>
                <w:noProof w:val="0"/>
                <w:sz w:val="22"/>
                <w:szCs w:val="22"/>
                <w:lang w:val="en-US"/>
              </w:rPr>
              <w:t xml:space="preserve"> your security measures to stay ahead. </w:t>
            </w:r>
            <w:r w:rsidRPr="093E27C2" w:rsidR="05832C94">
              <w:rPr>
                <w:rFonts w:ascii="Calibri" w:hAnsi="Calibri" w:eastAsia="Calibri" w:cs="Calibri"/>
                <w:b w:val="0"/>
                <w:bCs w:val="0"/>
                <w:noProof w:val="0"/>
                <w:sz w:val="22"/>
                <w:szCs w:val="22"/>
                <w:lang w:val="en-US"/>
              </w:rPr>
              <w:t>Collaboration across teams</w:t>
            </w:r>
            <w:r w:rsidRPr="093E27C2" w:rsidR="05832C94">
              <w:rPr>
                <w:rFonts w:ascii="Calibri" w:hAnsi="Calibri" w:eastAsia="Calibri" w:cs="Calibri"/>
                <w:b w:val="0"/>
                <w:bCs w:val="0"/>
                <w:noProof w:val="0"/>
                <w:sz w:val="22"/>
                <w:szCs w:val="22"/>
                <w:lang w:val="en-US"/>
              </w:rPr>
              <w:t xml:space="preserve">—developers, security, and operations—is critical for success. The long-term benefits include </w:t>
            </w:r>
            <w:r w:rsidRPr="093E27C2" w:rsidR="05832C94">
              <w:rPr>
                <w:rFonts w:ascii="Calibri" w:hAnsi="Calibri" w:eastAsia="Calibri" w:cs="Calibri"/>
                <w:b w:val="0"/>
                <w:bCs w:val="0"/>
                <w:noProof w:val="0"/>
                <w:sz w:val="22"/>
                <w:szCs w:val="22"/>
                <w:lang w:val="en-US"/>
              </w:rPr>
              <w:t>reduced risk exposure</w:t>
            </w:r>
            <w:r w:rsidRPr="093E27C2" w:rsidR="05832C94">
              <w:rPr>
                <w:rFonts w:ascii="Calibri" w:hAnsi="Calibri" w:eastAsia="Calibri" w:cs="Calibri"/>
                <w:b w:val="0"/>
                <w:bCs w:val="0"/>
                <w:noProof w:val="0"/>
                <w:sz w:val="22"/>
                <w:szCs w:val="22"/>
                <w:lang w:val="en-US"/>
              </w:rPr>
              <w:t xml:space="preserve">, </w:t>
            </w:r>
            <w:r w:rsidRPr="093E27C2" w:rsidR="05832C94">
              <w:rPr>
                <w:rFonts w:ascii="Calibri" w:hAnsi="Calibri" w:eastAsia="Calibri" w:cs="Calibri"/>
                <w:b w:val="0"/>
                <w:bCs w:val="0"/>
                <w:noProof w:val="0"/>
                <w:sz w:val="22"/>
                <w:szCs w:val="22"/>
                <w:lang w:val="en-US"/>
              </w:rPr>
              <w:t>faster, more secure software delivery</w:t>
            </w:r>
            <w:r w:rsidRPr="093E27C2" w:rsidR="05832C94">
              <w:rPr>
                <w:rFonts w:ascii="Calibri" w:hAnsi="Calibri" w:eastAsia="Calibri" w:cs="Calibri"/>
                <w:b w:val="0"/>
                <w:bCs w:val="0"/>
                <w:noProof w:val="0"/>
                <w:sz w:val="22"/>
                <w:szCs w:val="22"/>
                <w:lang w:val="en-US"/>
              </w:rPr>
              <w:t xml:space="preserve">, and </w:t>
            </w:r>
            <w:r w:rsidRPr="093E27C2" w:rsidR="05832C94">
              <w:rPr>
                <w:rFonts w:ascii="Calibri" w:hAnsi="Calibri" w:eastAsia="Calibri" w:cs="Calibri"/>
                <w:b w:val="0"/>
                <w:bCs w:val="0"/>
                <w:noProof w:val="0"/>
                <w:sz w:val="22"/>
                <w:szCs w:val="22"/>
                <w:lang w:val="en-US"/>
              </w:rPr>
              <w:t>better compliance with regulatory standards</w:t>
            </w:r>
            <w:r w:rsidRPr="093E27C2" w:rsidR="05832C94">
              <w:rPr>
                <w:rFonts w:ascii="Calibri" w:hAnsi="Calibri" w:eastAsia="Calibri" w:cs="Calibri"/>
                <w:b w:val="0"/>
                <w:bCs w:val="0"/>
                <w:noProof w:val="0"/>
                <w:sz w:val="22"/>
                <w:szCs w:val="22"/>
                <w:lang w:val="en-US"/>
              </w:rPr>
              <w:t>.</w:t>
            </w:r>
          </w:p>
        </w:tc>
      </w:tr>
      <w:tr w:rsidR="093E27C2" w:rsidTr="093E27C2" w14:paraId="327DEF62">
        <w:trPr>
          <w:trHeight w:val="300"/>
        </w:trPr>
        <w:tc>
          <w:tcPr>
            <w:tcW w:w="2115" w:type="dxa"/>
            <w:tcMar/>
            <w:vAlign w:val="center"/>
          </w:tcPr>
          <w:p w:rsidR="498DD1EB" w:rsidP="093E27C2" w:rsidRDefault="498DD1EB" w14:paraId="1217860C" w14:textId="691C8B65">
            <w:pPr>
              <w:pStyle w:val="Normal"/>
              <w:jc w:val="center"/>
              <w:rPr>
                <w:b w:val="1"/>
                <w:bCs w:val="1"/>
              </w:rPr>
            </w:pPr>
            <w:r w:rsidRPr="093E27C2" w:rsidR="498DD1EB">
              <w:rPr>
                <w:b w:val="1"/>
                <w:bCs w:val="1"/>
              </w:rPr>
              <w:t>16</w:t>
            </w:r>
          </w:p>
        </w:tc>
        <w:tc>
          <w:tcPr>
            <w:tcW w:w="7455" w:type="dxa"/>
            <w:tcMar/>
          </w:tcPr>
          <w:p w:rsidR="649D5AA3" w:rsidP="093E27C2" w:rsidRDefault="649D5AA3" w14:paraId="7D84812B" w14:textId="3DB5DB6D">
            <w:pPr>
              <w:pStyle w:val="Normal"/>
            </w:pPr>
            <w:r w:rsidR="649D5AA3">
              <w:rPr/>
              <w:t xml:space="preserve">A big thank you to these </w:t>
            </w:r>
            <w:r w:rsidR="1F5A69E3">
              <w:rPr/>
              <w:t xml:space="preserve">references for aiding my creation of this presentation. Thank you all for watching. </w:t>
            </w:r>
          </w:p>
        </w:tc>
      </w:tr>
    </w:tbl>
    <w:p w:rsidRPr="007D553D" w:rsidR="00177915" w:rsidP="007D553D" w:rsidRDefault="00177915" w14:paraId="2E9A2232" w14:textId="77777777">
      <w:pPr>
        <w:suppressAutoHyphens/>
        <w:spacing w:after="0" w:line="240" w:lineRule="auto"/>
        <w:rPr>
          <w:b/>
        </w:rPr>
      </w:pPr>
    </w:p>
    <w:sectPr w:rsidRPr="007D553D" w:rsidR="00177915">
      <w:headerReference w:type="default" r:id="rId10"/>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224BE" w:rsidP="007D553D" w:rsidRDefault="006224BE" w14:paraId="008AA35B" w14:textId="77777777">
      <w:pPr>
        <w:spacing w:after="0" w:line="240" w:lineRule="auto"/>
      </w:pPr>
      <w:r>
        <w:separator/>
      </w:r>
    </w:p>
  </w:endnote>
  <w:endnote w:type="continuationSeparator" w:id="0">
    <w:p w:rsidR="006224BE" w:rsidP="007D553D" w:rsidRDefault="006224BE" w14:paraId="4014F90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224BE" w:rsidP="007D553D" w:rsidRDefault="006224BE" w14:paraId="4A282105" w14:textId="77777777">
      <w:pPr>
        <w:spacing w:after="0" w:line="240" w:lineRule="auto"/>
      </w:pPr>
      <w:r>
        <w:separator/>
      </w:r>
    </w:p>
  </w:footnote>
  <w:footnote w:type="continuationSeparator" w:id="0">
    <w:p w:rsidR="006224BE" w:rsidP="007D553D" w:rsidRDefault="006224BE" w14:paraId="6C639FE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16du wp14">
  <w:p w:rsidR="007D553D" w:rsidP="007D553D" w:rsidRDefault="003463DD" w14:paraId="3BDC6DC4" w14:textId="160ED5CB">
    <w:pPr>
      <w:pStyle w:val="Header"/>
      <w:suppressAutoHyphens/>
      <w:spacing w:after="200"/>
      <w:jc w:val="center"/>
    </w:pPr>
    <w:r w:rsidRPr="00085B81">
      <w:rPr>
        <w:noProof/>
      </w:rPr>
      <w:drawing>
        <wp:inline distT="0" distB="0" distL="0" distR="0" wp14:anchorId="522C8B89" wp14:editId="11F1E8D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15"/>
    <w:rsid w:val="00177915"/>
    <w:rsid w:val="0032543C"/>
    <w:rsid w:val="003463DD"/>
    <w:rsid w:val="006224BE"/>
    <w:rsid w:val="007D553D"/>
    <w:rsid w:val="0083A228"/>
    <w:rsid w:val="00BA25B9"/>
    <w:rsid w:val="05832C94"/>
    <w:rsid w:val="05C5A861"/>
    <w:rsid w:val="069E18D3"/>
    <w:rsid w:val="0784329F"/>
    <w:rsid w:val="093E27C2"/>
    <w:rsid w:val="0AB08C9D"/>
    <w:rsid w:val="0CC84EC8"/>
    <w:rsid w:val="1164C558"/>
    <w:rsid w:val="11669DA4"/>
    <w:rsid w:val="1190306E"/>
    <w:rsid w:val="17EACDBE"/>
    <w:rsid w:val="1AF347DD"/>
    <w:rsid w:val="1C68F3EA"/>
    <w:rsid w:val="1C9127E1"/>
    <w:rsid w:val="1DA1D569"/>
    <w:rsid w:val="1E746B49"/>
    <w:rsid w:val="1EF2696C"/>
    <w:rsid w:val="1F5A69E3"/>
    <w:rsid w:val="1F679834"/>
    <w:rsid w:val="20479415"/>
    <w:rsid w:val="2605D56D"/>
    <w:rsid w:val="2A1D749F"/>
    <w:rsid w:val="2C88E286"/>
    <w:rsid w:val="2CAD36FC"/>
    <w:rsid w:val="2EBAFDB3"/>
    <w:rsid w:val="3074D529"/>
    <w:rsid w:val="36E1C60D"/>
    <w:rsid w:val="39462617"/>
    <w:rsid w:val="398608ED"/>
    <w:rsid w:val="3DFDAAE8"/>
    <w:rsid w:val="405013BB"/>
    <w:rsid w:val="40F6CC6D"/>
    <w:rsid w:val="43582814"/>
    <w:rsid w:val="4457EB58"/>
    <w:rsid w:val="468ED2AA"/>
    <w:rsid w:val="46F57931"/>
    <w:rsid w:val="498DD1EB"/>
    <w:rsid w:val="4C5CB8A5"/>
    <w:rsid w:val="4CB1AE50"/>
    <w:rsid w:val="4E165D83"/>
    <w:rsid w:val="4FC8DB76"/>
    <w:rsid w:val="508F8C01"/>
    <w:rsid w:val="54FC95F2"/>
    <w:rsid w:val="56C7697A"/>
    <w:rsid w:val="56E0835C"/>
    <w:rsid w:val="58D4E568"/>
    <w:rsid w:val="5BBDC966"/>
    <w:rsid w:val="5F33CCA3"/>
    <w:rsid w:val="63463EC1"/>
    <w:rsid w:val="649D5AA3"/>
    <w:rsid w:val="66331794"/>
    <w:rsid w:val="678FEC96"/>
    <w:rsid w:val="683F44CF"/>
    <w:rsid w:val="6DF3E058"/>
    <w:rsid w:val="701567DA"/>
    <w:rsid w:val="755C48B4"/>
    <w:rsid w:val="763811AA"/>
    <w:rsid w:val="7A2B7FA2"/>
    <w:rsid w:val="7B21FACA"/>
    <w:rsid w:val="7C960C35"/>
    <w:rsid w:val="7D30BED9"/>
    <w:rsid w:val="7D985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FB253"/>
  <w15:docId w15:val="{47EA495F-09DC-41DF-B051-218173D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styleId="HeaderChar" w:customStyle="1">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styleId="FooterChar" w:customStyle="1">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customXml" Target="../customXml/item4.xml" Id="rId4" /><Relationship Type="http://schemas.openxmlformats.org/officeDocument/2006/relationships/endnotes" Target="endnotes.xml" Id="rId9"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248FA902-3E86-40A4-A23F-F59576B39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8BABCD-16D4-4705-B780-2889DD3D70D5}">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Candice Wade</dc:creator>
  <lastModifiedBy>Williams, Jaden</lastModifiedBy>
  <revision>5</revision>
  <dcterms:created xsi:type="dcterms:W3CDTF">2020-11-04T19:09:00.0000000Z</dcterms:created>
  <dcterms:modified xsi:type="dcterms:W3CDTF">2025-06-22T20:55:06.9598186Z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