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il"/>
          <w:left w:val="nil"/>
          <w:bottom w:val="nil"/>
          <w:right w:val="nil"/>
          <w:insideH w:val="nil"/>
          <w:insideV w:val="nil"/>
        </w:tblBorders>
      </w:tblPr>
      <w:tblGrid>
        <w:gridCol w:w="9026"/>
      </w:tblGrid>
      <w:tr>
        <w:tc>
          <w:tcPr>
            <w:tcW w:type="dxa" w:w="9026"/>
            <w:shd w:fill="0000FF" w:val="clear"/>
            <w:tcMar>
              <w:top w:type="dxa" w:w="400"/>
              <w:left w:type="dxa" w:w="260"/>
              <w:bottom w:type="dxa" w:w="400"/>
              <w:right w:type="dxa" w:w="260"/>
            </w:tcMar>
          </w:tcPr>
          <w:p>
            <w:pPr>
              <w:pStyle w:val="NCCoverHead"/>
            </w:pPr>
            <w:r>
              <w:t xml:space="preserve">Nightlife Culture  /  UKDF fellowship</w:t>
            </w:r>
          </w:p>
          <w:p>
            <w:pPr>
              <w:pStyle w:val="NCCoverTitle"/>
            </w:pPr>
            <w:r>
              <w:t xml:space="preserve">Artists Make Great Places operating plan</w:t>
            </w:r>
          </w:p>
          <w:p>
            <w:pPr>
              <w:pStyle w:val="NCCoverMeta"/>
            </w:pPr>
            <w:r>
              <w:t xml:space="preserve">Delivery, evidence, resources and decision gates</w:t>
            </w:r>
          </w:p>
          <w:p>
            <w:pPr>
              <w:pStyle w:val="NCCoverMeta"/>
            </w:pPr>
            <w:r>
              <w:rPr>
                <w:b/>
                <w:bCs/>
              </w:rPr>
              <w:t xml:space="preserve">Version 0.4  /  17 August 2026 — v0.3 content, restyled on the design system</w:t>
            </w:r>
          </w:p>
        </w:tc>
      </w:tr>
    </w:tbl>
    <w:p>
      <w:pPr>
        <w:pStyle w:val="NCLabel"/>
      </w:pPr>
      <w:r>
        <w:t xml:space="preserve">Working source of truth</w:t>
      </w:r>
    </w:p>
    <w:p>
      <w:r>
        <w:t xml:space="preserve">Built to protect the strongest proposition, language and operating decisions as the application moves into copy, design and submission.</w:t>
      </w:r>
    </w:p>
    <w:p>
      <w:pPr>
        <w:pStyle w:val="Heading1"/>
      </w:pPr>
      <w:r>
        <w:t xml:space="preserve">01  Programme proposition</w:t>
      </w:r>
    </w:p>
    <w:p>
      <w:pPr>
        <w:pStyle w:val="NCPullQuote"/>
      </w:pPr>
      <w:r>
        <w:t xml:space="preserve">Places don’t make great artists. Artists make great places.</w:t>
      </w:r>
    </w:p>
    <w:p>
      <w:r>
        <w:t xml:space="preserve">This fellowship develops nationally relevant infrastructure that increases hyperlocal power. It will turn Carly Heath’s established practice across nightlife culture, creative production, public policy and delivery into a field-backed argument, a tested first method, an investable Nightlife Culture institution and a fundable next phase.</w:t>
      </w:r>
    </w:p>
    <w:tbl>
      <w:tblPr>
        <w:tblW w:type="dxa" w:w="9026"/>
        <w:tblBorders>
          <w:top w:val="nil"/>
          <w:left w:val="single" w:color="0000FF" w:sz="36"/>
          <w:bottom w:val="nil"/>
          <w:right w:val="nil"/>
          <w:insideH w:val="nil"/>
          <w:insideV w:val="nil"/>
        </w:tblBorders>
      </w:tblPr>
      <w:tblGrid>
        <w:gridCol w:w="9026"/>
      </w:tblGrid>
      <w:tr>
        <w:tc>
          <w:tcPr>
            <w:tcW w:type="dxa" w:w="9026"/>
            <w:shd w:fill="F3F3F3" w:val="clear"/>
            <w:tcMar>
              <w:top w:type="dxa" w:w="200"/>
              <w:left w:type="dxa" w:w="260"/>
              <w:bottom w:type="dxa" w:w="140"/>
              <w:right w:type="dxa" w:w="260"/>
            </w:tcMar>
          </w:tcPr>
          <w:p>
            <w:pPr>
              <w:pStyle w:val="NCPanelHead"/>
            </w:pPr>
            <w:r>
              <w:rPr>
                <w:b/>
                <w:bCs/>
              </w:rPr>
              <w:t xml:space="preserve">Central question</w:t>
            </w:r>
          </w:p>
          <w:p>
            <w:r>
              <w:t xml:space="preserve">What would it take for the UK to sustain nightlife as infrastructure for agency, talent and place?</w:t>
            </w:r>
          </w:p>
        </w:tc>
      </w:tr>
    </w:tbl>
    <w:p>
      <w:pPr>
        <w:pStyle w:val="Heading1"/>
      </w:pPr>
      <w:r>
        <w:t xml:space="preserve">02  Operating principles</w:t>
      </w:r>
    </w:p>
    <w:p>
      <w:pPr>
        <w:pStyle w:val="ListParagraph"/>
        <w:numPr>
          <w:ilvl w:val="0"/>
          <w:numId w:val="2"/>
        </w:numPr>
      </w:pPr>
      <w:r>
        <w:rPr>
          <w:b/>
          <w:bCs/>
        </w:rPr>
        <w:t xml:space="preserve">Lead with abundance. </w:t>
      </w:r>
      <w:r>
        <w:t xml:space="preserve">Begin with people, collective joy, cultural energy and the value already being created.</w:t>
      </w:r>
    </w:p>
    <w:p>
      <w:pPr>
        <w:pStyle w:val="ListParagraph"/>
        <w:numPr>
          <w:ilvl w:val="0"/>
          <w:numId w:val="2"/>
        </w:numPr>
      </w:pPr>
      <w:r>
        <w:rPr>
          <w:b/>
          <w:bCs/>
        </w:rPr>
        <w:t xml:space="preserve">Build from practice. </w:t>
      </w:r>
      <w:r>
        <w:t xml:space="preserve">The inquiry and intended phase outcomes are grounded in Carly’s experience and early stakeholder conversations.</w:t>
      </w:r>
    </w:p>
    <w:p>
      <w:pPr>
        <w:pStyle w:val="ListParagraph"/>
        <w:numPr>
          <w:ilvl w:val="0"/>
          <w:numId w:val="2"/>
        </w:numPr>
      </w:pPr>
      <w:r>
        <w:rPr>
          <w:b/>
          <w:bCs/>
        </w:rPr>
        <w:t xml:space="preserve">Stay open to discovery. </w:t>
      </w:r>
      <w:r>
        <w:t xml:space="preserve">The route, tools and institutional choices develop through evidence, participation and testing.</w:t>
      </w:r>
    </w:p>
    <w:p>
      <w:pPr>
        <w:pStyle w:val="ListParagraph"/>
        <w:numPr>
          <w:ilvl w:val="0"/>
          <w:numId w:val="2"/>
        </w:numPr>
      </w:pPr>
      <w:r>
        <w:rPr>
          <w:b/>
          <w:bCs/>
        </w:rPr>
        <w:t xml:space="preserve">Protect cultural truth. </w:t>
      </w:r>
      <w:r>
        <w:t xml:space="preserve">Translate between dancefloors and decision rooms while keeping local language, agency and distinctiveness recognisable.</w:t>
      </w:r>
    </w:p>
    <w:p>
      <w:pPr>
        <w:pStyle w:val="ListParagraph"/>
        <w:numPr>
          <w:ilvl w:val="0"/>
          <w:numId w:val="2"/>
        </w:numPr>
      </w:pPr>
      <w:r>
        <w:rPr>
          <w:b/>
          <w:bCs/>
        </w:rPr>
        <w:t xml:space="preserve">Match research to resource. </w:t>
      </w:r>
      <w:r>
        <w:t xml:space="preserve">Deliver a rigorous bounded fellowship and specify larger research honestly as a later phase.</w:t>
      </w:r>
    </w:p>
    <w:p>
      <w:pPr>
        <w:pStyle w:val="ListParagraph"/>
        <w:numPr>
          <w:ilvl w:val="0"/>
          <w:numId w:val="2"/>
        </w:numPr>
      </w:pPr>
      <w:r>
        <w:rPr>
          <w:b/>
          <w:bCs/>
        </w:rPr>
        <w:t xml:space="preserve">Design evidence, investment and infrastructure together. </w:t>
      </w:r>
      <w:r>
        <w:t xml:space="preserve">Build a route from lived knowledge to action rather than evidence for evidence’s sake.</w:t>
      </w:r>
    </w:p>
    <w:p>
      <w:pPr>
        <w:pStyle w:val="ListParagraph"/>
        <w:numPr>
          <w:ilvl w:val="0"/>
          <w:numId w:val="2"/>
        </w:numPr>
      </w:pPr>
      <w:r>
        <w:rPr>
          <w:b/>
          <w:bCs/>
        </w:rPr>
        <w:t xml:space="preserve">Record decisions. </w:t>
      </w:r>
      <w:r>
        <w:t xml:space="preserve">Use decision gates and this log to prevent scope and language drift.</w:t>
      </w:r>
    </w:p>
    <w:p>
      <w:pPr>
        <w:pStyle w:val="Heading1"/>
      </w:pPr>
      <w:r>
        <w:t xml:space="preserve">03  Programme logic</w:t>
      </w:r>
    </w:p>
    <w:tbl>
      <w:tblPr>
        <w:tblW w:type="dxa" w:w="9026"/>
        <w:tblBorders>
          <w:top w:val="nil"/>
          <w:left w:val="single" w:color="0000FF" w:sz="36"/>
          <w:bottom w:val="nil"/>
          <w:right w:val="nil"/>
          <w:insideH w:val="nil"/>
          <w:insideV w:val="nil"/>
        </w:tblBorders>
      </w:tblPr>
      <w:tblGrid>
        <w:gridCol w:w="9026"/>
      </w:tblGrid>
      <w:tr>
        <w:tc>
          <w:tcPr>
            <w:tcW w:type="dxa" w:w="9026"/>
            <w:shd w:fill="F3F3F3" w:val="clear"/>
            <w:tcMar>
              <w:top w:type="dxa" w:w="200"/>
              <w:left w:type="dxa" w:w="260"/>
              <w:bottom w:type="dxa" w:w="140"/>
              <w:right w:type="dxa" w:w="260"/>
            </w:tcMar>
          </w:tcPr>
          <w:p>
            <w:r>
              <w:rPr>
                <w:b/>
                <w:bCs/>
              </w:rPr>
              <w:t xml:space="preserve">People  →  Scenes + spaces  →  Dynamic places</w:t>
            </w:r>
          </w:p>
        </w:tc>
      </w:tr>
    </w:tbl>
    <w:tbl>
      <w:tblPr>
        <w:tblW w:type="dxa" w:w="9026"/>
        <w:tblBorders>
          <w:top w:val="nil"/>
          <w:left w:val="nil"/>
          <w:bottom w:val="nil"/>
          <w:right w:val="nil"/>
          <w:insideH w:val="nil"/>
          <w:insideV w:val="nil"/>
        </w:tblBorders>
      </w:tblPr>
      <w:tblGrid>
        <w:gridCol w:w="1556"/>
        <w:gridCol w:w="3735"/>
        <w:gridCol w:w="3735"/>
      </w:tblGrid>
      <w:tr>
        <w:trPr>
          <w:tblHeader/>
        </w:trPr>
        <w:tc>
          <w:tcPr>
            <w:tcW w:type="dxa" w:w="155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Layer</w:t>
            </w:r>
          </w:p>
        </w:tc>
        <w:tc>
          <w:tcPr>
            <w:tcW w:type="dxa" w:w="3735"/>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What the fellowship examines</w:t>
            </w:r>
          </w:p>
        </w:tc>
        <w:tc>
          <w:tcPr>
            <w:tcW w:type="dxa" w:w="3735"/>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What becomes possible</w:t>
            </w:r>
          </w:p>
        </w:tc>
      </w:tr>
      <w:tr>
        <w:trPr>
          <w:tblHeader w:val="false"/>
        </w:trPr>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People</w:t>
            </w:r>
          </w:p>
        </w:tc>
        <w:tc>
          <w:tcPr>
            <w:tcW w:type="dxa" w:w="3735"/>
            <w:tcBorders>
              <w:top w:val="nil"/>
              <w:left w:val="nil"/>
              <w:bottom w:val="single" w:color="C9C9C9" w:sz="4"/>
              <w:right w:val="nil"/>
            </w:tcBorders>
            <w:tcMar>
              <w:top w:type="dxa" w:w="60"/>
              <w:left w:type="dxa" w:w="0"/>
              <w:bottom w:type="dxa" w:w="60"/>
              <w:right w:type="dxa" w:w="140"/>
            </w:tcMar>
          </w:tcPr>
          <w:p>
            <w:pPr>
              <w:pStyle w:val="TableBody"/>
            </w:pPr>
            <w:r>
              <w:t xml:space="preserve">Agency, identity, craft, confidence, relationships, collaboration and leadership developed through nightlife.</w:t>
            </w:r>
          </w:p>
        </w:tc>
        <w:tc>
          <w:tcPr>
            <w:tcW w:type="dxa" w:w="3735"/>
            <w:tcBorders>
              <w:top w:val="nil"/>
              <w:left w:val="nil"/>
              <w:bottom w:val="single" w:color="C9C9C9" w:sz="4"/>
              <w:right w:val="nil"/>
            </w:tcBorders>
            <w:tcMar>
              <w:top w:type="dxa" w:w="60"/>
              <w:left w:type="dxa" w:w="0"/>
              <w:bottom w:type="dxa" w:w="60"/>
              <w:right w:type="dxa" w:w="140"/>
            </w:tcMar>
          </w:tcPr>
          <w:p>
            <w:pPr>
              <w:pStyle w:val="TableBody"/>
            </w:pPr>
            <w:r>
              <w:t xml:space="preserve">Advocates and places can recognise the people carrying cultural value before formal systems see them.</w:t>
            </w:r>
          </w:p>
        </w:tc>
      </w:tr>
      <w:tr>
        <w:trPr>
          <w:tblHeader w:val="false"/>
        </w:trPr>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Scenes + spaces</w:t>
            </w:r>
          </w:p>
        </w:tc>
        <w:tc>
          <w:tcPr>
            <w:tcW w:type="dxa" w:w="3735"/>
            <w:tcBorders>
              <w:top w:val="nil"/>
              <w:left w:val="nil"/>
              <w:bottom w:val="single" w:color="C9C9C9" w:sz="4"/>
              <w:right w:val="nil"/>
            </w:tcBorders>
            <w:tcMar>
              <w:top w:type="dxa" w:w="60"/>
              <w:left w:type="dxa" w:w="0"/>
              <w:bottom w:type="dxa" w:w="60"/>
              <w:right w:type="dxa" w:w="140"/>
            </w:tcMar>
          </w:tcPr>
          <w:p>
            <w:pPr>
              <w:pStyle w:val="TableBody"/>
            </w:pPr>
            <w:r>
              <w:t xml:space="preserve">How communities, venues, gathering places, cultural labour and local conditions form a distinct sonic ecology.</w:t>
            </w:r>
          </w:p>
        </w:tc>
        <w:tc>
          <w:tcPr>
            <w:tcW w:type="dxa" w:w="3735"/>
            <w:tcBorders>
              <w:top w:val="nil"/>
              <w:left w:val="nil"/>
              <w:bottom w:val="single" w:color="C9C9C9" w:sz="4"/>
              <w:right w:val="nil"/>
            </w:tcBorders>
            <w:tcMar>
              <w:top w:type="dxa" w:w="60"/>
              <w:left w:type="dxa" w:w="0"/>
              <w:bottom w:type="dxa" w:w="60"/>
              <w:right w:type="dxa" w:w="140"/>
            </w:tcMar>
          </w:tcPr>
          <w:p>
            <w:pPr>
              <w:pStyle w:val="TableBody"/>
            </w:pPr>
            <w:r>
              <w:t xml:space="preserve">Local actors can evidence what makes their place unique and what conditions need strengthening.</w:t>
            </w:r>
          </w:p>
        </w:tc>
      </w:tr>
      <w:tr>
        <w:trPr>
          <w:tblHeader w:val="false"/>
        </w:trPr>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Dynamic places</w:t>
            </w:r>
          </w:p>
        </w:tc>
        <w:tc>
          <w:tcPr>
            <w:tcW w:type="dxa" w:w="3735"/>
            <w:tcBorders>
              <w:top w:val="nil"/>
              <w:left w:val="nil"/>
              <w:bottom w:val="single" w:color="C9C9C9" w:sz="4"/>
              <w:right w:val="nil"/>
            </w:tcBorders>
            <w:tcMar>
              <w:top w:type="dxa" w:w="60"/>
              <w:left w:type="dxa" w:w="0"/>
              <w:bottom w:type="dxa" w:w="60"/>
              <w:right w:type="dxa" w:w="140"/>
            </w:tcMar>
          </w:tcPr>
          <w:p>
            <w:pPr>
              <w:pStyle w:val="TableBody"/>
            </w:pPr>
            <w:r>
              <w:t xml:space="preserve">How cultural, civic, social and economic value travels into identity, reputation, talent, investment and future possibility.</w:t>
            </w:r>
          </w:p>
        </w:tc>
        <w:tc>
          <w:tcPr>
            <w:tcW w:type="dxa" w:w="3735"/>
            <w:tcBorders>
              <w:top w:val="nil"/>
              <w:left w:val="nil"/>
              <w:bottom w:val="single" w:color="C9C9C9" w:sz="4"/>
              <w:right w:val="nil"/>
            </w:tcBorders>
            <w:tcMar>
              <w:top w:type="dxa" w:w="60"/>
              <w:left w:type="dxa" w:w="0"/>
              <w:bottom w:type="dxa" w:w="60"/>
              <w:right w:type="dxa" w:w="140"/>
            </w:tcMar>
          </w:tcPr>
          <w:p>
            <w:pPr>
              <w:pStyle w:val="TableBody"/>
            </w:pPr>
            <w:r>
              <w:t xml:space="preserve">Decision-makers and funders can act earlier and back more legitimate propositions.</w:t>
            </w:r>
          </w:p>
        </w:tc>
      </w:tr>
      <w:tr>
        <w:trPr>
          <w:tblHeader w:val="false"/>
        </w:trPr>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Connective infrastructure</w:t>
            </w:r>
          </w:p>
        </w:tc>
        <w:tc>
          <w:tcPr>
            <w:tcW w:type="dxa" w:w="3735"/>
            <w:tcBorders>
              <w:top w:val="nil"/>
              <w:left w:val="nil"/>
              <w:bottom w:val="single" w:color="C9C9C9" w:sz="4"/>
              <w:right w:val="nil"/>
            </w:tcBorders>
            <w:tcMar>
              <w:top w:type="dxa" w:w="60"/>
              <w:left w:type="dxa" w:w="0"/>
              <w:bottom w:type="dxa" w:w="60"/>
              <w:right w:type="dxa" w:w="140"/>
            </w:tcMar>
          </w:tcPr>
          <w:p>
            <w:pPr>
              <w:pStyle w:val="TableBody"/>
            </w:pPr>
            <w:r>
              <w:t xml:space="preserve">Shared evidence, creative policy design, translation, partnerships and an institution capable of carrying the work.</w:t>
            </w:r>
          </w:p>
        </w:tc>
        <w:tc>
          <w:tcPr>
            <w:tcW w:type="dxa" w:w="3735"/>
            <w:tcBorders>
              <w:top w:val="nil"/>
              <w:left w:val="nil"/>
              <w:bottom w:val="single" w:color="C9C9C9" w:sz="4"/>
              <w:right w:val="nil"/>
            </w:tcBorders>
            <w:tcMar>
              <w:top w:type="dxa" w:w="60"/>
              <w:left w:type="dxa" w:w="0"/>
              <w:bottom w:type="dxa" w:w="60"/>
              <w:right w:type="dxa" w:w="140"/>
            </w:tcMar>
          </w:tcPr>
          <w:p>
            <w:pPr>
              <w:pStyle w:val="TableBody"/>
            </w:pPr>
            <w:r>
              <w:t xml:space="preserve">Nationally relevant learning increases hyperlocal power.</w:t>
            </w:r>
          </w:p>
        </w:tc>
      </w:tr>
    </w:tbl>
    <w:p>
      <w:pPr>
        <w:pStyle w:val="Heading1"/>
      </w:pPr>
      <w:r>
        <w:t xml:space="preserve">04  Five inquiry strands</w:t>
      </w:r>
    </w:p>
    <w:p>
      <w:pPr>
        <w:pStyle w:val="Heading2"/>
      </w:pPr>
      <w:r>
        <w:t xml:space="preserve">1. How night makes people</w:t>
      </w:r>
    </w:p>
    <w:p>
      <w:r>
        <w:t xml:space="preserve">Explore nightlife as an informal talent programme: where people develop agency, identity, craft, confidence, networks, collaboration and leadership before formal systems recognise them.</w:t>
      </w:r>
    </w:p>
    <w:p>
      <w:pPr>
        <w:pStyle w:val="Heading2"/>
      </w:pPr>
      <w:r>
        <w:t xml:space="preserve">2. How people make places</w:t>
      </w:r>
    </w:p>
    <w:p>
      <w:r>
        <w:t xml:space="preserve">Trace how artists, organisers, venues, crews, advocates and sonic communities create the distinct cultural life, reputation and future possibility of place.</w:t>
      </w:r>
    </w:p>
    <w:p>
      <w:pPr>
        <w:pStyle w:val="Heading2"/>
      </w:pPr>
      <w:r>
        <w:t xml:space="preserve">3. Follow the value</w:t>
      </w:r>
    </w:p>
    <w:p>
      <w:r>
        <w:t xml:space="preserve">Follow how cultural, social, civic and economic value is created, where it travels, who captures it and which contributors remain under-resourced. A Ticket to the Future provides a live restorative-economics case.</w:t>
      </w:r>
    </w:p>
    <w:p>
      <w:pPr>
        <w:pStyle w:val="Heading2"/>
      </w:pPr>
      <w:r>
        <w:t xml:space="preserve">4. Test what helps</w:t>
      </w:r>
    </w:p>
    <w:p>
      <w:r>
        <w:t xml:space="preserve">Develop and test the foundations of the proposed Nightlife Cultural Value Index and other practical tools that help local advocates, policymakers, funders and investors see, strengthen and act on nightlife’s value.</w:t>
      </w:r>
    </w:p>
    <w:p>
      <w:pPr>
        <w:pStyle w:val="Heading2"/>
      </w:pPr>
      <w:r>
        <w:t xml:space="preserve">5. Build the institution</w:t>
      </w:r>
    </w:p>
    <w:p>
      <w:r>
        <w:t xml:space="preserve">Test how Nightlife Culture can hold the method, maintain cultural legitimacy, convene specialist capacity and turn learning into future commissions, research and sector infrastructure.</w:t>
      </w:r>
    </w:p>
    <w:tbl>
      <w:tblPr>
        <w:tblW w:type="dxa" w:w="9026"/>
        <w:tblBorders>
          <w:top w:val="nil"/>
          <w:left w:val="single" w:color="0000FF" w:sz="36"/>
          <w:bottom w:val="nil"/>
          <w:right w:val="nil"/>
          <w:insideH w:val="nil"/>
          <w:insideV w:val="nil"/>
        </w:tblBorders>
      </w:tblPr>
      <w:tblGrid>
        <w:gridCol w:w="9026"/>
      </w:tblGrid>
      <w:tr>
        <w:tc>
          <w:tcPr>
            <w:tcW w:type="dxa" w:w="9026"/>
            <w:shd w:fill="F3F3F3" w:val="clear"/>
            <w:tcMar>
              <w:top w:type="dxa" w:w="200"/>
              <w:left w:type="dxa" w:w="260"/>
              <w:bottom w:type="dxa" w:w="140"/>
              <w:right w:type="dxa" w:w="260"/>
            </w:tcMar>
          </w:tcPr>
          <w:p>
            <w:pPr>
              <w:pStyle w:val="NCPanelHead"/>
            </w:pPr>
            <w:r>
              <w:rPr>
                <w:b/>
                <w:bCs/>
              </w:rPr>
              <w:t xml:space="preserve">Defined outcomes; open route</w:t>
            </w:r>
          </w:p>
          <w:p>
            <w:r>
              <w:t xml:space="preserve">The questions and intended phase outcomes have been defined by Carly’s experience championing the sector and early conversations with stakeholders. The exact route remains open to evidence, participation and discovery.</w:t>
            </w:r>
          </w:p>
        </w:tc>
      </w:tr>
    </w:tbl>
    <w:p>
      <w:pPr>
        <w:pStyle w:val="Heading1"/>
      </w:pPr>
      <w:r>
        <w:t xml:space="preserve">05  Work packages and distinct jobs</w:t>
      </w:r>
    </w:p>
    <w:tbl>
      <w:tblPr>
        <w:tblW w:type="dxa" w:w="9026"/>
        <w:tblBorders>
          <w:top w:val="nil"/>
          <w:left w:val="nil"/>
          <w:bottom w:val="nil"/>
          <w:right w:val="nil"/>
          <w:insideH w:val="nil"/>
          <w:insideV w:val="nil"/>
        </w:tblBorders>
      </w:tblPr>
      <w:tblGrid>
        <w:gridCol w:w="1150"/>
        <w:gridCol w:w="1717"/>
        <w:gridCol w:w="1150"/>
        <w:gridCol w:w="2234"/>
        <w:gridCol w:w="1624"/>
        <w:gridCol w:w="1151"/>
      </w:tblGrid>
      <w:tr>
        <w:trPr>
          <w:tblHeader/>
        </w:trPr>
        <w:tc>
          <w:tcPr>
            <w:tcW w:type="dxa" w:w="1150"/>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WP</w:t>
            </w:r>
          </w:p>
        </w:tc>
        <w:tc>
          <w:tcPr>
            <w:tcW w:type="dxa" w:w="1717"/>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Phase</w:t>
            </w:r>
          </w:p>
        </w:tc>
        <w:tc>
          <w:tcPr>
            <w:tcW w:type="dxa" w:w="1150"/>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Timing</w:t>
            </w:r>
          </w:p>
        </w:tc>
        <w:tc>
          <w:tcPr>
            <w:tcW w:type="dxa" w:w="2234"/>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Distinct job</w:t>
            </w:r>
          </w:p>
        </w:tc>
        <w:tc>
          <w:tcPr>
            <w:tcW w:type="dxa" w:w="1624"/>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Outcome</w:t>
            </w:r>
          </w:p>
        </w:tc>
        <w:tc>
          <w:tcPr>
            <w:tcW w:type="dxa" w:w="1151"/>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Envelope</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WP1</w:t>
            </w:r>
          </w:p>
        </w:tc>
        <w:tc>
          <w:tcPr>
            <w:tcW w:type="dxa" w:w="1717"/>
            <w:tcBorders>
              <w:top w:val="nil"/>
              <w:left w:val="nil"/>
              <w:bottom w:val="single" w:color="C9C9C9" w:sz="4"/>
              <w:right w:val="nil"/>
            </w:tcBorders>
            <w:tcMar>
              <w:top w:type="dxa" w:w="60"/>
              <w:left w:type="dxa" w:w="0"/>
              <w:bottom w:type="dxa" w:w="60"/>
              <w:right w:type="dxa" w:w="140"/>
            </w:tcMar>
          </w:tcPr>
          <w:p>
            <w:pPr>
              <w:pStyle w:val="TableBody"/>
            </w:pPr>
            <w:r>
              <w:t xml:space="preserve">Frame the inquiry</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Months 1–2</w:t>
            </w:r>
          </w:p>
        </w:tc>
        <w:tc>
          <w:tcPr>
            <w:tcW w:type="dxa" w:w="2234"/>
            <w:tcBorders>
              <w:top w:val="nil"/>
              <w:left w:val="nil"/>
              <w:bottom w:val="single" w:color="C9C9C9" w:sz="4"/>
              <w:right w:val="nil"/>
            </w:tcBorders>
            <w:tcMar>
              <w:top w:type="dxa" w:w="60"/>
              <w:left w:type="dxa" w:w="0"/>
              <w:bottom w:type="dxa" w:w="60"/>
              <w:right w:type="dxa" w:w="140"/>
            </w:tcMar>
          </w:tcPr>
          <w:p>
            <w:pPr>
              <w:pStyle w:val="TableBody"/>
            </w:pPr>
            <w:r>
              <w:t xml:space="preserve">Translate lived experience and early stakeholder conversations into a disciplined inquiry, evidence plan, ethical approach and decision criteria.</w:t>
            </w:r>
          </w:p>
        </w:tc>
        <w:tc>
          <w:tcPr>
            <w:tcW w:type="dxa" w:w="1624"/>
            <w:tcBorders>
              <w:top w:val="nil"/>
              <w:left w:val="nil"/>
              <w:bottom w:val="single" w:color="C9C9C9" w:sz="4"/>
              <w:right w:val="nil"/>
            </w:tcBorders>
            <w:tcMar>
              <w:top w:type="dxa" w:w="60"/>
              <w:left w:type="dxa" w:w="0"/>
              <w:bottom w:type="dxa" w:w="60"/>
              <w:right w:type="dxa" w:w="140"/>
            </w:tcMar>
          </w:tcPr>
          <w:p>
            <w:pPr>
              <w:pStyle w:val="TableBody"/>
            </w:pPr>
            <w:r>
              <w:t xml:space="preserve">Agreed inquiry frame; stakeholder and evidence map; research protocol; phase gates.</w:t>
            </w:r>
          </w:p>
        </w:tc>
        <w:tc>
          <w:tcPr>
            <w:tcW w:type="dxa" w:w="1151"/>
            <w:tcBorders>
              <w:top w:val="nil"/>
              <w:left w:val="nil"/>
              <w:bottom w:val="single" w:color="C9C9C9" w:sz="4"/>
              <w:right w:val="nil"/>
            </w:tcBorders>
            <w:tcMar>
              <w:top w:type="dxa" w:w="60"/>
              <w:left w:type="dxa" w:w="0"/>
              <w:bottom w:type="dxa" w:w="60"/>
              <w:right w:type="dxa" w:w="140"/>
            </w:tcMar>
          </w:tcPr>
          <w:p>
            <w:pPr>
              <w:pStyle w:val="TableBody"/>
            </w:pPr>
            <w:r>
              <w:t xml:space="preserve">£6,000</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WP2</w:t>
            </w:r>
          </w:p>
        </w:tc>
        <w:tc>
          <w:tcPr>
            <w:tcW w:type="dxa" w:w="1717"/>
            <w:tcBorders>
              <w:top w:val="nil"/>
              <w:left w:val="nil"/>
              <w:bottom w:val="single" w:color="C9C9C9" w:sz="4"/>
              <w:right w:val="nil"/>
            </w:tcBorders>
            <w:tcMar>
              <w:top w:type="dxa" w:w="60"/>
              <w:left w:type="dxa" w:w="0"/>
              <w:bottom w:type="dxa" w:w="60"/>
              <w:right w:type="dxa" w:w="140"/>
            </w:tcMar>
          </w:tcPr>
          <w:p>
            <w:pPr>
              <w:pStyle w:val="TableBody"/>
            </w:pPr>
            <w:r>
              <w:t xml:space="preserve">People, scenes and place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Months 2–5</w:t>
            </w:r>
          </w:p>
        </w:tc>
        <w:tc>
          <w:tcPr>
            <w:tcW w:type="dxa" w:w="2234"/>
            <w:tcBorders>
              <w:top w:val="nil"/>
              <w:left w:val="nil"/>
              <w:bottom w:val="single" w:color="C9C9C9" w:sz="4"/>
              <w:right w:val="nil"/>
            </w:tcBorders>
            <w:tcMar>
              <w:top w:type="dxa" w:w="60"/>
              <w:left w:type="dxa" w:w="0"/>
              <w:bottom w:type="dxa" w:w="60"/>
              <w:right w:type="dxa" w:w="140"/>
            </w:tcMar>
          </w:tcPr>
          <w:p>
            <w:pPr>
              <w:pStyle w:val="TableBody"/>
            </w:pPr>
            <w:r>
              <w:t xml:space="preserve">Work with two contrasting place cases to understand how nightlife develops people and how cultural communities create the unique sonic personality of place.</w:t>
            </w:r>
          </w:p>
        </w:tc>
        <w:tc>
          <w:tcPr>
            <w:tcW w:type="dxa" w:w="1624"/>
            <w:tcBorders>
              <w:top w:val="nil"/>
              <w:left w:val="nil"/>
              <w:bottom w:val="single" w:color="C9C9C9" w:sz="4"/>
              <w:right w:val="nil"/>
            </w:tcBorders>
            <w:tcMar>
              <w:top w:type="dxa" w:w="60"/>
              <w:left w:type="dxa" w:w="0"/>
              <w:bottom w:type="dxa" w:w="60"/>
              <w:right w:type="dxa" w:w="140"/>
            </w:tcMar>
          </w:tcPr>
          <w:p>
            <w:pPr>
              <w:pStyle w:val="TableBody"/>
            </w:pPr>
            <w:r>
              <w:t xml:space="preserve">Two bounded place cases; 18–24 substantive conversations across the programme; field insight; reusable place lens.</w:t>
            </w:r>
          </w:p>
        </w:tc>
        <w:tc>
          <w:tcPr>
            <w:tcW w:type="dxa" w:w="1151"/>
            <w:tcBorders>
              <w:top w:val="nil"/>
              <w:left w:val="nil"/>
              <w:bottom w:val="single" w:color="C9C9C9" w:sz="4"/>
              <w:right w:val="nil"/>
            </w:tcBorders>
            <w:tcMar>
              <w:top w:type="dxa" w:w="60"/>
              <w:left w:type="dxa" w:w="0"/>
              <w:bottom w:type="dxa" w:w="60"/>
              <w:right w:type="dxa" w:w="140"/>
            </w:tcMar>
          </w:tcPr>
          <w:p>
            <w:pPr>
              <w:pStyle w:val="TableBody"/>
            </w:pPr>
            <w:r>
              <w:t xml:space="preserve">£9,000</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WP3</w:t>
            </w:r>
          </w:p>
        </w:tc>
        <w:tc>
          <w:tcPr>
            <w:tcW w:type="dxa" w:w="1717"/>
            <w:tcBorders>
              <w:top w:val="nil"/>
              <w:left w:val="nil"/>
              <w:bottom w:val="single" w:color="C9C9C9" w:sz="4"/>
              <w:right w:val="nil"/>
            </w:tcBorders>
            <w:tcMar>
              <w:top w:type="dxa" w:w="60"/>
              <w:left w:type="dxa" w:w="0"/>
              <w:bottom w:type="dxa" w:w="60"/>
              <w:right w:type="dxa" w:w="140"/>
            </w:tcMar>
          </w:tcPr>
          <w:p>
            <w:pPr>
              <w:pStyle w:val="TableBody"/>
            </w:pPr>
            <w:r>
              <w:t xml:space="preserve">Follow the value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Months 3–7</w:t>
            </w:r>
          </w:p>
        </w:tc>
        <w:tc>
          <w:tcPr>
            <w:tcW w:type="dxa" w:w="2234"/>
            <w:tcBorders>
              <w:top w:val="nil"/>
              <w:left w:val="nil"/>
              <w:bottom w:val="single" w:color="C9C9C9" w:sz="4"/>
              <w:right w:val="nil"/>
            </w:tcBorders>
            <w:tcMar>
              <w:top w:type="dxa" w:w="60"/>
              <w:left w:type="dxa" w:w="0"/>
              <w:bottom w:type="dxa" w:w="60"/>
              <w:right w:type="dxa" w:w="140"/>
            </w:tcMar>
          </w:tcPr>
          <w:p>
            <w:pPr>
              <w:pStyle w:val="TableBody"/>
            </w:pPr>
            <w:r>
              <w:t xml:space="preserve">Trace how value is created, transferred, captured and reinvested, using A Ticket to the Future as one live case alongside wider place evidence.</w:t>
            </w:r>
          </w:p>
        </w:tc>
        <w:tc>
          <w:tcPr>
            <w:tcW w:type="dxa" w:w="1624"/>
            <w:tcBorders>
              <w:top w:val="nil"/>
              <w:left w:val="nil"/>
              <w:bottom w:val="single" w:color="C9C9C9" w:sz="4"/>
              <w:right w:val="nil"/>
            </w:tcBorders>
            <w:tcMar>
              <w:top w:type="dxa" w:w="60"/>
              <w:left w:type="dxa" w:w="0"/>
              <w:bottom w:type="dxa" w:w="60"/>
              <w:right w:type="dxa" w:w="140"/>
            </w:tcMar>
          </w:tcPr>
          <w:p>
            <w:pPr>
              <w:pStyle w:val="TableBody"/>
            </w:pPr>
            <w:r>
              <w:t xml:space="preserve">Value-flow maps; lessons on agency, ownership and restorative investment; implications for advocacy and funders.</w:t>
            </w:r>
          </w:p>
        </w:tc>
        <w:tc>
          <w:tcPr>
            <w:tcW w:type="dxa" w:w="1151"/>
            <w:tcBorders>
              <w:top w:val="nil"/>
              <w:left w:val="nil"/>
              <w:bottom w:val="single" w:color="C9C9C9" w:sz="4"/>
              <w:right w:val="nil"/>
            </w:tcBorders>
            <w:tcMar>
              <w:top w:type="dxa" w:w="60"/>
              <w:left w:type="dxa" w:w="0"/>
              <w:bottom w:type="dxa" w:w="60"/>
              <w:right w:type="dxa" w:w="140"/>
            </w:tcMar>
          </w:tcPr>
          <w:p>
            <w:pPr>
              <w:pStyle w:val="TableBody"/>
            </w:pPr>
            <w:r>
              <w:t xml:space="preserve">£8,000</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WP4</w:t>
            </w:r>
          </w:p>
        </w:tc>
        <w:tc>
          <w:tcPr>
            <w:tcW w:type="dxa" w:w="1717"/>
            <w:tcBorders>
              <w:top w:val="nil"/>
              <w:left w:val="nil"/>
              <w:bottom w:val="single" w:color="C9C9C9" w:sz="4"/>
              <w:right w:val="nil"/>
            </w:tcBorders>
            <w:tcMar>
              <w:top w:type="dxa" w:w="60"/>
              <w:left w:type="dxa" w:w="0"/>
              <w:bottom w:type="dxa" w:w="60"/>
              <w:right w:type="dxa" w:w="140"/>
            </w:tcMar>
          </w:tcPr>
          <w:p>
            <w:pPr>
              <w:pStyle w:val="TableBody"/>
            </w:pPr>
            <w:r>
              <w:t xml:space="preserve">Test what helps</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Months 5–9</w:t>
            </w:r>
          </w:p>
        </w:tc>
        <w:tc>
          <w:tcPr>
            <w:tcW w:type="dxa" w:w="2234"/>
            <w:tcBorders>
              <w:top w:val="nil"/>
              <w:left w:val="nil"/>
              <w:bottom w:val="single" w:color="C9C9C9" w:sz="4"/>
              <w:right w:val="nil"/>
            </w:tcBorders>
            <w:tcMar>
              <w:top w:type="dxa" w:w="60"/>
              <w:left w:type="dxa" w:w="0"/>
              <w:bottom w:type="dxa" w:w="60"/>
              <w:right w:type="dxa" w:w="140"/>
            </w:tcMar>
          </w:tcPr>
          <w:p>
            <w:pPr>
              <w:pStyle w:val="TableBody"/>
            </w:pPr>
            <w:r>
              <w:t xml:space="preserve">Turn the evidence into the first testable expression of the Nightlife Cultural Value Index and associated user journeys.</w:t>
            </w:r>
          </w:p>
        </w:tc>
        <w:tc>
          <w:tcPr>
            <w:tcW w:type="dxa" w:w="1624"/>
            <w:tcBorders>
              <w:top w:val="nil"/>
              <w:left w:val="nil"/>
              <w:bottom w:val="single" w:color="C9C9C9" w:sz="4"/>
              <w:right w:val="nil"/>
            </w:tcBorders>
            <w:tcMar>
              <w:top w:type="dxa" w:w="60"/>
              <w:left w:type="dxa" w:w="0"/>
              <w:bottom w:type="dxa" w:w="60"/>
              <w:right w:type="dxa" w:w="140"/>
            </w:tcMar>
          </w:tcPr>
          <w:p>
            <w:pPr>
              <w:pStyle w:val="TableBody"/>
            </w:pPr>
            <w:r>
              <w:t xml:space="preserve">NCVI hypothesis and technical brief; low-fidelity prototype; tests with 6–10 intended users; refined next-stage specification.</w:t>
            </w:r>
          </w:p>
        </w:tc>
        <w:tc>
          <w:tcPr>
            <w:tcW w:type="dxa" w:w="1151"/>
            <w:tcBorders>
              <w:top w:val="nil"/>
              <w:left w:val="nil"/>
              <w:bottom w:val="single" w:color="C9C9C9" w:sz="4"/>
              <w:right w:val="nil"/>
            </w:tcBorders>
            <w:tcMar>
              <w:top w:type="dxa" w:w="60"/>
              <w:left w:type="dxa" w:w="0"/>
              <w:bottom w:type="dxa" w:w="60"/>
              <w:right w:type="dxa" w:w="140"/>
            </w:tcMar>
          </w:tcPr>
          <w:p>
            <w:pPr>
              <w:pStyle w:val="TableBody"/>
            </w:pPr>
            <w:r>
              <w:t xml:space="preserve">£11,000</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WP5</w:t>
            </w:r>
          </w:p>
        </w:tc>
        <w:tc>
          <w:tcPr>
            <w:tcW w:type="dxa" w:w="1717"/>
            <w:tcBorders>
              <w:top w:val="nil"/>
              <w:left w:val="nil"/>
              <w:bottom w:val="single" w:color="C9C9C9" w:sz="4"/>
              <w:right w:val="nil"/>
            </w:tcBorders>
            <w:tcMar>
              <w:top w:type="dxa" w:w="60"/>
              <w:left w:type="dxa" w:w="0"/>
              <w:bottom w:type="dxa" w:w="60"/>
              <w:right w:type="dxa" w:w="140"/>
            </w:tcMar>
          </w:tcPr>
          <w:p>
            <w:pPr>
              <w:pStyle w:val="TableBody"/>
            </w:pPr>
            <w:r>
              <w:t xml:space="preserve">Build Nightlife Culture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Months 7–10</w:t>
            </w:r>
          </w:p>
        </w:tc>
        <w:tc>
          <w:tcPr>
            <w:tcW w:type="dxa" w:w="2234"/>
            <w:tcBorders>
              <w:top w:val="nil"/>
              <w:left w:val="nil"/>
              <w:bottom w:val="single" w:color="C9C9C9" w:sz="4"/>
              <w:right w:val="nil"/>
            </w:tcBorders>
            <w:tcMar>
              <w:top w:type="dxa" w:w="60"/>
              <w:left w:type="dxa" w:w="0"/>
              <w:bottom w:type="dxa" w:w="60"/>
              <w:right w:type="dxa" w:w="140"/>
            </w:tcMar>
          </w:tcPr>
          <w:p>
            <w:pPr>
              <w:pStyle w:val="TableBody"/>
            </w:pPr>
            <w:r>
              <w:t xml:space="preserve">Test the institutional shape, operating offer, partnerships and income architecture needed to carry the work beyond the fellowship.</w:t>
            </w:r>
          </w:p>
        </w:tc>
        <w:tc>
          <w:tcPr>
            <w:tcW w:type="dxa" w:w="1624"/>
            <w:tcBorders>
              <w:top w:val="nil"/>
              <w:left w:val="nil"/>
              <w:bottom w:val="single" w:color="C9C9C9" w:sz="4"/>
              <w:right w:val="nil"/>
            </w:tcBorders>
            <w:tcMar>
              <w:top w:type="dxa" w:w="60"/>
              <w:left w:type="dxa" w:w="0"/>
              <w:bottom w:type="dxa" w:w="60"/>
              <w:right w:type="dxa" w:w="140"/>
            </w:tcMar>
          </w:tcPr>
          <w:p>
            <w:pPr>
              <w:pStyle w:val="TableBody"/>
            </w:pPr>
            <w:r>
              <w:t xml:space="preserve">Institutional proposition; partnership principles; paid consultancy, funded research and sector-platform pathways; next-stage partner map.</w:t>
            </w:r>
          </w:p>
        </w:tc>
        <w:tc>
          <w:tcPr>
            <w:tcW w:type="dxa" w:w="1151"/>
            <w:tcBorders>
              <w:top w:val="nil"/>
              <w:left w:val="nil"/>
              <w:bottom w:val="single" w:color="C9C9C9" w:sz="4"/>
              <w:right w:val="nil"/>
            </w:tcBorders>
            <w:tcMar>
              <w:top w:type="dxa" w:w="60"/>
              <w:left w:type="dxa" w:w="0"/>
              <w:bottom w:type="dxa" w:w="60"/>
              <w:right w:type="dxa" w:w="140"/>
            </w:tcMar>
          </w:tcPr>
          <w:p>
            <w:pPr>
              <w:pStyle w:val="TableBody"/>
            </w:pPr>
            <w:r>
              <w:t xml:space="preserve">£7,000</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WP6</w:t>
            </w:r>
          </w:p>
        </w:tc>
        <w:tc>
          <w:tcPr>
            <w:tcW w:type="dxa" w:w="1717"/>
            <w:tcBorders>
              <w:top w:val="nil"/>
              <w:left w:val="nil"/>
              <w:bottom w:val="single" w:color="C9C9C9" w:sz="4"/>
              <w:right w:val="nil"/>
            </w:tcBorders>
            <w:tcMar>
              <w:top w:type="dxa" w:w="60"/>
              <w:left w:type="dxa" w:w="0"/>
              <w:bottom w:type="dxa" w:w="60"/>
              <w:right w:type="dxa" w:w="140"/>
            </w:tcMar>
          </w:tcPr>
          <w:p>
            <w:pPr>
              <w:pStyle w:val="TableBody"/>
            </w:pPr>
            <w:r>
              <w:t xml:space="preserve">Integrate and mobilise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Months 9–12</w:t>
            </w:r>
          </w:p>
        </w:tc>
        <w:tc>
          <w:tcPr>
            <w:tcW w:type="dxa" w:w="2234"/>
            <w:tcBorders>
              <w:top w:val="nil"/>
              <w:left w:val="nil"/>
              <w:bottom w:val="single" w:color="C9C9C9" w:sz="4"/>
              <w:right w:val="nil"/>
            </w:tcBorders>
            <w:tcMar>
              <w:top w:type="dxa" w:w="60"/>
              <w:left w:type="dxa" w:w="0"/>
              <w:bottom w:type="dxa" w:w="60"/>
              <w:right w:type="dxa" w:w="140"/>
            </w:tcMar>
          </w:tcPr>
          <w:p>
            <w:pPr>
              <w:pStyle w:val="TableBody"/>
            </w:pPr>
            <w:r>
              <w:t xml:space="preserve">Bring the field argument, tested method and institutional route into a clear proposition that others can understand, use, back and develop.</w:t>
            </w:r>
          </w:p>
        </w:tc>
        <w:tc>
          <w:tcPr>
            <w:tcW w:type="dxa" w:w="1624"/>
            <w:tcBorders>
              <w:top w:val="nil"/>
              <w:left w:val="nil"/>
              <w:bottom w:val="single" w:color="C9C9C9" w:sz="4"/>
              <w:right w:val="nil"/>
            </w:tcBorders>
            <w:tcMar>
              <w:top w:type="dxa" w:w="60"/>
              <w:left w:type="dxa" w:w="0"/>
              <w:bottom w:type="dxa" w:w="60"/>
              <w:right w:type="dxa" w:w="140"/>
            </w:tcMar>
          </w:tcPr>
          <w:p>
            <w:pPr>
              <w:pStyle w:val="TableBody"/>
            </w:pPr>
            <w:r>
              <w:t xml:space="preserve">Field-backed argument; tested first method; investable institution; fundable next phase; public-facing mobilisation materials.</w:t>
            </w:r>
          </w:p>
        </w:tc>
        <w:tc>
          <w:tcPr>
            <w:tcW w:type="dxa" w:w="1151"/>
            <w:tcBorders>
              <w:top w:val="nil"/>
              <w:left w:val="nil"/>
              <w:bottom w:val="single" w:color="C9C9C9" w:sz="4"/>
              <w:right w:val="nil"/>
            </w:tcBorders>
            <w:tcMar>
              <w:top w:type="dxa" w:w="60"/>
              <w:left w:type="dxa" w:w="0"/>
              <w:bottom w:type="dxa" w:w="60"/>
              <w:right w:type="dxa" w:w="140"/>
            </w:tcMar>
          </w:tcPr>
          <w:p>
            <w:pPr>
              <w:pStyle w:val="TableBody"/>
            </w:pPr>
            <w:r>
              <w:t xml:space="preserve">£6,000</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Programme</w:t>
            </w:r>
          </w:p>
        </w:tc>
        <w:tc>
          <w:tcPr>
            <w:tcW w:type="dxa" w:w="1717"/>
            <w:tcBorders>
              <w:top w:val="nil"/>
              <w:left w:val="nil"/>
              <w:bottom w:val="single" w:color="C9C9C9" w:sz="4"/>
              <w:right w:val="nil"/>
            </w:tcBorders>
            <w:tcMar>
              <w:top w:type="dxa" w:w="60"/>
              <w:left w:type="dxa" w:w="0"/>
              <w:bottom w:type="dxa" w:w="60"/>
              <w:right w:type="dxa" w:w="140"/>
            </w:tcMar>
          </w:tcPr>
          <w:p>
            <w:pPr>
              <w:pStyle w:val="TableBody"/>
            </w:pPr>
            <w:r>
              <w:t xml:space="preserve">Stewardship, access and contingency</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Months 1–12</w:t>
            </w:r>
          </w:p>
        </w:tc>
        <w:tc>
          <w:tcPr>
            <w:tcW w:type="dxa" w:w="2234"/>
            <w:tcBorders>
              <w:top w:val="nil"/>
              <w:left w:val="nil"/>
              <w:bottom w:val="single" w:color="C9C9C9" w:sz="4"/>
              <w:right w:val="nil"/>
            </w:tcBorders>
            <w:tcMar>
              <w:top w:type="dxa" w:w="60"/>
              <w:left w:type="dxa" w:w="0"/>
              <w:bottom w:type="dxa" w:w="60"/>
              <w:right w:type="dxa" w:w="140"/>
            </w:tcMar>
          </w:tcPr>
          <w:p>
            <w:pPr>
              <w:pStyle w:val="TableBody"/>
            </w:pPr>
            <w:r>
              <w:t xml:space="preserve">Protect coordination, accessibility, participant care and evidence-led adaptation across the programme.</w:t>
            </w:r>
          </w:p>
        </w:tc>
        <w:tc>
          <w:tcPr>
            <w:tcW w:type="dxa" w:w="1624"/>
            <w:tcBorders>
              <w:top w:val="nil"/>
              <w:left w:val="nil"/>
              <w:bottom w:val="single" w:color="C9C9C9" w:sz="4"/>
              <w:right w:val="nil"/>
            </w:tcBorders>
            <w:tcMar>
              <w:top w:type="dxa" w:w="60"/>
              <w:left w:type="dxa" w:w="0"/>
              <w:bottom w:type="dxa" w:w="60"/>
              <w:right w:type="dxa" w:w="140"/>
            </w:tcMar>
          </w:tcPr>
          <w:p>
            <w:pPr>
              <w:pStyle w:val="TableBody"/>
            </w:pPr>
            <w:r>
              <w:t xml:space="preserve">Decision log; safeguarding and data stewardship; accessible participation; capacity to respond to discovery.</w:t>
            </w:r>
          </w:p>
        </w:tc>
        <w:tc>
          <w:tcPr>
            <w:tcW w:type="dxa" w:w="1151"/>
            <w:tcBorders>
              <w:top w:val="nil"/>
              <w:left w:val="nil"/>
              <w:bottom w:val="single" w:color="C9C9C9" w:sz="4"/>
              <w:right w:val="nil"/>
            </w:tcBorders>
            <w:tcMar>
              <w:top w:type="dxa" w:w="60"/>
              <w:left w:type="dxa" w:w="0"/>
              <w:bottom w:type="dxa" w:w="60"/>
              <w:right w:type="dxa" w:w="140"/>
            </w:tcMar>
          </w:tcPr>
          <w:p>
            <w:pPr>
              <w:pStyle w:val="TableBody"/>
            </w:pPr>
            <w:r>
              <w:t xml:space="preserve">£3,000</w:t>
            </w:r>
          </w:p>
        </w:tc>
      </w:tr>
    </w:tbl>
    <w:p>
      <w:pPr>
        <w:pStyle w:val="Heading2"/>
      </w:pPr>
      <w:r>
        <w:t xml:space="preserve">Why all six work packages are necessary:</w:t>
      </w:r>
    </w:p>
    <w:p>
      <w:pPr>
        <w:pStyle w:val="ListParagraph"/>
        <w:numPr>
          <w:ilvl w:val="0"/>
          <w:numId w:val="2"/>
        </w:numPr>
      </w:pPr>
      <w:r>
        <w:t xml:space="preserve">WP1 governs the inquiry; it prevents the programme from becoming an accumulation of attractive but untestable ideas.</w:t>
      </w:r>
    </w:p>
    <w:p>
      <w:pPr>
        <w:pStyle w:val="ListParagraph"/>
        <w:numPr>
          <w:ilvl w:val="0"/>
          <w:numId w:val="2"/>
        </w:numPr>
      </w:pPr>
      <w:r>
        <w:t xml:space="preserve">WP2 supplies lived and place evidence; it tests the people/place thesis beyond Carly’s prior experience.</w:t>
      </w:r>
    </w:p>
    <w:p>
      <w:pPr>
        <w:pStyle w:val="ListParagraph"/>
        <w:numPr>
          <w:ilvl w:val="0"/>
          <w:numId w:val="2"/>
        </w:numPr>
      </w:pPr>
      <w:r>
        <w:t xml:space="preserve">WP3 follows value and power; it adds economic, ownership and investment questions that WP2 alone cannot answer.</w:t>
      </w:r>
    </w:p>
    <w:p>
      <w:pPr>
        <w:pStyle w:val="ListParagraph"/>
        <w:numPr>
          <w:ilvl w:val="0"/>
          <w:numId w:val="2"/>
        </w:numPr>
      </w:pPr>
      <w:r>
        <w:t xml:space="preserve">WP4 converts insight into a testable user-facing evidence layer; it is the method R&amp;D phase, not a second research phase.</w:t>
      </w:r>
    </w:p>
    <w:p>
      <w:pPr>
        <w:pStyle w:val="ListParagraph"/>
        <w:numPr>
          <w:ilvl w:val="0"/>
          <w:numId w:val="2"/>
        </w:numPr>
      </w:pPr>
      <w:r>
        <w:t xml:space="preserve">WP5 develops the institution capable of carrying the method; it separates organisational design from tool design.</w:t>
      </w:r>
    </w:p>
    <w:p>
      <w:pPr>
        <w:pStyle w:val="ListParagraph"/>
        <w:numPr>
          <w:ilvl w:val="0"/>
          <w:numId w:val="2"/>
        </w:numPr>
      </w:pPr>
      <w:r>
        <w:t xml:space="preserve">WP6 synthesises, mobilises and defines the next funded phase; it ensures learning reaches decisions and does not remain an internal research archive.</w:t>
      </w:r>
    </w:p>
    <w:p>
      <w:pPr>
        <w:pStyle w:val="Heading1"/>
      </w:pPr>
      <w:r>
        <w:t xml:space="preserve">06  Detailed work-package delivery</w:t>
      </w:r>
    </w:p>
    <w:p>
      <w:pPr>
        <w:pStyle w:val="Heading2"/>
      </w:pPr>
      <w:r>
        <w:t xml:space="preserve">WP1 — Frame the inquiry</w:t>
      </w:r>
    </w:p>
    <w:tbl>
      <w:tblPr>
        <w:tblW w:type="dxa" w:w="9026"/>
        <w:tblBorders>
          <w:top w:val="nil"/>
          <w:left w:val="nil"/>
          <w:bottom w:val="nil"/>
          <w:right w:val="nil"/>
          <w:insideH w:val="nil"/>
          <w:insideV w:val="nil"/>
        </w:tblBorders>
      </w:tblPr>
      <w:tblGrid>
        <w:gridCol w:w="2083"/>
        <w:gridCol w:w="6943"/>
      </w:tblGrid>
      <w:tr>
        <w:trPr>
          <w:tblHeader/>
        </w:trPr>
        <w:tc>
          <w:tcPr>
            <w:tcW w:type="dxa" w:w="208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Element</w:t>
            </w:r>
          </w:p>
        </w:tc>
        <w:tc>
          <w:tcPr>
            <w:tcW w:type="dxa" w:w="694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Delivery</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Purpose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Convert the proposition into a disciplined programme that can be challenged, delivered and adapted.</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Core activity</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Confirm questions, scope and intended users; map stakeholders and existing evidence; establish research ethics, participation principles, data stewardship and the decision framework.</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Specialist moments</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Research design and ethics review; light programme/financial challenge.</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Evidence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Inquiry brief, evidence map, stakeholder map, research protocol and decision criteria.</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Gate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Proceed when the inquiry is coherent, the two place cases are selectable, research burden is proportionate and each later phase has a clear decision to inform.</w:t>
            </w:r>
          </w:p>
        </w:tc>
      </w:tr>
    </w:tbl>
    <w:p>
      <w:pPr>
        <w:pStyle w:val="Heading2"/>
      </w:pPr>
      <w:r>
        <w:t xml:space="preserve">WP2 — People, scenes and place</w:t>
      </w:r>
    </w:p>
    <w:tbl>
      <w:tblPr>
        <w:tblW w:type="dxa" w:w="9026"/>
        <w:tblBorders>
          <w:top w:val="nil"/>
          <w:left w:val="nil"/>
          <w:bottom w:val="nil"/>
          <w:right w:val="nil"/>
          <w:insideH w:val="nil"/>
          <w:insideV w:val="nil"/>
        </w:tblBorders>
      </w:tblPr>
      <w:tblGrid>
        <w:gridCol w:w="2083"/>
        <w:gridCol w:w="6943"/>
      </w:tblGrid>
      <w:tr>
        <w:trPr>
          <w:tblHeader/>
        </w:trPr>
        <w:tc>
          <w:tcPr>
            <w:tcW w:type="dxa" w:w="208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Element</w:t>
            </w:r>
          </w:p>
        </w:tc>
        <w:tc>
          <w:tcPr>
            <w:tcW w:type="dxa" w:w="694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Delivery</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Purpose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Understand how nightlife develops people and how people create the unique cultural life of place.</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Core activity</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Select two contrasting cases; conduct interviews and group conversations; document spaces, relationships, local assets and conditions; connect lived testimony with accessible evidence.</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Scale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Two place cases. Across the full programme: 18–24 substantive conversations and up to 15 paid substantial contributions.</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Specialist moments</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Place/cultural research challenge; facilitation or access support; transcription and synthesis where useful.</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Evidence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Case records, thematic analysis, people/place pathway and reusable place lens.</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Gate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Proceed when evidence is sufficiently contrasting, culturally credible and specific enough to inform value mapping and prototype decisions.</w:t>
            </w:r>
          </w:p>
        </w:tc>
      </w:tr>
    </w:tbl>
    <w:p>
      <w:pPr>
        <w:pStyle w:val="Heading2"/>
      </w:pPr>
      <w:r>
        <w:t xml:space="preserve">WP3 — Follow the value</w:t>
      </w:r>
    </w:p>
    <w:tbl>
      <w:tblPr>
        <w:tblW w:type="dxa" w:w="9026"/>
        <w:tblBorders>
          <w:top w:val="nil"/>
          <w:left w:val="nil"/>
          <w:bottom w:val="nil"/>
          <w:right w:val="nil"/>
          <w:insideH w:val="nil"/>
          <w:insideV w:val="nil"/>
        </w:tblBorders>
      </w:tblPr>
      <w:tblGrid>
        <w:gridCol w:w="2083"/>
        <w:gridCol w:w="6943"/>
      </w:tblGrid>
      <w:tr>
        <w:trPr>
          <w:tblHeader/>
        </w:trPr>
        <w:tc>
          <w:tcPr>
            <w:tcW w:type="dxa" w:w="208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Element</w:t>
            </w:r>
          </w:p>
        </w:tc>
        <w:tc>
          <w:tcPr>
            <w:tcW w:type="dxa" w:w="694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Delivery</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Purpose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Make visible how nightlife value is created, where it travels, who captures it and how more value might return to cultural communities.</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Core activity</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Trace selected value flows; examine power, ownership and reinvestment; connect the place cases with learning from A Ticket to the Future and other relevant examples.</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ATTTF role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A live restorative-economics and governance case that demonstrates the method. UKDF does not fund the WECA-supported CBS establishment or Bristol implementation.</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Specialist moments</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Economic, funding or governance challenge proportionate to the questions selected.</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Evidence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Value-flow maps, hypotheses about leverage and reinvestment, implications for advocates, places and funders.</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Gate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Proceed when the value hypotheses are clear enough to shape the NCVI dimensions and practical user needs.</w:t>
            </w:r>
          </w:p>
        </w:tc>
      </w:tr>
    </w:tbl>
    <w:p>
      <w:pPr>
        <w:pStyle w:val="Heading2"/>
      </w:pPr>
      <w:r>
        <w:t xml:space="preserve">WP4 — Test what helps</w:t>
      </w:r>
    </w:p>
    <w:tbl>
      <w:tblPr>
        <w:tblW w:type="dxa" w:w="9026"/>
        <w:tblBorders>
          <w:top w:val="nil"/>
          <w:left w:val="nil"/>
          <w:bottom w:val="nil"/>
          <w:right w:val="nil"/>
          <w:insideH w:val="nil"/>
          <w:insideV w:val="nil"/>
        </w:tblBorders>
      </w:tblPr>
      <w:tblGrid>
        <w:gridCol w:w="2083"/>
        <w:gridCol w:w="6943"/>
      </w:tblGrid>
      <w:tr>
        <w:trPr>
          <w:tblHeader/>
        </w:trPr>
        <w:tc>
          <w:tcPr>
            <w:tcW w:type="dxa" w:w="208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Element</w:t>
            </w:r>
          </w:p>
        </w:tc>
        <w:tc>
          <w:tcPr>
            <w:tcW w:type="dxa" w:w="694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Delivery</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Purpose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Develop the first testable expression of a shared evidence layer for the cultural life of the night.</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Core activity</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Define intended users and decisions; develop candidate evidence dimensions; map data and ethical questions; build a low-fidelity prototype; test with advocates, places, funders/investors and research or sector users.</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Scale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6–10 intended-user tests, selected for useful challenge rather than statistical representation.</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Specialist moments</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Evidence/measurement design, data ethics, service or information design, and light technical feasibility.</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Evidence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NCVI hypothesis, evidence architecture, prototype, test record, revised user journeys and next-stage technical brief.</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Gate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Choose the next prototype route only when it demonstrates usefulness, legitimacy and a credible path to a larger funded build.</w:t>
            </w:r>
          </w:p>
        </w:tc>
      </w:tr>
    </w:tbl>
    <w:p>
      <w:pPr>
        <w:pStyle w:val="Heading2"/>
      </w:pPr>
      <w:r>
        <w:t xml:space="preserve">WP5 — Build Nightlife Culture</w:t>
      </w:r>
    </w:p>
    <w:tbl>
      <w:tblPr>
        <w:tblW w:type="dxa" w:w="9026"/>
        <w:tblBorders>
          <w:top w:val="nil"/>
          <w:left w:val="nil"/>
          <w:bottom w:val="nil"/>
          <w:right w:val="nil"/>
          <w:insideH w:val="nil"/>
          <w:insideV w:val="nil"/>
        </w:tblBorders>
      </w:tblPr>
      <w:tblGrid>
        <w:gridCol w:w="2083"/>
        <w:gridCol w:w="6943"/>
      </w:tblGrid>
      <w:tr>
        <w:trPr>
          <w:tblHeader/>
        </w:trPr>
        <w:tc>
          <w:tcPr>
            <w:tcW w:type="dxa" w:w="208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Element</w:t>
            </w:r>
          </w:p>
        </w:tc>
        <w:tc>
          <w:tcPr>
            <w:tcW w:type="dxa" w:w="694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Delivery</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Purpose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Establish the institutional shape capable of holding and expanding the method.</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Core activity</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Refine proposition and offer; test partnership principles, governance and quality safeguards; develop income architecture; map capabilities and partners required for the next phase.</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Business shape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Paid consultancy; funded research; sector platform built through partners contributing access, data, convening power and urgency.</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Specialist moments</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Institutional, legal/governance, commercial and funding challenge as questions mature.</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Evidence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Institutional proposition, partnership framework, income pathways, capability map and next-stage coalition route.</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Gate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Proceed when the institution can be described clearly, carries the founder’s method, protects cultural legitimacy and has credible routes beyond one person.</w:t>
            </w:r>
          </w:p>
        </w:tc>
      </w:tr>
    </w:tbl>
    <w:p>
      <w:pPr>
        <w:pStyle w:val="Heading2"/>
      </w:pPr>
      <w:r>
        <w:t xml:space="preserve">WP6 — Integrate and mobilise</w:t>
      </w:r>
    </w:p>
    <w:tbl>
      <w:tblPr>
        <w:tblW w:type="dxa" w:w="9026"/>
        <w:tblBorders>
          <w:top w:val="nil"/>
          <w:left w:val="nil"/>
          <w:bottom w:val="nil"/>
          <w:right w:val="nil"/>
          <w:insideH w:val="nil"/>
          <w:insideV w:val="nil"/>
        </w:tblBorders>
      </w:tblPr>
      <w:tblGrid>
        <w:gridCol w:w="2083"/>
        <w:gridCol w:w="6943"/>
      </w:tblGrid>
      <w:tr>
        <w:trPr>
          <w:tblHeader/>
        </w:trPr>
        <w:tc>
          <w:tcPr>
            <w:tcW w:type="dxa" w:w="208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Element</w:t>
            </w:r>
          </w:p>
        </w:tc>
        <w:tc>
          <w:tcPr>
            <w:tcW w:type="dxa" w:w="694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Delivery</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Purpose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Turn fellowship learning into a proposition that others can understand, use, back and develop.</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Core activity</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Synthesis; field argument; method refinement; application and partner materials; next-phase scope, cost bands, dependencies and funding routes; selected public and stakeholder sharing.</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Specialist moments</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Editorial, design and strategic challenge; targeted technical costing for the next phase.</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Evidence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Field-backed argument, tested method, investable institution, fundable next phase and mobilisation package.</w:t>
            </w:r>
          </w:p>
        </w:tc>
      </w:tr>
      <w:tr>
        <w:trPr>
          <w:tblHeader w:val="false"/>
        </w:trPr>
        <w:tc>
          <w:tcPr>
            <w:tcW w:type="dxa" w:w="2083"/>
            <w:tcBorders>
              <w:top w:val="nil"/>
              <w:left w:val="nil"/>
              <w:bottom w:val="single" w:color="C9C9C9" w:sz="4"/>
              <w:right w:val="nil"/>
            </w:tcBorders>
            <w:tcMar>
              <w:top w:type="dxa" w:w="60"/>
              <w:left w:type="dxa" w:w="0"/>
              <w:bottom w:type="dxa" w:w="60"/>
              <w:right w:type="dxa" w:w="140"/>
            </w:tcMar>
          </w:tcPr>
          <w:p>
            <w:pPr>
              <w:pStyle w:val="TableBody"/>
            </w:pPr>
            <w:r>
              <w:t xml:space="preserve">Gate</w:t>
            </w:r>
          </w:p>
        </w:tc>
        <w:tc>
          <w:tcPr>
            <w:tcW w:type="dxa" w:w="6943"/>
            <w:tcBorders>
              <w:top w:val="nil"/>
              <w:left w:val="nil"/>
              <w:bottom w:val="single" w:color="C9C9C9" w:sz="4"/>
              <w:right w:val="nil"/>
            </w:tcBorders>
            <w:tcMar>
              <w:top w:type="dxa" w:w="60"/>
              <w:left w:type="dxa" w:w="0"/>
              <w:bottom w:type="dxa" w:w="60"/>
              <w:right w:type="dxa" w:w="140"/>
            </w:tcMar>
          </w:tcPr>
          <w:p>
            <w:pPr>
              <w:pStyle w:val="TableBody"/>
            </w:pPr>
            <w:r>
              <w:t xml:space="preserve">Close when claims are traceable to evidence, intended users recognise value, future scope is honestly costed and the next decision-makers are identified.</w:t>
            </w:r>
          </w:p>
        </w:tc>
      </w:tr>
    </w:tbl>
    <w:p>
      <w:pPr>
        <w:pStyle w:val="Heading1"/>
      </w:pPr>
      <w:r>
        <w:t xml:space="preserve">07  Timeline and feasibility</w:t>
      </w:r>
    </w:p>
    <w:p>
      <w:pPr>
        <w:sectPr>
          <w:footerReference w:type="default" r:id="rId7"/>
          <w:pgSz w:w="11906" w:h="16838" w:orient="portrait"/>
          <w:pgMar w:top="1250" w:right="1250" w:bottom="1250" w:left="1250" w:header="708" w:footer="708" w:gutter="0"/>
          <w:pgNumType/>
          <w:docGrid w:linePitch="360"/>
        </w:sectPr>
      </w:pPr>
    </w:p>
    <w:tbl>
      <w:tblPr>
        <w:tblW w:type="dxa" w:w="13300"/>
        <w:tblBorders>
          <w:top w:val="nil"/>
          <w:left w:val="nil"/>
          <w:bottom w:val="nil"/>
          <w:right w:val="nil"/>
          <w:insideH w:val="nil"/>
          <w:insideV w:val="nil"/>
        </w:tblBorders>
      </w:tblPr>
      <w:tblGrid>
        <w:gridCol w:w="1085"/>
        <w:gridCol w:w="1006"/>
        <w:gridCol w:w="1006"/>
        <w:gridCol w:w="1006"/>
        <w:gridCol w:w="1006"/>
        <w:gridCol w:w="1006"/>
        <w:gridCol w:w="1006"/>
        <w:gridCol w:w="1006"/>
        <w:gridCol w:w="1006"/>
        <w:gridCol w:w="1006"/>
        <w:gridCol w:w="1006"/>
        <w:gridCol w:w="1006"/>
        <w:gridCol w:w="1149"/>
      </w:tblGrid>
      <w:tr>
        <w:trPr>
          <w:tblHeader/>
        </w:trPr>
        <w:tc>
          <w:tcPr>
            <w:tcW w:type="dxa" w:w="1085"/>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Phase</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M1</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M2</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M3</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M4</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M5</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M6</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M7</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M8</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M9</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M10</w:t>
            </w:r>
          </w:p>
        </w:tc>
        <w:tc>
          <w:tcPr>
            <w:tcW w:type="dxa" w:w="10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M11</w:t>
            </w:r>
          </w:p>
        </w:tc>
        <w:tc>
          <w:tcPr>
            <w:tcW w:type="dxa" w:w="1149"/>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M12</w:t>
            </w:r>
          </w:p>
        </w:tc>
      </w:tr>
      <w:tr>
        <w:trPr>
          <w:tblHeader w:val="false"/>
        </w:trPr>
        <w:tc>
          <w:tcPr>
            <w:tcW w:type="dxa" w:w="1085"/>
            <w:tcBorders>
              <w:top w:val="nil"/>
              <w:left w:val="nil"/>
              <w:bottom w:val="single" w:color="C9C9C9" w:sz="4"/>
              <w:right w:val="nil"/>
            </w:tcBorders>
            <w:tcMar>
              <w:top w:type="dxa" w:w="60"/>
              <w:left w:type="dxa" w:w="0"/>
              <w:bottom w:type="dxa" w:w="60"/>
              <w:right w:type="dxa" w:w="140"/>
            </w:tcMar>
          </w:tcPr>
          <w:p>
            <w:pPr>
              <w:pStyle w:val="TableBody"/>
            </w:pPr>
            <w:r>
              <w:t xml:space="preserve">WP1</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149"/>
            <w:tcBorders>
              <w:top w:val="nil"/>
              <w:left w:val="nil"/>
              <w:bottom w:val="single" w:color="C9C9C9" w:sz="4"/>
              <w:right w:val="nil"/>
            </w:tcBorders>
            <w:tcMar>
              <w:top w:type="dxa" w:w="60"/>
              <w:left w:type="dxa" w:w="0"/>
              <w:bottom w:type="dxa" w:w="60"/>
              <w:right w:type="dxa" w:w="140"/>
            </w:tcMar>
          </w:tcPr>
          <w:p>
            <w:pPr>
              <w:pStyle w:val="TableBody"/>
            </w:pPr>
            <w:r>
              <w:t xml:space="preserve"/>
            </w:r>
          </w:p>
        </w:tc>
      </w:tr>
      <w:tr>
        <w:trPr>
          <w:tblHeader w:val="false"/>
        </w:trPr>
        <w:tc>
          <w:tcPr>
            <w:tcW w:type="dxa" w:w="1085"/>
            <w:tcBorders>
              <w:top w:val="nil"/>
              <w:left w:val="nil"/>
              <w:bottom w:val="single" w:color="C9C9C9" w:sz="4"/>
              <w:right w:val="nil"/>
            </w:tcBorders>
            <w:tcMar>
              <w:top w:type="dxa" w:w="60"/>
              <w:left w:type="dxa" w:w="0"/>
              <w:bottom w:type="dxa" w:w="60"/>
              <w:right w:type="dxa" w:w="140"/>
            </w:tcMar>
          </w:tcPr>
          <w:p>
            <w:pPr>
              <w:pStyle w:val="TableBody"/>
            </w:pPr>
            <w:r>
              <w:t xml:space="preserve">WP2</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149"/>
            <w:tcBorders>
              <w:top w:val="nil"/>
              <w:left w:val="nil"/>
              <w:bottom w:val="single" w:color="C9C9C9" w:sz="4"/>
              <w:right w:val="nil"/>
            </w:tcBorders>
            <w:tcMar>
              <w:top w:type="dxa" w:w="60"/>
              <w:left w:type="dxa" w:w="0"/>
              <w:bottom w:type="dxa" w:w="60"/>
              <w:right w:type="dxa" w:w="140"/>
            </w:tcMar>
          </w:tcPr>
          <w:p>
            <w:pPr>
              <w:pStyle w:val="TableBody"/>
            </w:pPr>
            <w:r>
              <w:t xml:space="preserve"/>
            </w:r>
          </w:p>
        </w:tc>
      </w:tr>
      <w:tr>
        <w:trPr>
          <w:tblHeader w:val="false"/>
        </w:trPr>
        <w:tc>
          <w:tcPr>
            <w:tcW w:type="dxa" w:w="1085"/>
            <w:tcBorders>
              <w:top w:val="nil"/>
              <w:left w:val="nil"/>
              <w:bottom w:val="single" w:color="C9C9C9" w:sz="4"/>
              <w:right w:val="nil"/>
            </w:tcBorders>
            <w:tcMar>
              <w:top w:type="dxa" w:w="60"/>
              <w:left w:type="dxa" w:w="0"/>
              <w:bottom w:type="dxa" w:w="60"/>
              <w:right w:type="dxa" w:w="140"/>
            </w:tcMar>
          </w:tcPr>
          <w:p>
            <w:pPr>
              <w:pStyle w:val="TableBody"/>
            </w:pPr>
            <w:r>
              <w:t xml:space="preserve">WP3</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149"/>
            <w:tcBorders>
              <w:top w:val="nil"/>
              <w:left w:val="nil"/>
              <w:bottom w:val="single" w:color="C9C9C9" w:sz="4"/>
              <w:right w:val="nil"/>
            </w:tcBorders>
            <w:tcMar>
              <w:top w:type="dxa" w:w="60"/>
              <w:left w:type="dxa" w:w="0"/>
              <w:bottom w:type="dxa" w:w="60"/>
              <w:right w:type="dxa" w:w="140"/>
            </w:tcMar>
          </w:tcPr>
          <w:p>
            <w:pPr>
              <w:pStyle w:val="TableBody"/>
            </w:pPr>
            <w:r>
              <w:t xml:space="preserve"/>
            </w:r>
          </w:p>
        </w:tc>
      </w:tr>
      <w:tr>
        <w:trPr>
          <w:tblHeader w:val="false"/>
        </w:trPr>
        <w:tc>
          <w:tcPr>
            <w:tcW w:type="dxa" w:w="1085"/>
            <w:tcBorders>
              <w:top w:val="nil"/>
              <w:left w:val="nil"/>
              <w:bottom w:val="single" w:color="C9C9C9" w:sz="4"/>
              <w:right w:val="nil"/>
            </w:tcBorders>
            <w:tcMar>
              <w:top w:type="dxa" w:w="60"/>
              <w:left w:type="dxa" w:w="0"/>
              <w:bottom w:type="dxa" w:w="60"/>
              <w:right w:type="dxa" w:w="140"/>
            </w:tcMar>
          </w:tcPr>
          <w:p>
            <w:pPr>
              <w:pStyle w:val="TableBody"/>
            </w:pPr>
            <w:r>
              <w:t xml:space="preserve">WP4</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149"/>
            <w:tcBorders>
              <w:top w:val="nil"/>
              <w:left w:val="nil"/>
              <w:bottom w:val="single" w:color="C9C9C9" w:sz="4"/>
              <w:right w:val="nil"/>
            </w:tcBorders>
            <w:tcMar>
              <w:top w:type="dxa" w:w="60"/>
              <w:left w:type="dxa" w:w="0"/>
              <w:bottom w:type="dxa" w:w="60"/>
              <w:right w:type="dxa" w:w="140"/>
            </w:tcMar>
          </w:tcPr>
          <w:p>
            <w:pPr>
              <w:pStyle w:val="TableBody"/>
            </w:pPr>
            <w:r>
              <w:t xml:space="preserve"/>
            </w:r>
          </w:p>
        </w:tc>
      </w:tr>
      <w:tr>
        <w:trPr>
          <w:tblHeader w:val="false"/>
        </w:trPr>
        <w:tc>
          <w:tcPr>
            <w:tcW w:type="dxa" w:w="1085"/>
            <w:tcBorders>
              <w:top w:val="nil"/>
              <w:left w:val="nil"/>
              <w:bottom w:val="single" w:color="C9C9C9" w:sz="4"/>
              <w:right w:val="nil"/>
            </w:tcBorders>
            <w:tcMar>
              <w:top w:type="dxa" w:w="60"/>
              <w:left w:type="dxa" w:w="0"/>
              <w:bottom w:type="dxa" w:w="60"/>
              <w:right w:type="dxa" w:w="140"/>
            </w:tcMar>
          </w:tcPr>
          <w:p>
            <w:pPr>
              <w:pStyle w:val="TableBody"/>
            </w:pPr>
            <w:r>
              <w:t xml:space="preserve">WP5</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149"/>
            <w:tcBorders>
              <w:top w:val="nil"/>
              <w:left w:val="nil"/>
              <w:bottom w:val="single" w:color="C9C9C9" w:sz="4"/>
              <w:right w:val="nil"/>
            </w:tcBorders>
            <w:tcMar>
              <w:top w:type="dxa" w:w="60"/>
              <w:left w:type="dxa" w:w="0"/>
              <w:bottom w:type="dxa" w:w="60"/>
              <w:right w:type="dxa" w:w="140"/>
            </w:tcMar>
          </w:tcPr>
          <w:p>
            <w:pPr>
              <w:pStyle w:val="TableBody"/>
            </w:pPr>
            <w:r>
              <w:t xml:space="preserve"/>
            </w:r>
          </w:p>
        </w:tc>
      </w:tr>
      <w:tr>
        <w:trPr>
          <w:tblHeader w:val="false"/>
        </w:trPr>
        <w:tc>
          <w:tcPr>
            <w:tcW w:type="dxa" w:w="1085"/>
            <w:tcBorders>
              <w:top w:val="nil"/>
              <w:left w:val="nil"/>
              <w:bottom w:val="single" w:color="C9C9C9" w:sz="4"/>
              <w:right w:val="nil"/>
            </w:tcBorders>
            <w:tcMar>
              <w:top w:type="dxa" w:w="60"/>
              <w:left w:type="dxa" w:w="0"/>
              <w:bottom w:type="dxa" w:w="60"/>
              <w:right w:type="dxa" w:w="140"/>
            </w:tcMar>
          </w:tcPr>
          <w:p>
            <w:pPr>
              <w:pStyle w:val="TableBody"/>
            </w:pPr>
            <w:r>
              <w:t xml:space="preserve">WP6</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149"/>
            <w:tcBorders>
              <w:top w:val="nil"/>
              <w:left w:val="nil"/>
              <w:bottom w:val="single" w:color="C9C9C9" w:sz="4"/>
              <w:right w:val="nil"/>
            </w:tcBorders>
            <w:tcMar>
              <w:top w:type="dxa" w:w="60"/>
              <w:left w:type="dxa" w:w="0"/>
              <w:bottom w:type="dxa" w:w="60"/>
              <w:right w:type="dxa" w:w="140"/>
            </w:tcMar>
          </w:tcPr>
          <w:p>
            <w:pPr>
              <w:pStyle w:val="TableBody"/>
            </w:pPr>
            <w:r>
              <w:t xml:space="preserve">●</w:t>
            </w:r>
          </w:p>
        </w:tc>
      </w:tr>
      <w:tr>
        <w:trPr>
          <w:tblHeader w:val="false"/>
        </w:trPr>
        <w:tc>
          <w:tcPr>
            <w:tcW w:type="dxa" w:w="1085"/>
            <w:tcBorders>
              <w:top w:val="nil"/>
              <w:left w:val="nil"/>
              <w:bottom w:val="single" w:color="C9C9C9" w:sz="4"/>
              <w:right w:val="nil"/>
            </w:tcBorders>
            <w:tcMar>
              <w:top w:type="dxa" w:w="60"/>
              <w:left w:type="dxa" w:w="0"/>
              <w:bottom w:type="dxa" w:w="60"/>
              <w:right w:type="dxa" w:w="140"/>
            </w:tcMar>
          </w:tcPr>
          <w:p>
            <w:pPr>
              <w:pStyle w:val="TableBody"/>
            </w:pPr>
            <w:r>
              <w:t xml:space="preserve">Stewardship</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006"/>
            <w:tcBorders>
              <w:top w:val="nil"/>
              <w:left w:val="nil"/>
              <w:bottom w:val="single" w:color="C9C9C9" w:sz="4"/>
              <w:right w:val="nil"/>
            </w:tcBorders>
            <w:tcMar>
              <w:top w:type="dxa" w:w="60"/>
              <w:left w:type="dxa" w:w="0"/>
              <w:bottom w:type="dxa" w:w="60"/>
              <w:right w:type="dxa" w:w="140"/>
            </w:tcMar>
          </w:tcPr>
          <w:p>
            <w:pPr>
              <w:pStyle w:val="TableBody"/>
            </w:pPr>
            <w:r>
              <w:t xml:space="preserve">●</w:t>
            </w:r>
          </w:p>
        </w:tc>
        <w:tc>
          <w:tcPr>
            <w:tcW w:type="dxa" w:w="1149"/>
            <w:tcBorders>
              <w:top w:val="nil"/>
              <w:left w:val="nil"/>
              <w:bottom w:val="single" w:color="C9C9C9" w:sz="4"/>
              <w:right w:val="nil"/>
            </w:tcBorders>
            <w:tcMar>
              <w:top w:type="dxa" w:w="60"/>
              <w:left w:type="dxa" w:w="0"/>
              <w:bottom w:type="dxa" w:w="60"/>
              <w:right w:type="dxa" w:w="140"/>
            </w:tcMar>
          </w:tcPr>
          <w:p>
            <w:pPr>
              <w:pStyle w:val="TableBody"/>
            </w:pPr>
            <w:r>
              <w:t xml:space="preserve">●</w:t>
            </w:r>
          </w:p>
        </w:tc>
      </w:tr>
    </w:tbl>
    <w:p>
      <w:pPr>
        <w:sectPr>
          <w:footerReference w:type="default" r:id="rId8"/>
          <w:pgSz w:w="16838" w:h="11906" w:orient="landscape"/>
          <w:pgMar w:top="1250" w:right="1250" w:bottom="1250" w:left="1250" w:header="708" w:footer="708" w:gutter="0"/>
          <w:pgNumType/>
          <w:docGrid w:linePitch="360"/>
        </w:sectPr>
      </w:pPr>
    </w:p>
    <w:p>
      <w:pPr>
        <w:pStyle w:val="ListParagraph"/>
        <w:numPr>
          <w:ilvl w:val="0"/>
          <w:numId w:val="2"/>
        </w:numPr>
      </w:pPr>
      <w:r>
        <w:rPr>
          <w:b/>
          <w:bCs/>
        </w:rPr>
        <w:t xml:space="preserve">First six months: </w:t>
      </w:r>
      <w:r>
        <w:t xml:space="preserve">A Ticket to the Future/WECA is planned at three days per week. UKDF work is protected across the remaining working week, with carefully scheduled fieldwork and specialist support.</w:t>
      </w:r>
    </w:p>
    <w:p>
      <w:pPr>
        <w:pStyle w:val="ListParagraph"/>
        <w:numPr>
          <w:ilvl w:val="0"/>
          <w:numId w:val="2"/>
        </w:numPr>
      </w:pPr>
      <w:r>
        <w:rPr>
          <w:b/>
          <w:bCs/>
        </w:rPr>
        <w:t xml:space="preserve">Months 7–12: </w:t>
      </w:r>
      <w:r>
        <w:t xml:space="preserve">UKDF capacity can intensify as prototype, synthesis and institution-building develop.</w:t>
      </w:r>
    </w:p>
    <w:p>
      <w:pPr>
        <w:pStyle w:val="ListParagraph"/>
        <w:numPr>
          <w:ilvl w:val="0"/>
          <w:numId w:val="2"/>
        </w:numPr>
      </w:pPr>
      <w:r>
        <w:rPr>
          <w:b/>
          <w:bCs/>
        </w:rPr>
        <w:t xml:space="preserve">Overlap is intentional: </w:t>
      </w:r>
      <w:r>
        <w:t xml:space="preserve">later phases begin only when enough earlier evidence exists, while synthesis and decision recording happen throughout.</w:t>
      </w:r>
    </w:p>
    <w:p>
      <w:pPr>
        <w:pStyle w:val="ListParagraph"/>
        <w:numPr>
          <w:ilvl w:val="0"/>
          <w:numId w:val="2"/>
        </w:numPr>
      </w:pPr>
      <w:r>
        <w:rPr>
          <w:b/>
          <w:bCs/>
        </w:rPr>
        <w:t xml:space="preserve">52 days is an internal test: </w:t>
      </w:r>
      <w:r>
        <w:t xml:space="preserve">it demonstrates that a credible founder-capacity profile can fit the period. Phase outcomes govern delivery, and the resource can flex between Carly’s time, specialist expertise and direct costs.</w:t>
      </w:r>
    </w:p>
    <w:p>
      <w:pPr>
        <w:pStyle w:val="Heading1"/>
      </w:pPr>
      <w:r>
        <w:t xml:space="preserve">08  Resource and budget</w:t>
      </w:r>
    </w:p>
    <w:tbl>
      <w:tblPr>
        <w:tblW w:type="dxa" w:w="9026"/>
        <w:tblBorders>
          <w:top w:val="nil"/>
          <w:left w:val="single" w:color="0000FF" w:sz="36"/>
          <w:bottom w:val="nil"/>
          <w:right w:val="nil"/>
          <w:insideH w:val="nil"/>
          <w:insideV w:val="nil"/>
        </w:tblBorders>
      </w:tblPr>
      <w:tblGrid>
        <w:gridCol w:w="9026"/>
      </w:tblGrid>
      <w:tr>
        <w:tc>
          <w:tcPr>
            <w:tcW w:type="dxa" w:w="9026"/>
            <w:shd w:fill="F3F3F3" w:val="clear"/>
            <w:tcMar>
              <w:top w:type="dxa" w:w="200"/>
              <w:left w:type="dxa" w:w="260"/>
              <w:bottom w:type="dxa" w:w="140"/>
              <w:right w:type="dxa" w:w="260"/>
            </w:tcMar>
          </w:tcPr>
          <w:p>
            <w:pPr>
              <w:pStyle w:val="NCPanelHead"/>
            </w:pPr>
            <w:r>
              <w:rPr>
                <w:b/>
                <w:bCs/>
              </w:rPr>
              <w:t xml:space="preserve">One flexible £50,000 programme resource</w:t>
            </w:r>
          </w:p>
          <w:p>
            <w:r>
              <w:t xml:space="preserve">UKDF creates Carly’s capacity to lead the fellowship and allows Nightlife Culture to invest in specialist expertise, participation, access and direct delivery according to phase need. The draft phase envelopes support stewardship and can move at decision gates as the evidence develops.</w:t>
            </w:r>
          </w:p>
        </w:tc>
      </w:tr>
    </w:tbl>
    <w:tbl>
      <w:tblPr>
        <w:tblW w:type="dxa" w:w="9026"/>
        <w:tblBorders>
          <w:top w:val="nil"/>
          <w:left w:val="nil"/>
          <w:bottom w:val="nil"/>
          <w:right w:val="nil"/>
          <w:insideH w:val="nil"/>
          <w:insideV w:val="nil"/>
        </w:tblBorders>
      </w:tblPr>
      <w:tblGrid>
        <w:gridCol w:w="2735"/>
        <w:gridCol w:w="1150"/>
        <w:gridCol w:w="5141"/>
      </w:tblGrid>
      <w:tr>
        <w:trPr>
          <w:tblHeader/>
        </w:trPr>
        <w:tc>
          <w:tcPr>
            <w:tcW w:type="dxa" w:w="2735"/>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Phase</w:t>
            </w:r>
          </w:p>
        </w:tc>
        <w:tc>
          <w:tcPr>
            <w:tcW w:type="dxa" w:w="1150"/>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Envelope</w:t>
            </w:r>
          </w:p>
        </w:tc>
        <w:tc>
          <w:tcPr>
            <w:tcW w:type="dxa" w:w="5141"/>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What it needs to make possible</w:t>
            </w:r>
          </w:p>
        </w:tc>
      </w:tr>
      <w:tr>
        <w:trPr>
          <w:tblHeader w:val="false"/>
        </w:trPr>
        <w:tc>
          <w:tcPr>
            <w:tcW w:type="dxa" w:w="2735"/>
            <w:tcBorders>
              <w:top w:val="nil"/>
              <w:left w:val="nil"/>
              <w:bottom w:val="single" w:color="C9C9C9" w:sz="4"/>
              <w:right w:val="nil"/>
            </w:tcBorders>
            <w:tcMar>
              <w:top w:type="dxa" w:w="60"/>
              <w:left w:type="dxa" w:w="0"/>
              <w:bottom w:type="dxa" w:w="60"/>
              <w:right w:type="dxa" w:w="140"/>
            </w:tcMar>
          </w:tcPr>
          <w:p>
            <w:pPr>
              <w:pStyle w:val="TableBody"/>
            </w:pPr>
            <w:r>
              <w:t xml:space="preserve">WP1 — Frame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£6,000</w:t>
            </w:r>
          </w:p>
        </w:tc>
        <w:tc>
          <w:tcPr>
            <w:tcW w:type="dxa" w:w="5141"/>
            <w:tcBorders>
              <w:top w:val="nil"/>
              <w:left w:val="nil"/>
              <w:bottom w:val="single" w:color="C9C9C9" w:sz="4"/>
              <w:right w:val="nil"/>
            </w:tcBorders>
            <w:tcMar>
              <w:top w:type="dxa" w:w="60"/>
              <w:left w:type="dxa" w:w="0"/>
              <w:bottom w:type="dxa" w:w="60"/>
              <w:right w:type="dxa" w:w="140"/>
            </w:tcMar>
          </w:tcPr>
          <w:p>
            <w:pPr>
              <w:pStyle w:val="TableBody"/>
            </w:pPr>
            <w:r>
              <w:t xml:space="preserve">Founder capacity; research-design and ethics challenge; evidence and stakeholder mapping; programme setup.</w:t>
            </w:r>
          </w:p>
        </w:tc>
      </w:tr>
      <w:tr>
        <w:trPr>
          <w:tblHeader w:val="false"/>
        </w:trPr>
        <w:tc>
          <w:tcPr>
            <w:tcW w:type="dxa" w:w="2735"/>
            <w:tcBorders>
              <w:top w:val="nil"/>
              <w:left w:val="nil"/>
              <w:bottom w:val="single" w:color="C9C9C9" w:sz="4"/>
              <w:right w:val="nil"/>
            </w:tcBorders>
            <w:tcMar>
              <w:top w:type="dxa" w:w="60"/>
              <w:left w:type="dxa" w:w="0"/>
              <w:bottom w:type="dxa" w:w="60"/>
              <w:right w:type="dxa" w:w="140"/>
            </w:tcMar>
          </w:tcPr>
          <w:p>
            <w:pPr>
              <w:pStyle w:val="TableBody"/>
            </w:pPr>
            <w:r>
              <w:t xml:space="preserve">WP2 — People, scenes and place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£9,000</w:t>
            </w:r>
          </w:p>
        </w:tc>
        <w:tc>
          <w:tcPr>
            <w:tcW w:type="dxa" w:w="5141"/>
            <w:tcBorders>
              <w:top w:val="nil"/>
              <w:left w:val="nil"/>
              <w:bottom w:val="single" w:color="C9C9C9" w:sz="4"/>
              <w:right w:val="nil"/>
            </w:tcBorders>
            <w:tcMar>
              <w:top w:type="dxa" w:w="60"/>
              <w:left w:type="dxa" w:w="0"/>
              <w:bottom w:type="dxa" w:w="60"/>
              <w:right w:type="dxa" w:w="140"/>
            </w:tcMar>
          </w:tcPr>
          <w:p>
            <w:pPr>
              <w:pStyle w:val="TableBody"/>
            </w:pPr>
            <w:r>
              <w:t xml:space="preserve">Founder fieldwork and synthesis; participant contributions; access, travel, facilitation and selected research support.</w:t>
            </w:r>
          </w:p>
        </w:tc>
      </w:tr>
      <w:tr>
        <w:trPr>
          <w:tblHeader w:val="false"/>
        </w:trPr>
        <w:tc>
          <w:tcPr>
            <w:tcW w:type="dxa" w:w="2735"/>
            <w:tcBorders>
              <w:top w:val="nil"/>
              <w:left w:val="nil"/>
              <w:bottom w:val="single" w:color="C9C9C9" w:sz="4"/>
              <w:right w:val="nil"/>
            </w:tcBorders>
            <w:tcMar>
              <w:top w:type="dxa" w:w="60"/>
              <w:left w:type="dxa" w:w="0"/>
              <w:bottom w:type="dxa" w:w="60"/>
              <w:right w:type="dxa" w:w="140"/>
            </w:tcMar>
          </w:tcPr>
          <w:p>
            <w:pPr>
              <w:pStyle w:val="TableBody"/>
            </w:pPr>
            <w:r>
              <w:t xml:space="preserve">WP3 — Follow the value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£8,000</w:t>
            </w:r>
          </w:p>
        </w:tc>
        <w:tc>
          <w:tcPr>
            <w:tcW w:type="dxa" w:w="5141"/>
            <w:tcBorders>
              <w:top w:val="nil"/>
              <w:left w:val="nil"/>
              <w:bottom w:val="single" w:color="C9C9C9" w:sz="4"/>
              <w:right w:val="nil"/>
            </w:tcBorders>
            <w:tcMar>
              <w:top w:type="dxa" w:w="60"/>
              <w:left w:type="dxa" w:w="0"/>
              <w:bottom w:type="dxa" w:w="60"/>
              <w:right w:type="dxa" w:w="140"/>
            </w:tcMar>
          </w:tcPr>
          <w:p>
            <w:pPr>
              <w:pStyle w:val="TableBody"/>
            </w:pPr>
            <w:r>
              <w:t xml:space="preserve">Founder inquiry and synthesis; economic, funding or governance challenge; value-flow development.</w:t>
            </w:r>
          </w:p>
        </w:tc>
      </w:tr>
      <w:tr>
        <w:trPr>
          <w:tblHeader w:val="false"/>
        </w:trPr>
        <w:tc>
          <w:tcPr>
            <w:tcW w:type="dxa" w:w="2735"/>
            <w:tcBorders>
              <w:top w:val="nil"/>
              <w:left w:val="nil"/>
              <w:bottom w:val="single" w:color="C9C9C9" w:sz="4"/>
              <w:right w:val="nil"/>
            </w:tcBorders>
            <w:tcMar>
              <w:top w:type="dxa" w:w="60"/>
              <w:left w:type="dxa" w:w="0"/>
              <w:bottom w:type="dxa" w:w="60"/>
              <w:right w:type="dxa" w:w="140"/>
            </w:tcMar>
          </w:tcPr>
          <w:p>
            <w:pPr>
              <w:pStyle w:val="TableBody"/>
            </w:pPr>
            <w:r>
              <w:t xml:space="preserve">WP4 — Test what helps</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£11,000</w:t>
            </w:r>
          </w:p>
        </w:tc>
        <w:tc>
          <w:tcPr>
            <w:tcW w:type="dxa" w:w="5141"/>
            <w:tcBorders>
              <w:top w:val="nil"/>
              <w:left w:val="nil"/>
              <w:bottom w:val="single" w:color="C9C9C9" w:sz="4"/>
              <w:right w:val="nil"/>
            </w:tcBorders>
            <w:tcMar>
              <w:top w:type="dxa" w:w="60"/>
              <w:left w:type="dxa" w:w="0"/>
              <w:bottom w:type="dxa" w:w="60"/>
              <w:right w:type="dxa" w:w="140"/>
            </w:tcMar>
          </w:tcPr>
          <w:p>
            <w:pPr>
              <w:pStyle w:val="TableBody"/>
            </w:pPr>
            <w:r>
              <w:t xml:space="preserve">Founder product/evidence leadership; measurement, data-ethics, design and technical expertise; prototype and user testing.</w:t>
            </w:r>
          </w:p>
        </w:tc>
      </w:tr>
      <w:tr>
        <w:trPr>
          <w:tblHeader w:val="false"/>
        </w:trPr>
        <w:tc>
          <w:tcPr>
            <w:tcW w:type="dxa" w:w="2735"/>
            <w:tcBorders>
              <w:top w:val="nil"/>
              <w:left w:val="nil"/>
              <w:bottom w:val="single" w:color="C9C9C9" w:sz="4"/>
              <w:right w:val="nil"/>
            </w:tcBorders>
            <w:tcMar>
              <w:top w:type="dxa" w:w="60"/>
              <w:left w:type="dxa" w:w="0"/>
              <w:bottom w:type="dxa" w:w="60"/>
              <w:right w:type="dxa" w:w="140"/>
            </w:tcMar>
          </w:tcPr>
          <w:p>
            <w:pPr>
              <w:pStyle w:val="TableBody"/>
            </w:pPr>
            <w:r>
              <w:t xml:space="preserve">WP5 — Build Nightlife Culture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£7,000</w:t>
            </w:r>
          </w:p>
        </w:tc>
        <w:tc>
          <w:tcPr>
            <w:tcW w:type="dxa" w:w="5141"/>
            <w:tcBorders>
              <w:top w:val="nil"/>
              <w:left w:val="nil"/>
              <w:bottom w:val="single" w:color="C9C9C9" w:sz="4"/>
              <w:right w:val="nil"/>
            </w:tcBorders>
            <w:tcMar>
              <w:top w:type="dxa" w:w="60"/>
              <w:left w:type="dxa" w:w="0"/>
              <w:bottom w:type="dxa" w:w="60"/>
              <w:right w:type="dxa" w:w="140"/>
            </w:tcMar>
          </w:tcPr>
          <w:p>
            <w:pPr>
              <w:pStyle w:val="TableBody"/>
            </w:pPr>
            <w:r>
              <w:t xml:space="preserve">Founder institutional design; governance, commercial and funding challenge; partnership development.</w:t>
            </w:r>
          </w:p>
        </w:tc>
      </w:tr>
      <w:tr>
        <w:trPr>
          <w:tblHeader w:val="false"/>
        </w:trPr>
        <w:tc>
          <w:tcPr>
            <w:tcW w:type="dxa" w:w="2735"/>
            <w:tcBorders>
              <w:top w:val="nil"/>
              <w:left w:val="nil"/>
              <w:bottom w:val="single" w:color="C9C9C9" w:sz="4"/>
              <w:right w:val="nil"/>
            </w:tcBorders>
            <w:tcMar>
              <w:top w:type="dxa" w:w="60"/>
              <w:left w:type="dxa" w:w="0"/>
              <w:bottom w:type="dxa" w:w="60"/>
              <w:right w:type="dxa" w:w="140"/>
            </w:tcMar>
          </w:tcPr>
          <w:p>
            <w:pPr>
              <w:pStyle w:val="TableBody"/>
            </w:pPr>
            <w:r>
              <w:t xml:space="preserve">WP6 — Integrate and mobilise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£6,000</w:t>
            </w:r>
          </w:p>
        </w:tc>
        <w:tc>
          <w:tcPr>
            <w:tcW w:type="dxa" w:w="5141"/>
            <w:tcBorders>
              <w:top w:val="nil"/>
              <w:left w:val="nil"/>
              <w:bottom w:val="single" w:color="C9C9C9" w:sz="4"/>
              <w:right w:val="nil"/>
            </w:tcBorders>
            <w:tcMar>
              <w:top w:type="dxa" w:w="60"/>
              <w:left w:type="dxa" w:w="0"/>
              <w:bottom w:type="dxa" w:w="60"/>
              <w:right w:type="dxa" w:w="140"/>
            </w:tcMar>
          </w:tcPr>
          <w:p>
            <w:pPr>
              <w:pStyle w:val="TableBody"/>
            </w:pPr>
            <w:r>
              <w:t xml:space="preserve">Founder synthesis; editorial/design support; targeted next-stage technical scoping and mobilisation.</w:t>
            </w:r>
          </w:p>
        </w:tc>
      </w:tr>
      <w:tr>
        <w:trPr>
          <w:tblHeader w:val="false"/>
        </w:trPr>
        <w:tc>
          <w:tcPr>
            <w:tcW w:type="dxa" w:w="2735"/>
            <w:tcBorders>
              <w:top w:val="nil"/>
              <w:left w:val="nil"/>
              <w:bottom w:val="single" w:color="C9C9C9" w:sz="4"/>
              <w:right w:val="nil"/>
            </w:tcBorders>
            <w:tcMar>
              <w:top w:type="dxa" w:w="60"/>
              <w:left w:type="dxa" w:w="0"/>
              <w:bottom w:type="dxa" w:w="60"/>
              <w:right w:type="dxa" w:w="140"/>
            </w:tcMar>
          </w:tcPr>
          <w:p>
            <w:pPr>
              <w:pStyle w:val="TableBody"/>
            </w:pPr>
            <w:r>
              <w:t xml:space="preserve">Programme stewardship</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£3,000</w:t>
            </w:r>
          </w:p>
        </w:tc>
        <w:tc>
          <w:tcPr>
            <w:tcW w:type="dxa" w:w="5141"/>
            <w:tcBorders>
              <w:top w:val="nil"/>
              <w:left w:val="nil"/>
              <w:bottom w:val="single" w:color="C9C9C9" w:sz="4"/>
              <w:right w:val="nil"/>
            </w:tcBorders>
            <w:tcMar>
              <w:top w:type="dxa" w:w="60"/>
              <w:left w:type="dxa" w:w="0"/>
              <w:bottom w:type="dxa" w:w="60"/>
              <w:right w:type="dxa" w:w="140"/>
            </w:tcMar>
          </w:tcPr>
          <w:p>
            <w:pPr>
              <w:pStyle w:val="TableBody"/>
            </w:pPr>
            <w:r>
              <w:t xml:space="preserve">Coordination, accessibility, participant care, data stewardship and evidence-led contingency.</w:t>
            </w:r>
          </w:p>
        </w:tc>
      </w:tr>
      <w:tr>
        <w:trPr>
          <w:tblHeader w:val="false"/>
        </w:trPr>
        <w:tc>
          <w:tcPr>
            <w:tcW w:type="dxa" w:w="2735"/>
            <w:tcBorders>
              <w:top w:val="nil"/>
              <w:left w:val="nil"/>
              <w:bottom w:val="single" w:color="C9C9C9" w:sz="4"/>
              <w:right w:val="nil"/>
            </w:tcBorders>
            <w:tcMar>
              <w:top w:type="dxa" w:w="60"/>
              <w:left w:type="dxa" w:w="0"/>
              <w:bottom w:type="dxa" w:w="60"/>
              <w:right w:type="dxa" w:w="140"/>
            </w:tcMar>
          </w:tcPr>
          <w:p>
            <w:pPr>
              <w:pStyle w:val="TableBody"/>
            </w:pPr>
            <w:r>
              <w:t xml:space="preserve">TOTAL</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£50,000</w:t>
            </w:r>
          </w:p>
        </w:tc>
        <w:tc>
          <w:tcPr>
            <w:tcW w:type="dxa" w:w="5141"/>
            <w:tcBorders>
              <w:top w:val="nil"/>
              <w:left w:val="nil"/>
              <w:bottom w:val="single" w:color="C9C9C9" w:sz="4"/>
              <w:right w:val="nil"/>
            </w:tcBorders>
            <w:tcMar>
              <w:top w:type="dxa" w:w="60"/>
              <w:left w:type="dxa" w:w="0"/>
              <w:bottom w:type="dxa" w:w="60"/>
              <w:right w:type="dxa" w:w="140"/>
            </w:tcMar>
          </w:tcPr>
          <w:p>
            <w:pPr>
              <w:pStyle w:val="TableBody"/>
            </w:pPr>
            <w:r>
              <w:t xml:space="preserve">Balanced to the UKDF request ceiling.</w:t>
            </w:r>
          </w:p>
        </w:tc>
      </w:tr>
    </w:tbl>
    <w:p>
      <w:pPr>
        <w:pStyle w:val="Heading2"/>
      </w:pPr>
      <w:r>
        <w:t xml:space="preserve">Internal capacity sufficiency check</w:t>
      </w:r>
    </w:p>
    <w:tbl>
      <w:tblPr>
        <w:tblW w:type="dxa" w:w="9026"/>
        <w:tblBorders>
          <w:top w:val="nil"/>
          <w:left w:val="nil"/>
          <w:bottom w:val="nil"/>
          <w:right w:val="nil"/>
          <w:insideH w:val="nil"/>
          <w:insideV w:val="nil"/>
        </w:tblBorders>
      </w:tblPr>
      <w:tblGrid>
        <w:gridCol w:w="1235"/>
        <w:gridCol w:w="2090"/>
        <w:gridCol w:w="5701"/>
      </w:tblGrid>
      <w:tr>
        <w:trPr>
          <w:tblHeader/>
        </w:trPr>
        <w:tc>
          <w:tcPr>
            <w:tcW w:type="dxa" w:w="1235"/>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Planning rate</w:t>
            </w:r>
          </w:p>
        </w:tc>
        <w:tc>
          <w:tcPr>
            <w:tcW w:type="dxa" w:w="2090"/>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52-day reference value</w:t>
            </w:r>
          </w:p>
        </w:tc>
        <w:tc>
          <w:tcPr>
            <w:tcW w:type="dxa" w:w="5701"/>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Resource remaining for specialist/direct activity in the scenario</w:t>
            </w:r>
          </w:p>
        </w:tc>
      </w:tr>
      <w:tr>
        <w:trPr>
          <w:tblHeader w:val="false"/>
        </w:trPr>
        <w:tc>
          <w:tcPr>
            <w:tcW w:type="dxa" w:w="1235"/>
            <w:tcBorders>
              <w:top w:val="nil"/>
              <w:left w:val="nil"/>
              <w:bottom w:val="single" w:color="C9C9C9" w:sz="4"/>
              <w:right w:val="nil"/>
            </w:tcBorders>
            <w:tcMar>
              <w:top w:type="dxa" w:w="60"/>
              <w:left w:type="dxa" w:w="0"/>
              <w:bottom w:type="dxa" w:w="60"/>
              <w:right w:type="dxa" w:w="140"/>
            </w:tcMar>
          </w:tcPr>
          <w:p>
            <w:pPr>
              <w:pStyle w:val="TableBody"/>
            </w:pPr>
            <w:r>
              <w:t xml:space="preserve">£500/day</w:t>
            </w:r>
          </w:p>
        </w:tc>
        <w:tc>
          <w:tcPr>
            <w:tcW w:type="dxa" w:w="2090"/>
            <w:tcBorders>
              <w:top w:val="nil"/>
              <w:left w:val="nil"/>
              <w:bottom w:val="single" w:color="C9C9C9" w:sz="4"/>
              <w:right w:val="nil"/>
            </w:tcBorders>
            <w:tcMar>
              <w:top w:type="dxa" w:w="60"/>
              <w:left w:type="dxa" w:w="0"/>
              <w:bottom w:type="dxa" w:w="60"/>
              <w:right w:type="dxa" w:w="140"/>
            </w:tcMar>
          </w:tcPr>
          <w:p>
            <w:pPr>
              <w:pStyle w:val="TableBody"/>
            </w:pPr>
            <w:r>
              <w:t xml:space="preserve">£26,000</w:t>
            </w:r>
          </w:p>
        </w:tc>
        <w:tc>
          <w:tcPr>
            <w:tcW w:type="dxa" w:w="5701"/>
            <w:tcBorders>
              <w:top w:val="nil"/>
              <w:left w:val="nil"/>
              <w:bottom w:val="single" w:color="C9C9C9" w:sz="4"/>
              <w:right w:val="nil"/>
            </w:tcBorders>
            <w:tcMar>
              <w:top w:type="dxa" w:w="60"/>
              <w:left w:type="dxa" w:w="0"/>
              <w:bottom w:type="dxa" w:w="60"/>
              <w:right w:type="dxa" w:w="140"/>
            </w:tcMar>
          </w:tcPr>
          <w:p>
            <w:pPr>
              <w:pStyle w:val="TableBody"/>
            </w:pPr>
            <w:r>
              <w:t xml:space="preserve">£24,000</w:t>
            </w:r>
          </w:p>
        </w:tc>
      </w:tr>
      <w:tr>
        <w:trPr>
          <w:tblHeader w:val="false"/>
        </w:trPr>
        <w:tc>
          <w:tcPr>
            <w:tcW w:type="dxa" w:w="1235"/>
            <w:tcBorders>
              <w:top w:val="nil"/>
              <w:left w:val="nil"/>
              <w:bottom w:val="single" w:color="C9C9C9" w:sz="4"/>
              <w:right w:val="nil"/>
            </w:tcBorders>
            <w:tcMar>
              <w:top w:type="dxa" w:w="60"/>
              <w:left w:type="dxa" w:w="0"/>
              <w:bottom w:type="dxa" w:w="60"/>
              <w:right w:type="dxa" w:w="140"/>
            </w:tcMar>
          </w:tcPr>
          <w:p>
            <w:pPr>
              <w:pStyle w:val="TableBody"/>
            </w:pPr>
            <w:r>
              <w:t xml:space="preserve">£575/day</w:t>
            </w:r>
          </w:p>
        </w:tc>
        <w:tc>
          <w:tcPr>
            <w:tcW w:type="dxa" w:w="2090"/>
            <w:tcBorders>
              <w:top w:val="nil"/>
              <w:left w:val="nil"/>
              <w:bottom w:val="single" w:color="C9C9C9" w:sz="4"/>
              <w:right w:val="nil"/>
            </w:tcBorders>
            <w:tcMar>
              <w:top w:type="dxa" w:w="60"/>
              <w:left w:type="dxa" w:w="0"/>
              <w:bottom w:type="dxa" w:w="60"/>
              <w:right w:type="dxa" w:w="140"/>
            </w:tcMar>
          </w:tcPr>
          <w:p>
            <w:pPr>
              <w:pStyle w:val="TableBody"/>
            </w:pPr>
            <w:r>
              <w:t xml:space="preserve">£29,900</w:t>
            </w:r>
          </w:p>
        </w:tc>
        <w:tc>
          <w:tcPr>
            <w:tcW w:type="dxa" w:w="5701"/>
            <w:tcBorders>
              <w:top w:val="nil"/>
              <w:left w:val="nil"/>
              <w:bottom w:val="single" w:color="C9C9C9" w:sz="4"/>
              <w:right w:val="nil"/>
            </w:tcBorders>
            <w:tcMar>
              <w:top w:type="dxa" w:w="60"/>
              <w:left w:type="dxa" w:w="0"/>
              <w:bottom w:type="dxa" w:w="60"/>
              <w:right w:type="dxa" w:w="140"/>
            </w:tcMar>
          </w:tcPr>
          <w:p>
            <w:pPr>
              <w:pStyle w:val="TableBody"/>
            </w:pPr>
            <w:r>
              <w:t xml:space="preserve">£20,100</w:t>
            </w:r>
          </w:p>
        </w:tc>
      </w:tr>
      <w:tr>
        <w:trPr>
          <w:tblHeader w:val="false"/>
        </w:trPr>
        <w:tc>
          <w:tcPr>
            <w:tcW w:type="dxa" w:w="1235"/>
            <w:tcBorders>
              <w:top w:val="nil"/>
              <w:left w:val="nil"/>
              <w:bottom w:val="single" w:color="C9C9C9" w:sz="4"/>
              <w:right w:val="nil"/>
            </w:tcBorders>
            <w:tcMar>
              <w:top w:type="dxa" w:w="60"/>
              <w:left w:type="dxa" w:w="0"/>
              <w:bottom w:type="dxa" w:w="60"/>
              <w:right w:type="dxa" w:w="140"/>
            </w:tcMar>
          </w:tcPr>
          <w:p>
            <w:pPr>
              <w:pStyle w:val="TableBody"/>
            </w:pPr>
            <w:r>
              <w:t xml:space="preserve">£650/day</w:t>
            </w:r>
          </w:p>
        </w:tc>
        <w:tc>
          <w:tcPr>
            <w:tcW w:type="dxa" w:w="2090"/>
            <w:tcBorders>
              <w:top w:val="nil"/>
              <w:left w:val="nil"/>
              <w:bottom w:val="single" w:color="C9C9C9" w:sz="4"/>
              <w:right w:val="nil"/>
            </w:tcBorders>
            <w:tcMar>
              <w:top w:type="dxa" w:w="60"/>
              <w:left w:type="dxa" w:w="0"/>
              <w:bottom w:type="dxa" w:w="60"/>
              <w:right w:type="dxa" w:w="140"/>
            </w:tcMar>
          </w:tcPr>
          <w:p>
            <w:pPr>
              <w:pStyle w:val="TableBody"/>
            </w:pPr>
            <w:r>
              <w:t xml:space="preserve">£33,800</w:t>
            </w:r>
          </w:p>
        </w:tc>
        <w:tc>
          <w:tcPr>
            <w:tcW w:type="dxa" w:w="5701"/>
            <w:tcBorders>
              <w:top w:val="nil"/>
              <w:left w:val="nil"/>
              <w:bottom w:val="single" w:color="C9C9C9" w:sz="4"/>
              <w:right w:val="nil"/>
            </w:tcBorders>
            <w:tcMar>
              <w:top w:type="dxa" w:w="60"/>
              <w:left w:type="dxa" w:w="0"/>
              <w:bottom w:type="dxa" w:w="60"/>
              <w:right w:type="dxa" w:w="140"/>
            </w:tcMar>
          </w:tcPr>
          <w:p>
            <w:pPr>
              <w:pStyle w:val="TableBody"/>
            </w:pPr>
            <w:r>
              <w:t xml:space="preserve">£16,200</w:t>
            </w:r>
          </w:p>
        </w:tc>
      </w:tr>
    </w:tbl>
    <w:p>
      <w:r>
        <w:t xml:space="preserve">This sensitivity table is an internal planning control, not a ringfenced public budget. Carly is content to use £500/day where the form requires a rate. Procurement and specialist scopes will be selected against phase outcomes and value for money.</w:t>
      </w:r>
    </w:p>
    <w:p>
      <w:pPr>
        <w:pStyle w:val="Heading1"/>
      </w:pPr>
      <w:r>
        <w:t xml:space="preserve">09  Funding boundaries and additionality</w:t>
      </w:r>
    </w:p>
    <w:tbl>
      <w:tblPr>
        <w:tblW w:type="dxa" w:w="9026"/>
        <w:tblBorders>
          <w:top w:val="nil"/>
          <w:left w:val="nil"/>
          <w:bottom w:val="nil"/>
          <w:right w:val="nil"/>
          <w:insideH w:val="nil"/>
          <w:insideV w:val="nil"/>
        </w:tblBorders>
      </w:tblPr>
      <w:tblGrid>
        <w:gridCol w:w="1471"/>
        <w:gridCol w:w="3042"/>
        <w:gridCol w:w="1471"/>
        <w:gridCol w:w="3042"/>
      </w:tblGrid>
      <w:tr>
        <w:trPr>
          <w:tblHeader/>
        </w:trPr>
        <w:tc>
          <w:tcPr>
            <w:tcW w:type="dxa" w:w="1471"/>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Resource</w:t>
            </w:r>
          </w:p>
        </w:tc>
        <w:tc>
          <w:tcPr>
            <w:tcW w:type="dxa" w:w="3042"/>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Role</w:t>
            </w:r>
          </w:p>
        </w:tc>
        <w:tc>
          <w:tcPr>
            <w:tcW w:type="dxa" w:w="1471"/>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Current status</w:t>
            </w:r>
          </w:p>
        </w:tc>
        <w:tc>
          <w:tcPr>
            <w:tcW w:type="dxa" w:w="3042"/>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Boundary</w:t>
            </w:r>
          </w:p>
        </w:tc>
      </w:tr>
      <w:tr>
        <w:trPr>
          <w:tblHeader w:val="false"/>
        </w:trPr>
        <w:tc>
          <w:tcPr>
            <w:tcW w:type="dxa" w:w="1471"/>
            <w:tcBorders>
              <w:top w:val="nil"/>
              <w:left w:val="nil"/>
              <w:bottom w:val="single" w:color="C9C9C9" w:sz="4"/>
              <w:right w:val="nil"/>
            </w:tcBorders>
            <w:tcMar>
              <w:top w:type="dxa" w:w="60"/>
              <w:left w:type="dxa" w:w="0"/>
              <w:bottom w:type="dxa" w:w="60"/>
              <w:right w:type="dxa" w:w="140"/>
            </w:tcMar>
          </w:tcPr>
          <w:p>
            <w:pPr>
              <w:pStyle w:val="TableBody"/>
            </w:pPr>
            <w:r>
              <w:t xml:space="preserve">UKDF</w:t>
            </w:r>
          </w:p>
        </w:tc>
        <w:tc>
          <w:tcPr>
            <w:tcW w:type="dxa" w:w="3042"/>
            <w:tcBorders>
              <w:top w:val="nil"/>
              <w:left w:val="nil"/>
              <w:bottom w:val="single" w:color="C9C9C9" w:sz="4"/>
              <w:right w:val="nil"/>
            </w:tcBorders>
            <w:tcMar>
              <w:top w:type="dxa" w:w="60"/>
              <w:left w:type="dxa" w:w="0"/>
              <w:bottom w:type="dxa" w:w="60"/>
              <w:right w:type="dxa" w:w="140"/>
            </w:tcMar>
          </w:tcPr>
          <w:p>
            <w:pPr>
              <w:pStyle w:val="TableBody"/>
            </w:pPr>
            <w:r>
              <w:t xml:space="preserve">Fellowship inquiry, comparative place learning, NCVI R&amp;D, transferable method, Nightlife Culture institutional development and next-stage proposition.</w:t>
            </w:r>
          </w:p>
        </w:tc>
        <w:tc>
          <w:tcPr>
            <w:tcW w:type="dxa" w:w="1471"/>
            <w:tcBorders>
              <w:top w:val="nil"/>
              <w:left w:val="nil"/>
              <w:bottom w:val="single" w:color="C9C9C9" w:sz="4"/>
              <w:right w:val="nil"/>
            </w:tcBorders>
            <w:tcMar>
              <w:top w:type="dxa" w:w="60"/>
              <w:left w:type="dxa" w:w="0"/>
              <w:bottom w:type="dxa" w:w="60"/>
              <w:right w:type="dxa" w:w="140"/>
            </w:tcMar>
          </w:tcPr>
          <w:p>
            <w:pPr>
              <w:pStyle w:val="TableBody"/>
            </w:pPr>
            <w:r>
              <w:t xml:space="preserve">Requested: £50,000</w:t>
            </w:r>
          </w:p>
        </w:tc>
        <w:tc>
          <w:tcPr>
            <w:tcW w:type="dxa" w:w="3042"/>
            <w:tcBorders>
              <w:top w:val="nil"/>
              <w:left w:val="nil"/>
              <w:bottom w:val="single" w:color="C9C9C9" w:sz="4"/>
              <w:right w:val="nil"/>
            </w:tcBorders>
            <w:tcMar>
              <w:top w:type="dxa" w:w="60"/>
              <w:left w:type="dxa" w:w="0"/>
              <w:bottom w:type="dxa" w:w="60"/>
              <w:right w:type="dxa" w:w="140"/>
            </w:tcMar>
          </w:tcPr>
          <w:p>
            <w:pPr>
              <w:pStyle w:val="TableBody"/>
            </w:pPr>
            <w:r>
              <w:t xml:space="preserve">Core fellowship is designed to be fully deliverable through this request.</w:t>
            </w:r>
          </w:p>
        </w:tc>
      </w:tr>
      <w:tr>
        <w:trPr>
          <w:tblHeader w:val="false"/>
        </w:trPr>
        <w:tc>
          <w:tcPr>
            <w:tcW w:type="dxa" w:w="1471"/>
            <w:tcBorders>
              <w:top w:val="nil"/>
              <w:left w:val="nil"/>
              <w:bottom w:val="single" w:color="C9C9C9" w:sz="4"/>
              <w:right w:val="nil"/>
            </w:tcBorders>
            <w:tcMar>
              <w:top w:type="dxa" w:w="60"/>
              <w:left w:type="dxa" w:w="0"/>
              <w:bottom w:type="dxa" w:w="60"/>
              <w:right w:type="dxa" w:w="140"/>
            </w:tcMar>
          </w:tcPr>
          <w:p>
            <w:pPr>
              <w:pStyle w:val="TableBody"/>
            </w:pPr>
            <w:r>
              <w:t xml:space="preserve">WECA / A Ticket to the Future</w:t>
            </w:r>
          </w:p>
        </w:tc>
        <w:tc>
          <w:tcPr>
            <w:tcW w:type="dxa" w:w="3042"/>
            <w:tcBorders>
              <w:top w:val="nil"/>
              <w:left w:val="nil"/>
              <w:bottom w:val="single" w:color="C9C9C9" w:sz="4"/>
              <w:right w:val="nil"/>
            </w:tcBorders>
            <w:tcMar>
              <w:top w:type="dxa" w:w="60"/>
              <w:left w:type="dxa" w:w="0"/>
              <w:bottom w:type="dxa" w:w="60"/>
              <w:right w:type="dxa" w:w="140"/>
            </w:tcMar>
          </w:tcPr>
          <w:p>
            <w:pPr>
              <w:pStyle w:val="TableBody"/>
            </w:pPr>
            <w:r>
              <w:t xml:space="preserve">Establishment of the Community Benefit Society, governance transition and Bristol delivery of the music-community intervention.</w:t>
            </w:r>
          </w:p>
        </w:tc>
        <w:tc>
          <w:tcPr>
            <w:tcW w:type="dxa" w:w="1471"/>
            <w:tcBorders>
              <w:top w:val="nil"/>
              <w:left w:val="nil"/>
              <w:bottom w:val="single" w:color="C9C9C9" w:sz="4"/>
              <w:right w:val="nil"/>
            </w:tcBorders>
            <w:tcMar>
              <w:top w:type="dxa" w:w="60"/>
              <w:left w:type="dxa" w:w="0"/>
              <w:bottom w:type="dxa" w:w="60"/>
              <w:right w:type="dxa" w:w="140"/>
            </w:tcMar>
          </w:tcPr>
          <w:p>
            <w:pPr>
              <w:pStyle w:val="TableBody"/>
            </w:pPr>
            <w:r>
              <w:t xml:space="preserve">Separate supported commission</w:t>
            </w:r>
          </w:p>
        </w:tc>
        <w:tc>
          <w:tcPr>
            <w:tcW w:type="dxa" w:w="3042"/>
            <w:tcBorders>
              <w:top w:val="nil"/>
              <w:left w:val="nil"/>
              <w:bottom w:val="single" w:color="C9C9C9" w:sz="4"/>
              <w:right w:val="nil"/>
            </w:tcBorders>
            <w:tcMar>
              <w:top w:type="dxa" w:w="60"/>
              <w:left w:type="dxa" w:w="0"/>
              <w:bottom w:type="dxa" w:w="60"/>
              <w:right w:type="dxa" w:w="140"/>
            </w:tcMar>
          </w:tcPr>
          <w:p>
            <w:pPr>
              <w:pStyle w:val="TableBody"/>
            </w:pPr>
            <w:r>
              <w:t xml:space="preserve">Does not pay for the UKDF inquiry, comparative work, NCVI or Nightlife Culture institutional R&amp;D.</w:t>
            </w:r>
          </w:p>
        </w:tc>
      </w:tr>
      <w:tr>
        <w:trPr>
          <w:tblHeader w:val="false"/>
        </w:trPr>
        <w:tc>
          <w:tcPr>
            <w:tcW w:type="dxa" w:w="1471"/>
            <w:tcBorders>
              <w:top w:val="nil"/>
              <w:left w:val="nil"/>
              <w:bottom w:val="single" w:color="C9C9C9" w:sz="4"/>
              <w:right w:val="nil"/>
            </w:tcBorders>
            <w:tcMar>
              <w:top w:type="dxa" w:w="60"/>
              <w:left w:type="dxa" w:w="0"/>
              <w:bottom w:type="dxa" w:w="60"/>
              <w:right w:type="dxa" w:w="140"/>
            </w:tcMar>
          </w:tcPr>
          <w:p>
            <w:pPr>
              <w:pStyle w:val="TableBody"/>
            </w:pPr>
            <w:r>
              <w:t xml:space="preserve">ACE</w:t>
            </w:r>
          </w:p>
        </w:tc>
        <w:tc>
          <w:tcPr>
            <w:tcW w:type="dxa" w:w="3042"/>
            <w:tcBorders>
              <w:top w:val="nil"/>
              <w:left w:val="nil"/>
              <w:bottom w:val="single" w:color="C9C9C9" w:sz="4"/>
              <w:right w:val="nil"/>
            </w:tcBorders>
            <w:tcMar>
              <w:top w:type="dxa" w:w="60"/>
              <w:left w:type="dxa" w:w="0"/>
              <w:bottom w:type="dxa" w:w="60"/>
              <w:right w:type="dxa" w:w="140"/>
            </w:tcMar>
          </w:tcPr>
          <w:p>
            <w:pPr>
              <w:pStyle w:val="TableBody"/>
            </w:pPr>
            <w:r>
              <w:t xml:space="preserve">Potential future research, sector development, resources or organisational capacity where eligible.</w:t>
            </w:r>
          </w:p>
        </w:tc>
        <w:tc>
          <w:tcPr>
            <w:tcW w:type="dxa" w:w="1471"/>
            <w:tcBorders>
              <w:top w:val="nil"/>
              <w:left w:val="nil"/>
              <w:bottom w:val="single" w:color="C9C9C9" w:sz="4"/>
              <w:right w:val="nil"/>
            </w:tcBorders>
            <w:tcMar>
              <w:top w:type="dxa" w:w="60"/>
              <w:left w:type="dxa" w:w="0"/>
              <w:bottom w:type="dxa" w:w="60"/>
              <w:right w:type="dxa" w:w="140"/>
            </w:tcMar>
          </w:tcPr>
          <w:p>
            <w:pPr>
              <w:pStyle w:val="TableBody"/>
            </w:pPr>
            <w:r>
              <w:t xml:space="preserve">£0 confirmed</w:t>
            </w:r>
          </w:p>
        </w:tc>
        <w:tc>
          <w:tcPr>
            <w:tcW w:type="dxa" w:w="3042"/>
            <w:tcBorders>
              <w:top w:val="nil"/>
              <w:left w:val="nil"/>
              <w:bottom w:val="single" w:color="C9C9C9" w:sz="4"/>
              <w:right w:val="nil"/>
            </w:tcBorders>
            <w:tcMar>
              <w:top w:type="dxa" w:w="60"/>
              <w:left w:type="dxa" w:w="0"/>
              <w:bottom w:type="dxa" w:w="60"/>
              <w:right w:type="dxa" w:w="140"/>
            </w:tcMar>
          </w:tcPr>
          <w:p>
            <w:pPr>
              <w:pStyle w:val="TableBody"/>
            </w:pPr>
            <w:r>
              <w:t xml:space="preserve">Any future award would have a separate scope, budget, timetable and reporting route.</w:t>
            </w:r>
          </w:p>
        </w:tc>
      </w:tr>
      <w:tr>
        <w:trPr>
          <w:tblHeader w:val="false"/>
        </w:trPr>
        <w:tc>
          <w:tcPr>
            <w:tcW w:type="dxa" w:w="1471"/>
            <w:tcBorders>
              <w:top w:val="nil"/>
              <w:left w:val="nil"/>
              <w:bottom w:val="single" w:color="C9C9C9" w:sz="4"/>
              <w:right w:val="nil"/>
            </w:tcBorders>
            <w:tcMar>
              <w:top w:type="dxa" w:w="60"/>
              <w:left w:type="dxa" w:w="0"/>
              <w:bottom w:type="dxa" w:w="60"/>
              <w:right w:type="dxa" w:w="140"/>
            </w:tcMar>
          </w:tcPr>
          <w:p>
            <w:pPr>
              <w:pStyle w:val="TableBody"/>
            </w:pPr>
            <w:r>
              <w:t xml:space="preserve">Partners</w:t>
            </w:r>
          </w:p>
        </w:tc>
        <w:tc>
          <w:tcPr>
            <w:tcW w:type="dxa" w:w="3042"/>
            <w:tcBorders>
              <w:top w:val="nil"/>
              <w:left w:val="nil"/>
              <w:bottom w:val="single" w:color="C9C9C9" w:sz="4"/>
              <w:right w:val="nil"/>
            </w:tcBorders>
            <w:tcMar>
              <w:top w:type="dxa" w:w="60"/>
              <w:left w:type="dxa" w:w="0"/>
              <w:bottom w:type="dxa" w:w="60"/>
              <w:right w:type="dxa" w:w="140"/>
            </w:tcMar>
          </w:tcPr>
          <w:p>
            <w:pPr>
              <w:pStyle w:val="TableBody"/>
            </w:pPr>
            <w:r>
              <w:t xml:space="preserve">Potential future access, data, convening, specialist input or cash support.</w:t>
            </w:r>
          </w:p>
        </w:tc>
        <w:tc>
          <w:tcPr>
            <w:tcW w:type="dxa" w:w="1471"/>
            <w:tcBorders>
              <w:top w:val="nil"/>
              <w:left w:val="nil"/>
              <w:bottom w:val="single" w:color="C9C9C9" w:sz="4"/>
              <w:right w:val="nil"/>
            </w:tcBorders>
            <w:tcMar>
              <w:top w:type="dxa" w:w="60"/>
              <w:left w:type="dxa" w:w="0"/>
              <w:bottom w:type="dxa" w:w="60"/>
              <w:right w:type="dxa" w:w="140"/>
            </w:tcMar>
          </w:tcPr>
          <w:p>
            <w:pPr>
              <w:pStyle w:val="TableBody"/>
            </w:pPr>
            <w:r>
              <w:t xml:space="preserve">£0 confirmed</w:t>
            </w:r>
          </w:p>
        </w:tc>
        <w:tc>
          <w:tcPr>
            <w:tcW w:type="dxa" w:w="3042"/>
            <w:tcBorders>
              <w:top w:val="nil"/>
              <w:left w:val="nil"/>
              <w:bottom w:val="single" w:color="C9C9C9" w:sz="4"/>
              <w:right w:val="nil"/>
            </w:tcBorders>
            <w:tcMar>
              <w:top w:type="dxa" w:w="60"/>
              <w:left w:type="dxa" w:w="0"/>
              <w:bottom w:type="dxa" w:w="60"/>
              <w:right w:type="dxa" w:w="140"/>
            </w:tcMar>
          </w:tcPr>
          <w:p>
            <w:pPr>
              <w:pStyle w:val="TableBody"/>
            </w:pPr>
            <w:r>
              <w:t xml:space="preserve">Contributions become part of the plan only when documented; the core budget does not depend on them.</w:t>
            </w:r>
          </w:p>
        </w:tc>
      </w:tr>
    </w:tbl>
    <w:p>
      <w:pPr>
        <w:pStyle w:val="ListParagraph"/>
        <w:numPr>
          <w:ilvl w:val="0"/>
          <w:numId w:val="2"/>
        </w:numPr>
      </w:pPr>
      <w:r>
        <w:t xml:space="preserve">Time records and invoices identify the programme and work package supported.</w:t>
      </w:r>
    </w:p>
    <w:p>
      <w:pPr>
        <w:pStyle w:val="ListParagraph"/>
        <w:numPr>
          <w:ilvl w:val="0"/>
          <w:numId w:val="2"/>
        </w:numPr>
      </w:pPr>
      <w:r>
        <w:t xml:space="preserve">ATTTF may inform UKDF learning as a case, but WECA delivery activity and costs remain within the ATTTF commission.</w:t>
      </w:r>
    </w:p>
    <w:p>
      <w:pPr>
        <w:pStyle w:val="ListParagraph"/>
        <w:numPr>
          <w:ilvl w:val="0"/>
          <w:numId w:val="2"/>
        </w:numPr>
      </w:pPr>
      <w:r>
        <w:t xml:space="preserve">Future co-funding extends or deepens the work; it does not backfill an under-resourced £50,000 core programme.</w:t>
      </w:r>
    </w:p>
    <w:p>
      <w:pPr>
        <w:pStyle w:val="Heading1"/>
      </w:pPr>
      <w:r>
        <w:t xml:space="preserve">10  Research scope, ethics and larger future research</w:t>
      </w:r>
    </w:p>
    <w:tbl>
      <w:tblPr>
        <w:tblW w:type="dxa" w:w="9026"/>
        <w:tblBorders>
          <w:top w:val="nil"/>
          <w:left w:val="nil"/>
          <w:bottom w:val="nil"/>
          <w:right w:val="nil"/>
          <w:insideH w:val="nil"/>
          <w:insideV w:val="nil"/>
        </w:tblBorders>
      </w:tblPr>
      <w:tblGrid>
        <w:gridCol w:w="4317"/>
        <w:gridCol w:w="4709"/>
      </w:tblGrid>
      <w:tr>
        <w:trPr>
          <w:tblHeader/>
        </w:trPr>
        <w:tc>
          <w:tcPr>
            <w:tcW w:type="dxa" w:w="4317"/>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Within the £50k fellowship</w:t>
            </w:r>
          </w:p>
        </w:tc>
        <w:tc>
          <w:tcPr>
            <w:tcW w:type="dxa" w:w="4709"/>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Requires a larger separately funded phase</w:t>
            </w:r>
          </w:p>
        </w:tc>
      </w:tr>
      <w:tr>
        <w:trPr>
          <w:tblHeader w:val="false"/>
        </w:trPr>
        <w:tc>
          <w:tcPr>
            <w:tcW w:type="dxa" w:w="4317"/>
            <w:tcBorders>
              <w:top w:val="nil"/>
              <w:left w:val="nil"/>
              <w:bottom w:val="single" w:color="C9C9C9" w:sz="4"/>
              <w:right w:val="nil"/>
            </w:tcBorders>
            <w:tcMar>
              <w:top w:type="dxa" w:w="60"/>
              <w:left w:type="dxa" w:w="0"/>
              <w:bottom w:type="dxa" w:w="60"/>
              <w:right w:type="dxa" w:w="140"/>
            </w:tcMar>
          </w:tcPr>
          <w:p>
            <w:pPr>
              <w:pStyle w:val="TableBody"/>
            </w:pPr>
            <w:r>
              <w:t xml:space="preserve">Two purposively selected place cases</w:t>
            </w:r>
          </w:p>
        </w:tc>
        <w:tc>
          <w:tcPr>
            <w:tcW w:type="dxa" w:w="4709"/>
            <w:tcBorders>
              <w:top w:val="nil"/>
              <w:left w:val="nil"/>
              <w:bottom w:val="single" w:color="C9C9C9" w:sz="4"/>
              <w:right w:val="nil"/>
            </w:tcBorders>
            <w:tcMar>
              <w:top w:type="dxa" w:w="60"/>
              <w:left w:type="dxa" w:w="0"/>
              <w:bottom w:type="dxa" w:w="60"/>
              <w:right w:type="dxa" w:w="140"/>
            </w:tcMar>
          </w:tcPr>
          <w:p>
            <w:pPr>
              <w:pStyle w:val="TableBody"/>
            </w:pPr>
            <w:r>
              <w:t xml:space="preserve">Representative UK-wide sampling</w:t>
            </w:r>
          </w:p>
        </w:tc>
      </w:tr>
      <w:tr>
        <w:trPr>
          <w:tblHeader w:val="false"/>
        </w:trPr>
        <w:tc>
          <w:tcPr>
            <w:tcW w:type="dxa" w:w="4317"/>
            <w:tcBorders>
              <w:top w:val="nil"/>
              <w:left w:val="nil"/>
              <w:bottom w:val="single" w:color="C9C9C9" w:sz="4"/>
              <w:right w:val="nil"/>
            </w:tcBorders>
            <w:tcMar>
              <w:top w:type="dxa" w:w="60"/>
              <w:left w:type="dxa" w:w="0"/>
              <w:bottom w:type="dxa" w:w="60"/>
              <w:right w:type="dxa" w:w="140"/>
            </w:tcMar>
          </w:tcPr>
          <w:p>
            <w:pPr>
              <w:pStyle w:val="TableBody"/>
            </w:pPr>
            <w:r>
              <w:t xml:space="preserve">18–24 substantive conversations across the programme</w:t>
            </w:r>
          </w:p>
        </w:tc>
        <w:tc>
          <w:tcPr>
            <w:tcW w:type="dxa" w:w="4709"/>
            <w:tcBorders>
              <w:top w:val="nil"/>
              <w:left w:val="nil"/>
              <w:bottom w:val="single" w:color="C9C9C9" w:sz="4"/>
              <w:right w:val="nil"/>
            </w:tcBorders>
            <w:tcMar>
              <w:top w:type="dxa" w:w="60"/>
              <w:left w:type="dxa" w:w="0"/>
              <w:bottom w:type="dxa" w:w="60"/>
              <w:right w:type="dxa" w:w="140"/>
            </w:tcMar>
          </w:tcPr>
          <w:p>
            <w:pPr>
              <w:pStyle w:val="TableBody"/>
            </w:pPr>
            <w:r>
              <w:t xml:space="preserve">Large-scale quantitative or nationally representative survey</w:t>
            </w:r>
          </w:p>
        </w:tc>
      </w:tr>
      <w:tr>
        <w:trPr>
          <w:tblHeader w:val="false"/>
        </w:trPr>
        <w:tc>
          <w:tcPr>
            <w:tcW w:type="dxa" w:w="4317"/>
            <w:tcBorders>
              <w:top w:val="nil"/>
              <w:left w:val="nil"/>
              <w:bottom w:val="single" w:color="C9C9C9" w:sz="4"/>
              <w:right w:val="nil"/>
            </w:tcBorders>
            <w:tcMar>
              <w:top w:type="dxa" w:w="60"/>
              <w:left w:type="dxa" w:w="0"/>
              <w:bottom w:type="dxa" w:w="60"/>
              <w:right w:type="dxa" w:w="140"/>
            </w:tcMar>
          </w:tcPr>
          <w:p>
            <w:pPr>
              <w:pStyle w:val="TableBody"/>
            </w:pPr>
            <w:r>
              <w:t xml:space="preserve">Up to 15 paid substantial contributions</w:t>
            </w:r>
          </w:p>
        </w:tc>
        <w:tc>
          <w:tcPr>
            <w:tcW w:type="dxa" w:w="4709"/>
            <w:tcBorders>
              <w:top w:val="nil"/>
              <w:left w:val="nil"/>
              <w:bottom w:val="single" w:color="C9C9C9" w:sz="4"/>
              <w:right w:val="nil"/>
            </w:tcBorders>
            <w:tcMar>
              <w:top w:type="dxa" w:w="60"/>
              <w:left w:type="dxa" w:w="0"/>
              <w:bottom w:type="dxa" w:w="60"/>
              <w:right w:type="dxa" w:w="140"/>
            </w:tcMar>
          </w:tcPr>
          <w:p>
            <w:pPr>
              <w:pStyle w:val="TableBody"/>
            </w:pPr>
            <w:r>
              <w:t xml:space="preserve">Longitudinal panel or repeated-wave research</w:t>
            </w:r>
          </w:p>
        </w:tc>
      </w:tr>
      <w:tr>
        <w:trPr>
          <w:tblHeader w:val="false"/>
        </w:trPr>
        <w:tc>
          <w:tcPr>
            <w:tcW w:type="dxa" w:w="4317"/>
            <w:tcBorders>
              <w:top w:val="nil"/>
              <w:left w:val="nil"/>
              <w:bottom w:val="single" w:color="C9C9C9" w:sz="4"/>
              <w:right w:val="nil"/>
            </w:tcBorders>
            <w:tcMar>
              <w:top w:type="dxa" w:w="60"/>
              <w:left w:type="dxa" w:w="0"/>
              <w:bottom w:type="dxa" w:w="60"/>
              <w:right w:type="dxa" w:w="140"/>
            </w:tcMar>
          </w:tcPr>
          <w:p>
            <w:pPr>
              <w:pStyle w:val="TableBody"/>
            </w:pPr>
            <w:r>
              <w:t xml:space="preserve">Rapid evidence review and accessible existing data</w:t>
            </w:r>
          </w:p>
        </w:tc>
        <w:tc>
          <w:tcPr>
            <w:tcW w:type="dxa" w:w="4709"/>
            <w:tcBorders>
              <w:top w:val="nil"/>
              <w:left w:val="nil"/>
              <w:bottom w:val="single" w:color="C9C9C9" w:sz="4"/>
              <w:right w:val="nil"/>
            </w:tcBorders>
            <w:tcMar>
              <w:top w:type="dxa" w:w="60"/>
              <w:left w:type="dxa" w:w="0"/>
              <w:bottom w:type="dxa" w:w="60"/>
              <w:right w:type="dxa" w:w="140"/>
            </w:tcMar>
          </w:tcPr>
          <w:p>
            <w:pPr>
              <w:pStyle w:val="TableBody"/>
            </w:pPr>
            <w:r>
              <w:t xml:space="preserve">New national data acquisition, cleaning and integration at scale</w:t>
            </w:r>
          </w:p>
        </w:tc>
      </w:tr>
      <w:tr>
        <w:trPr>
          <w:tblHeader w:val="false"/>
        </w:trPr>
        <w:tc>
          <w:tcPr>
            <w:tcW w:type="dxa" w:w="4317"/>
            <w:tcBorders>
              <w:top w:val="nil"/>
              <w:left w:val="nil"/>
              <w:bottom w:val="single" w:color="C9C9C9" w:sz="4"/>
              <w:right w:val="nil"/>
            </w:tcBorders>
            <w:tcMar>
              <w:top w:type="dxa" w:w="60"/>
              <w:left w:type="dxa" w:w="0"/>
              <w:bottom w:type="dxa" w:w="60"/>
              <w:right w:type="dxa" w:w="140"/>
            </w:tcMar>
          </w:tcPr>
          <w:p>
            <w:pPr>
              <w:pStyle w:val="TableBody"/>
            </w:pPr>
            <w:r>
              <w:t xml:space="preserve">Qualitative value-flow mapping and bounded analysis</w:t>
            </w:r>
          </w:p>
        </w:tc>
        <w:tc>
          <w:tcPr>
            <w:tcW w:type="dxa" w:w="4709"/>
            <w:tcBorders>
              <w:top w:val="nil"/>
              <w:left w:val="nil"/>
              <w:bottom w:val="single" w:color="C9C9C9" w:sz="4"/>
              <w:right w:val="nil"/>
            </w:tcBorders>
            <w:tcMar>
              <w:top w:type="dxa" w:w="60"/>
              <w:left w:type="dxa" w:w="0"/>
              <w:bottom w:type="dxa" w:w="60"/>
              <w:right w:type="dxa" w:w="140"/>
            </w:tcMar>
          </w:tcPr>
          <w:p>
            <w:pPr>
              <w:pStyle w:val="TableBody"/>
            </w:pPr>
            <w:r>
              <w:t xml:space="preserve">Econometric attribution, causal impact or formal ROI/SROI study</w:t>
            </w:r>
          </w:p>
        </w:tc>
      </w:tr>
      <w:tr>
        <w:trPr>
          <w:tblHeader w:val="false"/>
        </w:trPr>
        <w:tc>
          <w:tcPr>
            <w:tcW w:type="dxa" w:w="4317"/>
            <w:tcBorders>
              <w:top w:val="nil"/>
              <w:left w:val="nil"/>
              <w:bottom w:val="single" w:color="C9C9C9" w:sz="4"/>
              <w:right w:val="nil"/>
            </w:tcBorders>
            <w:tcMar>
              <w:top w:type="dxa" w:w="60"/>
              <w:left w:type="dxa" w:w="0"/>
              <w:bottom w:type="dxa" w:w="60"/>
              <w:right w:type="dxa" w:w="140"/>
            </w:tcMar>
          </w:tcPr>
          <w:p>
            <w:pPr>
              <w:pStyle w:val="TableBody"/>
            </w:pPr>
            <w:r>
              <w:t xml:space="preserve">Candidate NCVI dimensions and evidence architecture</w:t>
            </w:r>
          </w:p>
        </w:tc>
        <w:tc>
          <w:tcPr>
            <w:tcW w:type="dxa" w:w="4709"/>
            <w:tcBorders>
              <w:top w:val="nil"/>
              <w:left w:val="nil"/>
              <w:bottom w:val="single" w:color="C9C9C9" w:sz="4"/>
              <w:right w:val="nil"/>
            </w:tcBorders>
            <w:tcMar>
              <w:top w:type="dxa" w:w="60"/>
              <w:left w:type="dxa" w:w="0"/>
              <w:bottom w:type="dxa" w:w="60"/>
              <w:right w:type="dxa" w:w="140"/>
            </w:tcMar>
          </w:tcPr>
          <w:p>
            <w:pPr>
              <w:pStyle w:val="TableBody"/>
            </w:pPr>
            <w:r>
              <w:t xml:space="preserve">Validated weighting, benchmarking and national scoring system</w:t>
            </w:r>
          </w:p>
        </w:tc>
      </w:tr>
      <w:tr>
        <w:trPr>
          <w:tblHeader w:val="false"/>
        </w:trPr>
        <w:tc>
          <w:tcPr>
            <w:tcW w:type="dxa" w:w="4317"/>
            <w:tcBorders>
              <w:top w:val="nil"/>
              <w:left w:val="nil"/>
              <w:bottom w:val="single" w:color="C9C9C9" w:sz="4"/>
              <w:right w:val="nil"/>
            </w:tcBorders>
            <w:tcMar>
              <w:top w:type="dxa" w:w="60"/>
              <w:left w:type="dxa" w:w="0"/>
              <w:bottom w:type="dxa" w:w="60"/>
              <w:right w:type="dxa" w:w="140"/>
            </w:tcMar>
          </w:tcPr>
          <w:p>
            <w:pPr>
              <w:pStyle w:val="TableBody"/>
            </w:pPr>
            <w:r>
              <w:t xml:space="preserve">Low-fidelity prototype tested with 6–10 intended users</w:t>
            </w:r>
          </w:p>
        </w:tc>
        <w:tc>
          <w:tcPr>
            <w:tcW w:type="dxa" w:w="4709"/>
            <w:tcBorders>
              <w:top w:val="nil"/>
              <w:left w:val="nil"/>
              <w:bottom w:val="single" w:color="C9C9C9" w:sz="4"/>
              <w:right w:val="nil"/>
            </w:tcBorders>
            <w:tcMar>
              <w:top w:type="dxa" w:w="60"/>
              <w:left w:type="dxa" w:w="0"/>
              <w:bottom w:type="dxa" w:w="60"/>
              <w:right w:type="dxa" w:w="140"/>
            </w:tcMar>
          </w:tcPr>
          <w:p>
            <w:pPr>
              <w:pStyle w:val="TableBody"/>
            </w:pPr>
            <w:r>
              <w:t xml:space="preserve">Production software, platform operation, integrations and ongoing data governance</w:t>
            </w:r>
          </w:p>
        </w:tc>
      </w:tr>
      <w:tr>
        <w:trPr>
          <w:tblHeader w:val="false"/>
        </w:trPr>
        <w:tc>
          <w:tcPr>
            <w:tcW w:type="dxa" w:w="4317"/>
            <w:tcBorders>
              <w:top w:val="nil"/>
              <w:left w:val="nil"/>
              <w:bottom w:val="single" w:color="C9C9C9" w:sz="4"/>
              <w:right w:val="nil"/>
            </w:tcBorders>
            <w:tcMar>
              <w:top w:type="dxa" w:w="60"/>
              <w:left w:type="dxa" w:w="0"/>
              <w:bottom w:type="dxa" w:w="60"/>
              <w:right w:type="dxa" w:w="140"/>
            </w:tcMar>
          </w:tcPr>
          <w:p>
            <w:pPr>
              <w:pStyle w:val="TableBody"/>
            </w:pPr>
            <w:r>
              <w:t xml:space="preserve">Technical, ethical and funding brief for the next phase</w:t>
            </w:r>
          </w:p>
        </w:tc>
        <w:tc>
          <w:tcPr>
            <w:tcW w:type="dxa" w:w="4709"/>
            <w:tcBorders>
              <w:top w:val="nil"/>
              <w:left w:val="nil"/>
              <w:bottom w:val="single" w:color="C9C9C9" w:sz="4"/>
              <w:right w:val="nil"/>
            </w:tcBorders>
            <w:tcMar>
              <w:top w:type="dxa" w:w="60"/>
              <w:left w:type="dxa" w:w="0"/>
              <w:bottom w:type="dxa" w:w="60"/>
              <w:right w:type="dxa" w:w="140"/>
            </w:tcMar>
          </w:tcPr>
          <w:p>
            <w:pPr>
              <w:pStyle w:val="TableBody"/>
            </w:pPr>
            <w:r>
              <w:t xml:space="preserve">National rollout, training, maintenance and longitudinal evaluation</w:t>
            </w:r>
          </w:p>
        </w:tc>
      </w:tr>
    </w:tbl>
    <w:p>
      <w:pPr>
        <w:pStyle w:val="ListParagraph"/>
        <w:numPr>
          <w:ilvl w:val="0"/>
          <w:numId w:val="2"/>
        </w:numPr>
      </w:pPr>
      <w:r>
        <w:t xml:space="preserve">Use informed consent, clear withdrawal routes and proportionate data collection.</w:t>
      </w:r>
    </w:p>
    <w:p>
      <w:pPr>
        <w:pStyle w:val="ListParagraph"/>
        <w:numPr>
          <w:ilvl w:val="0"/>
          <w:numId w:val="2"/>
        </w:numPr>
      </w:pPr>
      <w:r>
        <w:t xml:space="preserve">Collect personal data only where necessary for participation and administration; keep the NCVI concept personal-data-light by design.</w:t>
      </w:r>
    </w:p>
    <w:p>
      <w:pPr>
        <w:pStyle w:val="ListParagraph"/>
        <w:numPr>
          <w:ilvl w:val="0"/>
          <w:numId w:val="2"/>
        </w:numPr>
      </w:pPr>
      <w:r>
        <w:t xml:space="preserve">Offer payment for up to 15 substantial contributions where participation asks exceed ordinary stakeholder engagement.</w:t>
      </w:r>
    </w:p>
    <w:p>
      <w:pPr>
        <w:pStyle w:val="ListParagraph"/>
        <w:numPr>
          <w:ilvl w:val="0"/>
          <w:numId w:val="2"/>
        </w:numPr>
      </w:pPr>
      <w:r>
        <w:t xml:space="preserve">Return learning in accessible form and record how cultural knowledge changes programme decisions.</w:t>
      </w:r>
    </w:p>
    <w:p>
      <w:pPr>
        <w:pStyle w:val="ListParagraph"/>
        <w:numPr>
          <w:ilvl w:val="0"/>
          <w:numId w:val="2"/>
        </w:numPr>
      </w:pPr>
      <w:r>
        <w:t xml:space="preserve">Invite challenge and document uncertainty, disagreement and ideas that do not withstand testing.</w:t>
      </w:r>
    </w:p>
    <w:p>
      <w:pPr>
        <w:pStyle w:val="Heading1"/>
      </w:pPr>
      <w:r>
        <w:t xml:space="preserve">11  Specialist expertise</w:t>
      </w:r>
    </w:p>
    <w:tbl>
      <w:tblPr>
        <w:tblW w:type="dxa" w:w="9026"/>
        <w:tblBorders>
          <w:top w:val="nil"/>
          <w:left w:val="nil"/>
          <w:bottom w:val="nil"/>
          <w:right w:val="nil"/>
          <w:insideH w:val="nil"/>
          <w:insideV w:val="nil"/>
        </w:tblBorders>
      </w:tblPr>
      <w:tblGrid>
        <w:gridCol w:w="1838"/>
        <w:gridCol w:w="1150"/>
        <w:gridCol w:w="2796"/>
        <w:gridCol w:w="3242"/>
      </w:tblGrid>
      <w:tr>
        <w:trPr>
          <w:tblHeader/>
        </w:trPr>
        <w:tc>
          <w:tcPr>
            <w:tcW w:type="dxa" w:w="1838"/>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Need</w:t>
            </w:r>
          </w:p>
        </w:tc>
        <w:tc>
          <w:tcPr>
            <w:tcW w:type="dxa" w:w="1150"/>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Likely moment</w:t>
            </w:r>
          </w:p>
        </w:tc>
        <w:tc>
          <w:tcPr>
            <w:tcW w:type="dxa" w:w="279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Purpose</w:t>
            </w:r>
          </w:p>
        </w:tc>
        <w:tc>
          <w:tcPr>
            <w:tcW w:type="dxa" w:w="3242"/>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Scoping principle</w:t>
            </w:r>
          </w:p>
        </w:tc>
      </w:tr>
      <w:tr>
        <w:trPr>
          <w:tblHeader w:val="false"/>
        </w:trPr>
        <w:tc>
          <w:tcPr>
            <w:tcW w:type="dxa" w:w="1838"/>
            <w:tcBorders>
              <w:top w:val="nil"/>
              <w:left w:val="nil"/>
              <w:bottom w:val="single" w:color="C9C9C9" w:sz="4"/>
              <w:right w:val="nil"/>
            </w:tcBorders>
            <w:tcMar>
              <w:top w:type="dxa" w:w="60"/>
              <w:left w:type="dxa" w:w="0"/>
              <w:bottom w:type="dxa" w:w="60"/>
              <w:right w:type="dxa" w:w="140"/>
            </w:tcMar>
          </w:tcPr>
          <w:p>
            <w:pPr>
              <w:pStyle w:val="TableBody"/>
            </w:pPr>
            <w:r>
              <w:t xml:space="preserve">Research design and ethics</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WP1</w:t>
            </w:r>
          </w:p>
        </w:tc>
        <w:tc>
          <w:tcPr>
            <w:tcW w:type="dxa" w:w="2796"/>
            <w:tcBorders>
              <w:top w:val="nil"/>
              <w:left w:val="nil"/>
              <w:bottom w:val="single" w:color="C9C9C9" w:sz="4"/>
              <w:right w:val="nil"/>
            </w:tcBorders>
            <w:tcMar>
              <w:top w:type="dxa" w:w="60"/>
              <w:left w:type="dxa" w:w="0"/>
              <w:bottom w:type="dxa" w:w="60"/>
              <w:right w:type="dxa" w:w="140"/>
            </w:tcMar>
          </w:tcPr>
          <w:p>
            <w:pPr>
              <w:pStyle w:val="TableBody"/>
            </w:pPr>
            <w:r>
              <w:t xml:space="preserve">Challenge question design, sampling, participation and evidence claims.</w:t>
            </w:r>
          </w:p>
        </w:tc>
        <w:tc>
          <w:tcPr>
            <w:tcW w:type="dxa" w:w="3242"/>
            <w:tcBorders>
              <w:top w:val="nil"/>
              <w:left w:val="nil"/>
              <w:bottom w:val="single" w:color="C9C9C9" w:sz="4"/>
              <w:right w:val="nil"/>
            </w:tcBorders>
            <w:tcMar>
              <w:top w:type="dxa" w:w="60"/>
              <w:left w:type="dxa" w:w="0"/>
              <w:bottom w:type="dxa" w:w="60"/>
              <w:right w:type="dxa" w:w="140"/>
            </w:tcMar>
          </w:tcPr>
          <w:p>
            <w:pPr>
              <w:pStyle w:val="TableBody"/>
            </w:pPr>
            <w:r>
              <w:t xml:space="preserve">Short senior input; expand only if risk or method requires it.</w:t>
            </w:r>
          </w:p>
        </w:tc>
      </w:tr>
      <w:tr>
        <w:trPr>
          <w:tblHeader w:val="false"/>
        </w:trPr>
        <w:tc>
          <w:tcPr>
            <w:tcW w:type="dxa" w:w="1838"/>
            <w:tcBorders>
              <w:top w:val="nil"/>
              <w:left w:val="nil"/>
              <w:bottom w:val="single" w:color="C9C9C9" w:sz="4"/>
              <w:right w:val="nil"/>
            </w:tcBorders>
            <w:tcMar>
              <w:top w:type="dxa" w:w="60"/>
              <w:left w:type="dxa" w:w="0"/>
              <w:bottom w:type="dxa" w:w="60"/>
              <w:right w:type="dxa" w:w="140"/>
            </w:tcMar>
          </w:tcPr>
          <w:p>
            <w:pPr>
              <w:pStyle w:val="TableBody"/>
            </w:pPr>
            <w:r>
              <w:t xml:space="preserve">Place/cultural research</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WP2</w:t>
            </w:r>
          </w:p>
        </w:tc>
        <w:tc>
          <w:tcPr>
            <w:tcW w:type="dxa" w:w="2796"/>
            <w:tcBorders>
              <w:top w:val="nil"/>
              <w:left w:val="nil"/>
              <w:bottom w:val="single" w:color="C9C9C9" w:sz="4"/>
              <w:right w:val="nil"/>
            </w:tcBorders>
            <w:tcMar>
              <w:top w:type="dxa" w:w="60"/>
              <w:left w:type="dxa" w:w="0"/>
              <w:bottom w:type="dxa" w:w="60"/>
              <w:right w:type="dxa" w:w="140"/>
            </w:tcMar>
          </w:tcPr>
          <w:p>
            <w:pPr>
              <w:pStyle w:val="TableBody"/>
            </w:pPr>
            <w:r>
              <w:t xml:space="preserve">Strengthen comparative design, fieldwork and synthesis.</w:t>
            </w:r>
          </w:p>
        </w:tc>
        <w:tc>
          <w:tcPr>
            <w:tcW w:type="dxa" w:w="3242"/>
            <w:tcBorders>
              <w:top w:val="nil"/>
              <w:left w:val="nil"/>
              <w:bottom w:val="single" w:color="C9C9C9" w:sz="4"/>
              <w:right w:val="nil"/>
            </w:tcBorders>
            <w:tcMar>
              <w:top w:type="dxa" w:w="60"/>
              <w:left w:type="dxa" w:w="0"/>
              <w:bottom w:type="dxa" w:w="60"/>
              <w:right w:type="dxa" w:w="140"/>
            </w:tcMar>
          </w:tcPr>
          <w:p>
            <w:pPr>
              <w:pStyle w:val="TableBody"/>
            </w:pPr>
            <w:r>
              <w:t xml:space="preserve">Targeted challenge or facilitation rather than outsourcing core inquiry.</w:t>
            </w:r>
          </w:p>
        </w:tc>
      </w:tr>
      <w:tr>
        <w:trPr>
          <w:tblHeader w:val="false"/>
        </w:trPr>
        <w:tc>
          <w:tcPr>
            <w:tcW w:type="dxa" w:w="1838"/>
            <w:tcBorders>
              <w:top w:val="nil"/>
              <w:left w:val="nil"/>
              <w:bottom w:val="single" w:color="C9C9C9" w:sz="4"/>
              <w:right w:val="nil"/>
            </w:tcBorders>
            <w:tcMar>
              <w:top w:type="dxa" w:w="60"/>
              <w:left w:type="dxa" w:w="0"/>
              <w:bottom w:type="dxa" w:w="60"/>
              <w:right w:type="dxa" w:w="140"/>
            </w:tcMar>
          </w:tcPr>
          <w:p>
            <w:pPr>
              <w:pStyle w:val="TableBody"/>
            </w:pPr>
            <w:r>
              <w:t xml:space="preserve">Economic, funding or governance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WP3</w:t>
            </w:r>
          </w:p>
        </w:tc>
        <w:tc>
          <w:tcPr>
            <w:tcW w:type="dxa" w:w="2796"/>
            <w:tcBorders>
              <w:top w:val="nil"/>
              <w:left w:val="nil"/>
              <w:bottom w:val="single" w:color="C9C9C9" w:sz="4"/>
              <w:right w:val="nil"/>
            </w:tcBorders>
            <w:tcMar>
              <w:top w:type="dxa" w:w="60"/>
              <w:left w:type="dxa" w:w="0"/>
              <w:bottom w:type="dxa" w:w="60"/>
              <w:right w:type="dxa" w:w="140"/>
            </w:tcMar>
          </w:tcPr>
          <w:p>
            <w:pPr>
              <w:pStyle w:val="TableBody"/>
            </w:pPr>
            <w:r>
              <w:t xml:space="preserve">Interrogate value flows, ownership and restorative investment implications.</w:t>
            </w:r>
          </w:p>
        </w:tc>
        <w:tc>
          <w:tcPr>
            <w:tcW w:type="dxa" w:w="3242"/>
            <w:tcBorders>
              <w:top w:val="nil"/>
              <w:left w:val="nil"/>
              <w:bottom w:val="single" w:color="C9C9C9" w:sz="4"/>
              <w:right w:val="nil"/>
            </w:tcBorders>
            <w:tcMar>
              <w:top w:type="dxa" w:w="60"/>
              <w:left w:type="dxa" w:w="0"/>
              <w:bottom w:type="dxa" w:w="60"/>
              <w:right w:type="dxa" w:w="140"/>
            </w:tcMar>
          </w:tcPr>
          <w:p>
            <w:pPr>
              <w:pStyle w:val="TableBody"/>
            </w:pPr>
            <w:r>
              <w:t xml:space="preserve">Scope to selected questions; avoid a full economic impact study.</w:t>
            </w:r>
          </w:p>
        </w:tc>
      </w:tr>
      <w:tr>
        <w:trPr>
          <w:tblHeader w:val="false"/>
        </w:trPr>
        <w:tc>
          <w:tcPr>
            <w:tcW w:type="dxa" w:w="1838"/>
            <w:tcBorders>
              <w:top w:val="nil"/>
              <w:left w:val="nil"/>
              <w:bottom w:val="single" w:color="C9C9C9" w:sz="4"/>
              <w:right w:val="nil"/>
            </w:tcBorders>
            <w:tcMar>
              <w:top w:type="dxa" w:w="60"/>
              <w:left w:type="dxa" w:w="0"/>
              <w:bottom w:type="dxa" w:w="60"/>
              <w:right w:type="dxa" w:w="140"/>
            </w:tcMar>
          </w:tcPr>
          <w:p>
            <w:pPr>
              <w:pStyle w:val="TableBody"/>
            </w:pPr>
            <w:r>
              <w:t xml:space="preserve">Measurement and data ethics</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WP4</w:t>
            </w:r>
          </w:p>
        </w:tc>
        <w:tc>
          <w:tcPr>
            <w:tcW w:type="dxa" w:w="2796"/>
            <w:tcBorders>
              <w:top w:val="nil"/>
              <w:left w:val="nil"/>
              <w:bottom w:val="single" w:color="C9C9C9" w:sz="4"/>
              <w:right w:val="nil"/>
            </w:tcBorders>
            <w:tcMar>
              <w:top w:type="dxa" w:w="60"/>
              <w:left w:type="dxa" w:w="0"/>
              <w:bottom w:type="dxa" w:w="60"/>
              <w:right w:type="dxa" w:w="140"/>
            </w:tcMar>
          </w:tcPr>
          <w:p>
            <w:pPr>
              <w:pStyle w:val="TableBody"/>
            </w:pPr>
            <w:r>
              <w:t xml:space="preserve">Develop candidate dimensions, evidence standards and safe data principles.</w:t>
            </w:r>
          </w:p>
        </w:tc>
        <w:tc>
          <w:tcPr>
            <w:tcW w:type="dxa" w:w="3242"/>
            <w:tcBorders>
              <w:top w:val="nil"/>
              <w:left w:val="nil"/>
              <w:bottom w:val="single" w:color="C9C9C9" w:sz="4"/>
              <w:right w:val="nil"/>
            </w:tcBorders>
            <w:tcMar>
              <w:top w:type="dxa" w:w="60"/>
              <w:left w:type="dxa" w:w="0"/>
              <w:bottom w:type="dxa" w:w="60"/>
              <w:right w:type="dxa" w:w="140"/>
            </w:tcMar>
          </w:tcPr>
          <w:p>
            <w:pPr>
              <w:pStyle w:val="TableBody"/>
            </w:pPr>
            <w:r>
              <w:t xml:space="preserve">Senior design challenge and specification work.</w:t>
            </w:r>
          </w:p>
        </w:tc>
      </w:tr>
      <w:tr>
        <w:trPr>
          <w:tblHeader w:val="false"/>
        </w:trPr>
        <w:tc>
          <w:tcPr>
            <w:tcW w:type="dxa" w:w="1838"/>
            <w:tcBorders>
              <w:top w:val="nil"/>
              <w:left w:val="nil"/>
              <w:bottom w:val="single" w:color="C9C9C9" w:sz="4"/>
              <w:right w:val="nil"/>
            </w:tcBorders>
            <w:tcMar>
              <w:top w:type="dxa" w:w="60"/>
              <w:left w:type="dxa" w:w="0"/>
              <w:bottom w:type="dxa" w:w="60"/>
              <w:right w:type="dxa" w:w="140"/>
            </w:tcMar>
          </w:tcPr>
          <w:p>
            <w:pPr>
              <w:pStyle w:val="TableBody"/>
            </w:pPr>
            <w:r>
              <w:t xml:space="preserve">Service/information design</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WP4</w:t>
            </w:r>
          </w:p>
        </w:tc>
        <w:tc>
          <w:tcPr>
            <w:tcW w:type="dxa" w:w="2796"/>
            <w:tcBorders>
              <w:top w:val="nil"/>
              <w:left w:val="nil"/>
              <w:bottom w:val="single" w:color="C9C9C9" w:sz="4"/>
              <w:right w:val="nil"/>
            </w:tcBorders>
            <w:tcMar>
              <w:top w:type="dxa" w:w="60"/>
              <w:left w:type="dxa" w:w="0"/>
              <w:bottom w:type="dxa" w:w="60"/>
              <w:right w:type="dxa" w:w="140"/>
            </w:tcMar>
          </w:tcPr>
          <w:p>
            <w:pPr>
              <w:pStyle w:val="TableBody"/>
            </w:pPr>
            <w:r>
              <w:t xml:space="preserve">Turn the evidence architecture into a testable user experience.</w:t>
            </w:r>
          </w:p>
        </w:tc>
        <w:tc>
          <w:tcPr>
            <w:tcW w:type="dxa" w:w="3242"/>
            <w:tcBorders>
              <w:top w:val="nil"/>
              <w:left w:val="nil"/>
              <w:bottom w:val="single" w:color="C9C9C9" w:sz="4"/>
              <w:right w:val="nil"/>
            </w:tcBorders>
            <w:tcMar>
              <w:top w:type="dxa" w:w="60"/>
              <w:left w:type="dxa" w:w="0"/>
              <w:bottom w:type="dxa" w:w="60"/>
              <w:right w:type="dxa" w:w="140"/>
            </w:tcMar>
          </w:tcPr>
          <w:p>
            <w:pPr>
              <w:pStyle w:val="TableBody"/>
            </w:pPr>
            <w:r>
              <w:t xml:space="preserve">Low-fidelity prototype sufficient for learning.</w:t>
            </w:r>
          </w:p>
        </w:tc>
      </w:tr>
      <w:tr>
        <w:trPr>
          <w:tblHeader w:val="false"/>
        </w:trPr>
        <w:tc>
          <w:tcPr>
            <w:tcW w:type="dxa" w:w="1838"/>
            <w:tcBorders>
              <w:top w:val="nil"/>
              <w:left w:val="nil"/>
              <w:bottom w:val="single" w:color="C9C9C9" w:sz="4"/>
              <w:right w:val="nil"/>
            </w:tcBorders>
            <w:tcMar>
              <w:top w:type="dxa" w:w="60"/>
              <w:left w:type="dxa" w:w="0"/>
              <w:bottom w:type="dxa" w:w="60"/>
              <w:right w:type="dxa" w:w="140"/>
            </w:tcMar>
          </w:tcPr>
          <w:p>
            <w:pPr>
              <w:pStyle w:val="TableBody"/>
            </w:pPr>
            <w:r>
              <w:t xml:space="preserve">Technical feasibility</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WP4 / WP6</w:t>
            </w:r>
          </w:p>
        </w:tc>
        <w:tc>
          <w:tcPr>
            <w:tcW w:type="dxa" w:w="2796"/>
            <w:tcBorders>
              <w:top w:val="nil"/>
              <w:left w:val="nil"/>
              <w:bottom w:val="single" w:color="C9C9C9" w:sz="4"/>
              <w:right w:val="nil"/>
            </w:tcBorders>
            <w:tcMar>
              <w:top w:type="dxa" w:w="60"/>
              <w:left w:type="dxa" w:w="0"/>
              <w:bottom w:type="dxa" w:w="60"/>
              <w:right w:type="dxa" w:w="140"/>
            </w:tcMar>
          </w:tcPr>
          <w:p>
            <w:pPr>
              <w:pStyle w:val="TableBody"/>
            </w:pPr>
            <w:r>
              <w:t xml:space="preserve">Test data and product assumptions; estimate the next-stage build.</w:t>
            </w:r>
          </w:p>
        </w:tc>
        <w:tc>
          <w:tcPr>
            <w:tcW w:type="dxa" w:w="3242"/>
            <w:tcBorders>
              <w:top w:val="nil"/>
              <w:left w:val="nil"/>
              <w:bottom w:val="single" w:color="C9C9C9" w:sz="4"/>
              <w:right w:val="nil"/>
            </w:tcBorders>
            <w:tcMar>
              <w:top w:type="dxa" w:w="60"/>
              <w:left w:type="dxa" w:w="0"/>
              <w:bottom w:type="dxa" w:w="60"/>
              <w:right w:type="dxa" w:w="140"/>
            </w:tcMar>
          </w:tcPr>
          <w:p>
            <w:pPr>
              <w:pStyle w:val="TableBody"/>
            </w:pPr>
            <w:r>
              <w:t xml:space="preserve">Architecture and cost bands, not production software.</w:t>
            </w:r>
          </w:p>
        </w:tc>
      </w:tr>
      <w:tr>
        <w:trPr>
          <w:tblHeader w:val="false"/>
        </w:trPr>
        <w:tc>
          <w:tcPr>
            <w:tcW w:type="dxa" w:w="1838"/>
            <w:tcBorders>
              <w:top w:val="nil"/>
              <w:left w:val="nil"/>
              <w:bottom w:val="single" w:color="C9C9C9" w:sz="4"/>
              <w:right w:val="nil"/>
            </w:tcBorders>
            <w:tcMar>
              <w:top w:type="dxa" w:w="60"/>
              <w:left w:type="dxa" w:w="0"/>
              <w:bottom w:type="dxa" w:w="60"/>
              <w:right w:type="dxa" w:w="140"/>
            </w:tcMar>
          </w:tcPr>
          <w:p>
            <w:pPr>
              <w:pStyle w:val="TableBody"/>
            </w:pPr>
            <w:r>
              <w:t xml:space="preserve">Institutional / legal / commercial</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WP5</w:t>
            </w:r>
          </w:p>
        </w:tc>
        <w:tc>
          <w:tcPr>
            <w:tcW w:type="dxa" w:w="2796"/>
            <w:tcBorders>
              <w:top w:val="nil"/>
              <w:left w:val="nil"/>
              <w:bottom w:val="single" w:color="C9C9C9" w:sz="4"/>
              <w:right w:val="nil"/>
            </w:tcBorders>
            <w:tcMar>
              <w:top w:type="dxa" w:w="60"/>
              <w:left w:type="dxa" w:w="0"/>
              <w:bottom w:type="dxa" w:w="60"/>
              <w:right w:type="dxa" w:w="140"/>
            </w:tcMar>
          </w:tcPr>
          <w:p>
            <w:pPr>
              <w:pStyle w:val="TableBody"/>
            </w:pPr>
            <w:r>
              <w:t xml:space="preserve">Test governance, partnerships, intellectual assets and income pathways.</w:t>
            </w:r>
          </w:p>
        </w:tc>
        <w:tc>
          <w:tcPr>
            <w:tcW w:type="dxa" w:w="3242"/>
            <w:tcBorders>
              <w:top w:val="nil"/>
              <w:left w:val="nil"/>
              <w:bottom w:val="single" w:color="C9C9C9" w:sz="4"/>
              <w:right w:val="nil"/>
            </w:tcBorders>
            <w:tcMar>
              <w:top w:type="dxa" w:w="60"/>
              <w:left w:type="dxa" w:w="0"/>
              <w:bottom w:type="dxa" w:w="60"/>
              <w:right w:type="dxa" w:w="140"/>
            </w:tcMar>
          </w:tcPr>
          <w:p>
            <w:pPr>
              <w:pStyle w:val="TableBody"/>
            </w:pPr>
            <w:r>
              <w:t xml:space="preserve">Use at decision points; retain flexibility across expertise.</w:t>
            </w:r>
          </w:p>
        </w:tc>
      </w:tr>
      <w:tr>
        <w:trPr>
          <w:tblHeader w:val="false"/>
        </w:trPr>
        <w:tc>
          <w:tcPr>
            <w:tcW w:type="dxa" w:w="1838"/>
            <w:tcBorders>
              <w:top w:val="nil"/>
              <w:left w:val="nil"/>
              <w:bottom w:val="single" w:color="C9C9C9" w:sz="4"/>
              <w:right w:val="nil"/>
            </w:tcBorders>
            <w:tcMar>
              <w:top w:type="dxa" w:w="60"/>
              <w:left w:type="dxa" w:w="0"/>
              <w:bottom w:type="dxa" w:w="60"/>
              <w:right w:type="dxa" w:w="140"/>
            </w:tcMar>
          </w:tcPr>
          <w:p>
            <w:pPr>
              <w:pStyle w:val="TableBody"/>
            </w:pPr>
            <w:r>
              <w:t xml:space="preserve">Editorial and design</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WP6</w:t>
            </w:r>
          </w:p>
        </w:tc>
        <w:tc>
          <w:tcPr>
            <w:tcW w:type="dxa" w:w="2796"/>
            <w:tcBorders>
              <w:top w:val="nil"/>
              <w:left w:val="nil"/>
              <w:bottom w:val="single" w:color="C9C9C9" w:sz="4"/>
              <w:right w:val="nil"/>
            </w:tcBorders>
            <w:tcMar>
              <w:top w:type="dxa" w:w="60"/>
              <w:left w:type="dxa" w:w="0"/>
              <w:bottom w:type="dxa" w:w="60"/>
              <w:right w:type="dxa" w:w="140"/>
            </w:tcMar>
          </w:tcPr>
          <w:p>
            <w:pPr>
              <w:pStyle w:val="TableBody"/>
            </w:pPr>
            <w:r>
              <w:t xml:space="preserve">Make the field argument and mobilisation materials clear and compelling.</w:t>
            </w:r>
          </w:p>
        </w:tc>
        <w:tc>
          <w:tcPr>
            <w:tcW w:type="dxa" w:w="3242"/>
            <w:tcBorders>
              <w:top w:val="nil"/>
              <w:left w:val="nil"/>
              <w:bottom w:val="single" w:color="C9C9C9" w:sz="4"/>
              <w:right w:val="nil"/>
            </w:tcBorders>
            <w:tcMar>
              <w:top w:type="dxa" w:w="60"/>
              <w:left w:type="dxa" w:w="0"/>
              <w:bottom w:type="dxa" w:w="60"/>
              <w:right w:type="dxa" w:w="140"/>
            </w:tcMar>
          </w:tcPr>
          <w:p>
            <w:pPr>
              <w:pStyle w:val="TableBody"/>
            </w:pPr>
            <w:r>
              <w:t xml:space="preserve">Prioritise outputs required to secure use and next-stage backing.</w:t>
            </w:r>
          </w:p>
        </w:tc>
      </w:tr>
    </w:tbl>
    <w:p>
      <w:pPr>
        <w:pStyle w:val="Heading1"/>
      </w:pPr>
      <w:r>
        <w:t xml:space="preserve">12  Decision gates</w:t>
      </w:r>
    </w:p>
    <w:tbl>
      <w:tblPr>
        <w:tblW w:type="dxa" w:w="9026"/>
        <w:tblBorders>
          <w:top w:val="nil"/>
          <w:left w:val="nil"/>
          <w:bottom w:val="nil"/>
          <w:right w:val="nil"/>
          <w:insideH w:val="nil"/>
          <w:insideV w:val="nil"/>
        </w:tblBorders>
      </w:tblPr>
      <w:tblGrid>
        <w:gridCol w:w="1703"/>
        <w:gridCol w:w="1150"/>
        <w:gridCol w:w="2767"/>
        <w:gridCol w:w="3406"/>
      </w:tblGrid>
      <w:tr>
        <w:trPr>
          <w:tblHeader/>
        </w:trPr>
        <w:tc>
          <w:tcPr>
            <w:tcW w:type="dxa" w:w="170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Gate</w:t>
            </w:r>
          </w:p>
        </w:tc>
        <w:tc>
          <w:tcPr>
            <w:tcW w:type="dxa" w:w="1150"/>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Timing</w:t>
            </w:r>
          </w:p>
        </w:tc>
        <w:tc>
          <w:tcPr>
            <w:tcW w:type="dxa" w:w="2767"/>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Decision</w:t>
            </w:r>
          </w:p>
        </w:tc>
        <w:tc>
          <w:tcPr>
            <w:tcW w:type="dxa" w:w="340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Evidence required</w:t>
            </w:r>
          </w:p>
        </w:tc>
      </w:tr>
      <w:tr>
        <w:trPr>
          <w:tblHeader w:val="false"/>
        </w:trPr>
        <w:tc>
          <w:tcPr>
            <w:tcW w:type="dxa" w:w="1703"/>
            <w:tcBorders>
              <w:top w:val="nil"/>
              <w:left w:val="nil"/>
              <w:bottom w:val="single" w:color="C9C9C9" w:sz="4"/>
              <w:right w:val="nil"/>
            </w:tcBorders>
            <w:tcMar>
              <w:top w:type="dxa" w:w="60"/>
              <w:left w:type="dxa" w:w="0"/>
              <w:bottom w:type="dxa" w:w="60"/>
              <w:right w:type="dxa" w:w="140"/>
            </w:tcMar>
          </w:tcPr>
          <w:p>
            <w:pPr>
              <w:pStyle w:val="TableBody"/>
            </w:pPr>
            <w:r>
              <w:t xml:space="preserve">G1 — Inquiry ready</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End M2</w:t>
            </w:r>
          </w:p>
        </w:tc>
        <w:tc>
          <w:tcPr>
            <w:tcW w:type="dxa" w:w="2767"/>
            <w:tcBorders>
              <w:top w:val="nil"/>
              <w:left w:val="nil"/>
              <w:bottom w:val="single" w:color="C9C9C9" w:sz="4"/>
              <w:right w:val="nil"/>
            </w:tcBorders>
            <w:tcMar>
              <w:top w:type="dxa" w:w="60"/>
              <w:left w:type="dxa" w:w="0"/>
              <w:bottom w:type="dxa" w:w="60"/>
              <w:right w:type="dxa" w:w="140"/>
            </w:tcMar>
          </w:tcPr>
          <w:p>
            <w:pPr>
              <w:pStyle w:val="TableBody"/>
            </w:pPr>
            <w:r>
              <w:t xml:space="preserve">Approve scope, cases, ethics and evidence plan.</w:t>
            </w:r>
          </w:p>
        </w:tc>
        <w:tc>
          <w:tcPr>
            <w:tcW w:type="dxa" w:w="3406"/>
            <w:tcBorders>
              <w:top w:val="nil"/>
              <w:left w:val="nil"/>
              <w:bottom w:val="single" w:color="C9C9C9" w:sz="4"/>
              <w:right w:val="nil"/>
            </w:tcBorders>
            <w:tcMar>
              <w:top w:type="dxa" w:w="60"/>
              <w:left w:type="dxa" w:w="0"/>
              <w:bottom w:type="dxa" w:w="60"/>
              <w:right w:type="dxa" w:w="140"/>
            </w:tcMar>
          </w:tcPr>
          <w:p>
            <w:pPr>
              <w:pStyle w:val="TableBody"/>
            </w:pPr>
            <w:r>
              <w:t xml:space="preserve">Questions map to decisions; research burden fits resource; funding boundaries are clear.</w:t>
            </w:r>
          </w:p>
        </w:tc>
      </w:tr>
      <w:tr>
        <w:trPr>
          <w:tblHeader w:val="false"/>
        </w:trPr>
        <w:tc>
          <w:tcPr>
            <w:tcW w:type="dxa" w:w="1703"/>
            <w:tcBorders>
              <w:top w:val="nil"/>
              <w:left w:val="nil"/>
              <w:bottom w:val="single" w:color="C9C9C9" w:sz="4"/>
              <w:right w:val="nil"/>
            </w:tcBorders>
            <w:tcMar>
              <w:top w:type="dxa" w:w="60"/>
              <w:left w:type="dxa" w:w="0"/>
              <w:bottom w:type="dxa" w:w="60"/>
              <w:right w:type="dxa" w:w="140"/>
            </w:tcMar>
          </w:tcPr>
          <w:p>
            <w:pPr>
              <w:pStyle w:val="TableBody"/>
            </w:pPr>
            <w:r>
              <w:t xml:space="preserve">G2 — Place evidence sufficient</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M4–5</w:t>
            </w:r>
          </w:p>
        </w:tc>
        <w:tc>
          <w:tcPr>
            <w:tcW w:type="dxa" w:w="2767"/>
            <w:tcBorders>
              <w:top w:val="nil"/>
              <w:left w:val="nil"/>
              <w:bottom w:val="single" w:color="C9C9C9" w:sz="4"/>
              <w:right w:val="nil"/>
            </w:tcBorders>
            <w:tcMar>
              <w:top w:type="dxa" w:w="60"/>
              <w:left w:type="dxa" w:w="0"/>
              <w:bottom w:type="dxa" w:w="60"/>
              <w:right w:type="dxa" w:w="140"/>
            </w:tcMar>
          </w:tcPr>
          <w:p>
            <w:pPr>
              <w:pStyle w:val="TableBody"/>
            </w:pPr>
            <w:r>
              <w:t xml:space="preserve">Confirm or adapt place cases and thematic focus.</w:t>
            </w:r>
          </w:p>
        </w:tc>
        <w:tc>
          <w:tcPr>
            <w:tcW w:type="dxa" w:w="3406"/>
            <w:tcBorders>
              <w:top w:val="nil"/>
              <w:left w:val="nil"/>
              <w:bottom w:val="single" w:color="C9C9C9" w:sz="4"/>
              <w:right w:val="nil"/>
            </w:tcBorders>
            <w:tcMar>
              <w:top w:type="dxa" w:w="60"/>
              <w:left w:type="dxa" w:w="0"/>
              <w:bottom w:type="dxa" w:w="60"/>
              <w:right w:type="dxa" w:w="140"/>
            </w:tcMar>
          </w:tcPr>
          <w:p>
            <w:pPr>
              <w:pStyle w:val="TableBody"/>
            </w:pPr>
            <w:r>
              <w:t xml:space="preserve">Contrasting evidence; culturally credible participation; visible people/place pathways.</w:t>
            </w:r>
          </w:p>
        </w:tc>
      </w:tr>
      <w:tr>
        <w:trPr>
          <w:tblHeader w:val="false"/>
        </w:trPr>
        <w:tc>
          <w:tcPr>
            <w:tcW w:type="dxa" w:w="1703"/>
            <w:tcBorders>
              <w:top w:val="nil"/>
              <w:left w:val="nil"/>
              <w:bottom w:val="single" w:color="C9C9C9" w:sz="4"/>
              <w:right w:val="nil"/>
            </w:tcBorders>
            <w:tcMar>
              <w:top w:type="dxa" w:w="60"/>
              <w:left w:type="dxa" w:w="0"/>
              <w:bottom w:type="dxa" w:w="60"/>
              <w:right w:type="dxa" w:w="140"/>
            </w:tcMar>
          </w:tcPr>
          <w:p>
            <w:pPr>
              <w:pStyle w:val="TableBody"/>
            </w:pPr>
            <w:r>
              <w:t xml:space="preserve">G3 — Value hypotheses usable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M6–7</w:t>
            </w:r>
          </w:p>
        </w:tc>
        <w:tc>
          <w:tcPr>
            <w:tcW w:type="dxa" w:w="2767"/>
            <w:tcBorders>
              <w:top w:val="nil"/>
              <w:left w:val="nil"/>
              <w:bottom w:val="single" w:color="C9C9C9" w:sz="4"/>
              <w:right w:val="nil"/>
            </w:tcBorders>
            <w:tcMar>
              <w:top w:type="dxa" w:w="60"/>
              <w:left w:type="dxa" w:w="0"/>
              <w:bottom w:type="dxa" w:w="60"/>
              <w:right w:type="dxa" w:w="140"/>
            </w:tcMar>
          </w:tcPr>
          <w:p>
            <w:pPr>
              <w:pStyle w:val="TableBody"/>
            </w:pPr>
            <w:r>
              <w:t xml:space="preserve">Select value and power questions for prototype development.</w:t>
            </w:r>
          </w:p>
        </w:tc>
        <w:tc>
          <w:tcPr>
            <w:tcW w:type="dxa" w:w="3406"/>
            <w:tcBorders>
              <w:top w:val="nil"/>
              <w:left w:val="nil"/>
              <w:bottom w:val="single" w:color="C9C9C9" w:sz="4"/>
              <w:right w:val="nil"/>
            </w:tcBorders>
            <w:tcMar>
              <w:top w:type="dxa" w:w="60"/>
              <w:left w:type="dxa" w:w="0"/>
              <w:bottom w:type="dxa" w:w="60"/>
              <w:right w:type="dxa" w:w="140"/>
            </w:tcMar>
          </w:tcPr>
          <w:p>
            <w:pPr>
              <w:pStyle w:val="TableBody"/>
            </w:pPr>
            <w:r>
              <w:t xml:space="preserve">Traceable value flows; stakeholder challenge; implications for intended users.</w:t>
            </w:r>
          </w:p>
        </w:tc>
      </w:tr>
      <w:tr>
        <w:trPr>
          <w:tblHeader w:val="false"/>
        </w:trPr>
        <w:tc>
          <w:tcPr>
            <w:tcW w:type="dxa" w:w="1703"/>
            <w:tcBorders>
              <w:top w:val="nil"/>
              <w:left w:val="nil"/>
              <w:bottom w:val="single" w:color="C9C9C9" w:sz="4"/>
              <w:right w:val="nil"/>
            </w:tcBorders>
            <w:tcMar>
              <w:top w:type="dxa" w:w="60"/>
              <w:left w:type="dxa" w:w="0"/>
              <w:bottom w:type="dxa" w:w="60"/>
              <w:right w:type="dxa" w:w="140"/>
            </w:tcMar>
          </w:tcPr>
          <w:p>
            <w:pPr>
              <w:pStyle w:val="TableBody"/>
            </w:pPr>
            <w:r>
              <w:t xml:space="preserve">G4 — Prototype route chosen</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M7–8</w:t>
            </w:r>
          </w:p>
        </w:tc>
        <w:tc>
          <w:tcPr>
            <w:tcW w:type="dxa" w:w="2767"/>
            <w:tcBorders>
              <w:top w:val="nil"/>
              <w:left w:val="nil"/>
              <w:bottom w:val="single" w:color="C9C9C9" w:sz="4"/>
              <w:right w:val="nil"/>
            </w:tcBorders>
            <w:tcMar>
              <w:top w:type="dxa" w:w="60"/>
              <w:left w:type="dxa" w:w="0"/>
              <w:bottom w:type="dxa" w:w="60"/>
              <w:right w:type="dxa" w:w="140"/>
            </w:tcMar>
          </w:tcPr>
          <w:p>
            <w:pPr>
              <w:pStyle w:val="TableBody"/>
            </w:pPr>
            <w:r>
              <w:t xml:space="preserve">Choose the smallest useful NCVI expression to test.</w:t>
            </w:r>
          </w:p>
        </w:tc>
        <w:tc>
          <w:tcPr>
            <w:tcW w:type="dxa" w:w="3406"/>
            <w:tcBorders>
              <w:top w:val="nil"/>
              <w:left w:val="nil"/>
              <w:bottom w:val="single" w:color="C9C9C9" w:sz="4"/>
              <w:right w:val="nil"/>
            </w:tcBorders>
            <w:tcMar>
              <w:top w:type="dxa" w:w="60"/>
              <w:left w:type="dxa" w:w="0"/>
              <w:bottom w:type="dxa" w:w="60"/>
              <w:right w:type="dxa" w:w="140"/>
            </w:tcMar>
          </w:tcPr>
          <w:p>
            <w:pPr>
              <w:pStyle w:val="TableBody"/>
            </w:pPr>
            <w:r>
              <w:t xml:space="preserve">Clear users and decisions; feasible data assumptions; ethical route; affordable test.</w:t>
            </w:r>
          </w:p>
        </w:tc>
      </w:tr>
      <w:tr>
        <w:trPr>
          <w:tblHeader w:val="false"/>
        </w:trPr>
        <w:tc>
          <w:tcPr>
            <w:tcW w:type="dxa" w:w="1703"/>
            <w:tcBorders>
              <w:top w:val="nil"/>
              <w:left w:val="nil"/>
              <w:bottom w:val="single" w:color="C9C9C9" w:sz="4"/>
              <w:right w:val="nil"/>
            </w:tcBorders>
            <w:tcMar>
              <w:top w:type="dxa" w:w="60"/>
              <w:left w:type="dxa" w:w="0"/>
              <w:bottom w:type="dxa" w:w="60"/>
              <w:right w:type="dxa" w:w="140"/>
            </w:tcMar>
          </w:tcPr>
          <w:p>
            <w:pPr>
              <w:pStyle w:val="TableBody"/>
            </w:pPr>
            <w:r>
              <w:t xml:space="preserve">G5 — Institution credible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M9–10</w:t>
            </w:r>
          </w:p>
        </w:tc>
        <w:tc>
          <w:tcPr>
            <w:tcW w:type="dxa" w:w="2767"/>
            <w:tcBorders>
              <w:top w:val="nil"/>
              <w:left w:val="nil"/>
              <w:bottom w:val="single" w:color="C9C9C9" w:sz="4"/>
              <w:right w:val="nil"/>
            </w:tcBorders>
            <w:tcMar>
              <w:top w:type="dxa" w:w="60"/>
              <w:left w:type="dxa" w:w="0"/>
              <w:bottom w:type="dxa" w:w="60"/>
              <w:right w:type="dxa" w:w="140"/>
            </w:tcMar>
          </w:tcPr>
          <w:p>
            <w:pPr>
              <w:pStyle w:val="TableBody"/>
            </w:pPr>
            <w:r>
              <w:t xml:space="preserve">Confirm Nightlife Culture offer, partnerships and next-stage route.</w:t>
            </w:r>
          </w:p>
        </w:tc>
        <w:tc>
          <w:tcPr>
            <w:tcW w:type="dxa" w:w="3406"/>
            <w:tcBorders>
              <w:top w:val="nil"/>
              <w:left w:val="nil"/>
              <w:bottom w:val="single" w:color="C9C9C9" w:sz="4"/>
              <w:right w:val="nil"/>
            </w:tcBorders>
            <w:tcMar>
              <w:top w:type="dxa" w:w="60"/>
              <w:left w:type="dxa" w:w="0"/>
              <w:bottom w:type="dxa" w:w="60"/>
              <w:right w:type="dxa" w:w="140"/>
            </w:tcMar>
          </w:tcPr>
          <w:p>
            <w:pPr>
              <w:pStyle w:val="TableBody"/>
            </w:pPr>
            <w:r>
              <w:t xml:space="preserve">Recognisable proposition; quality safeguards; capability and income pathways.</w:t>
            </w:r>
          </w:p>
        </w:tc>
      </w:tr>
      <w:tr>
        <w:trPr>
          <w:tblHeader w:val="false"/>
        </w:trPr>
        <w:tc>
          <w:tcPr>
            <w:tcW w:type="dxa" w:w="1703"/>
            <w:tcBorders>
              <w:top w:val="nil"/>
              <w:left w:val="nil"/>
              <w:bottom w:val="single" w:color="C9C9C9" w:sz="4"/>
              <w:right w:val="nil"/>
            </w:tcBorders>
            <w:tcMar>
              <w:top w:type="dxa" w:w="60"/>
              <w:left w:type="dxa" w:w="0"/>
              <w:bottom w:type="dxa" w:w="60"/>
              <w:right w:type="dxa" w:w="140"/>
            </w:tcMar>
          </w:tcPr>
          <w:p>
            <w:pPr>
              <w:pStyle w:val="TableBody"/>
            </w:pPr>
            <w:r>
              <w:t xml:space="preserve">G6 — Mobilise next phase</w:t>
            </w:r>
          </w:p>
        </w:tc>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M11–12</w:t>
            </w:r>
          </w:p>
        </w:tc>
        <w:tc>
          <w:tcPr>
            <w:tcW w:type="dxa" w:w="2767"/>
            <w:tcBorders>
              <w:top w:val="nil"/>
              <w:left w:val="nil"/>
              <w:bottom w:val="single" w:color="C9C9C9" w:sz="4"/>
              <w:right w:val="nil"/>
            </w:tcBorders>
            <w:tcMar>
              <w:top w:type="dxa" w:w="60"/>
              <w:left w:type="dxa" w:w="0"/>
              <w:bottom w:type="dxa" w:w="60"/>
              <w:right w:type="dxa" w:w="140"/>
            </w:tcMar>
          </w:tcPr>
          <w:p>
            <w:pPr>
              <w:pStyle w:val="TableBody"/>
            </w:pPr>
            <w:r>
              <w:t xml:space="preserve">Approve claims, outputs, cost bands, partners and funding route.</w:t>
            </w:r>
          </w:p>
        </w:tc>
        <w:tc>
          <w:tcPr>
            <w:tcW w:type="dxa" w:w="3406"/>
            <w:tcBorders>
              <w:top w:val="nil"/>
              <w:left w:val="nil"/>
              <w:bottom w:val="single" w:color="C9C9C9" w:sz="4"/>
              <w:right w:val="nil"/>
            </w:tcBorders>
            <w:tcMar>
              <w:top w:type="dxa" w:w="60"/>
              <w:left w:type="dxa" w:w="0"/>
              <w:bottom w:type="dxa" w:w="60"/>
              <w:right w:type="dxa" w:w="140"/>
            </w:tcMar>
          </w:tcPr>
          <w:p>
            <w:pPr>
              <w:pStyle w:val="TableBody"/>
            </w:pPr>
            <w:r>
              <w:t xml:space="preserve">Evidence traceability; user value; honest larger-phase scope; named next decisions.</w:t>
            </w:r>
          </w:p>
        </w:tc>
      </w:tr>
    </w:tbl>
    <w:p>
      <w:pPr>
        <w:pStyle w:val="Heading1"/>
      </w:pPr>
      <w:r>
        <w:t xml:space="preserve">13  Risks and controls</w:t>
      </w:r>
    </w:p>
    <w:tbl>
      <w:tblPr>
        <w:tblW w:type="dxa" w:w="9026"/>
        <w:tblBorders>
          <w:top w:val="nil"/>
          <w:left w:val="nil"/>
          <w:bottom w:val="nil"/>
          <w:right w:val="nil"/>
          <w:insideH w:val="nil"/>
          <w:insideV w:val="nil"/>
        </w:tblBorders>
      </w:tblPr>
      <w:tblGrid>
        <w:gridCol w:w="2134"/>
        <w:gridCol w:w="2668"/>
        <w:gridCol w:w="2668"/>
        <w:gridCol w:w="1556"/>
      </w:tblGrid>
      <w:tr>
        <w:trPr>
          <w:tblHeader/>
        </w:trPr>
        <w:tc>
          <w:tcPr>
            <w:tcW w:type="dxa" w:w="2134"/>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Risk</w:t>
            </w:r>
          </w:p>
        </w:tc>
        <w:tc>
          <w:tcPr>
            <w:tcW w:type="dxa" w:w="2668"/>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Signal</w:t>
            </w:r>
          </w:p>
        </w:tc>
        <w:tc>
          <w:tcPr>
            <w:tcW w:type="dxa" w:w="2668"/>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Control</w:t>
            </w:r>
          </w:p>
        </w:tc>
        <w:tc>
          <w:tcPr>
            <w:tcW w:type="dxa" w:w="155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Gate / owner</w:t>
            </w:r>
          </w:p>
        </w:tc>
      </w:tr>
      <w:tr>
        <w:trPr>
          <w:tblHeader w:val="false"/>
        </w:trPr>
        <w:tc>
          <w:tcPr>
            <w:tcW w:type="dxa" w:w="2134"/>
            <w:tcBorders>
              <w:top w:val="nil"/>
              <w:left w:val="nil"/>
              <w:bottom w:val="single" w:color="C9C9C9" w:sz="4"/>
              <w:right w:val="nil"/>
            </w:tcBorders>
            <w:tcMar>
              <w:top w:type="dxa" w:w="60"/>
              <w:left w:type="dxa" w:w="0"/>
              <w:bottom w:type="dxa" w:w="60"/>
              <w:right w:type="dxa" w:w="140"/>
            </w:tcMar>
          </w:tcPr>
          <w:p>
            <w:pPr>
              <w:pStyle w:val="TableBody"/>
            </w:pPr>
            <w:r>
              <w:t xml:space="preserve">Founder overload</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UKDF phases slip behind WECA delivery or preparation expands beyond protected capacity.</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Schedule monthly capacity review; protect phase outputs; commission targeted support; intensify after month six.</w:t>
            </w:r>
          </w:p>
        </w:tc>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Monthly / Carly</w:t>
            </w:r>
          </w:p>
        </w:tc>
      </w:tr>
      <w:tr>
        <w:trPr>
          <w:tblHeader w:val="false"/>
        </w:trPr>
        <w:tc>
          <w:tcPr>
            <w:tcW w:type="dxa" w:w="2134"/>
            <w:tcBorders>
              <w:top w:val="nil"/>
              <w:left w:val="nil"/>
              <w:bottom w:val="single" w:color="C9C9C9" w:sz="4"/>
              <w:right w:val="nil"/>
            </w:tcBorders>
            <w:tcMar>
              <w:top w:type="dxa" w:w="60"/>
              <w:left w:type="dxa" w:w="0"/>
              <w:bottom w:type="dxa" w:w="60"/>
              <w:right w:type="dxa" w:w="140"/>
            </w:tcMar>
          </w:tcPr>
          <w:p>
            <w:pPr>
              <w:pStyle w:val="TableBody"/>
            </w:pPr>
            <w:r>
              <w:t xml:space="preserve">Scope expands into a national research programme</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Requests for more places, surveys, national data or impact measurement enter the core phase.</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Use the within/later scope table; record extensions as next-phase requirements.</w:t>
            </w:r>
          </w:p>
        </w:tc>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G1, G4 / Carly + adviser</w:t>
            </w:r>
          </w:p>
        </w:tc>
      </w:tr>
      <w:tr>
        <w:trPr>
          <w:tblHeader w:val="false"/>
        </w:trPr>
        <w:tc>
          <w:tcPr>
            <w:tcW w:type="dxa" w:w="2134"/>
            <w:tcBorders>
              <w:top w:val="nil"/>
              <w:left w:val="nil"/>
              <w:bottom w:val="single" w:color="C9C9C9" w:sz="4"/>
              <w:right w:val="nil"/>
            </w:tcBorders>
            <w:tcMar>
              <w:top w:type="dxa" w:w="60"/>
              <w:left w:type="dxa" w:w="0"/>
              <w:bottom w:type="dxa" w:w="60"/>
              <w:right w:type="dxa" w:w="140"/>
            </w:tcMar>
          </w:tcPr>
          <w:p>
            <w:pPr>
              <w:pStyle w:val="TableBody"/>
            </w:pPr>
            <w:r>
              <w:t xml:space="preserve">Specialist work is under-scoped</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Advice reveals a need for substantive new research, technical build or legal work.</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Use short discovery scopes; obtain cost bands; move production work into the fundable next phase.</w:t>
            </w:r>
          </w:p>
        </w:tc>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Each commission / Carly</w:t>
            </w:r>
          </w:p>
        </w:tc>
      </w:tr>
      <w:tr>
        <w:trPr>
          <w:tblHeader w:val="false"/>
        </w:trPr>
        <w:tc>
          <w:tcPr>
            <w:tcW w:type="dxa" w:w="2134"/>
            <w:tcBorders>
              <w:top w:val="nil"/>
              <w:left w:val="nil"/>
              <w:bottom w:val="single" w:color="C9C9C9" w:sz="4"/>
              <w:right w:val="nil"/>
            </w:tcBorders>
            <w:tcMar>
              <w:top w:type="dxa" w:w="60"/>
              <w:left w:type="dxa" w:w="0"/>
              <w:bottom w:type="dxa" w:w="60"/>
              <w:right w:type="dxa" w:w="140"/>
            </w:tcMar>
          </w:tcPr>
          <w:p>
            <w:pPr>
              <w:pStyle w:val="TableBody"/>
            </w:pPr>
            <w:r>
              <w:t xml:space="preserve">Participation burden or extractive research</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Local contributors repeat unpaid accounts without seeing value or influence.</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Pay substantial contributions; limit asks; show how input changed decisions; return accessible learning.</w:t>
            </w:r>
          </w:p>
        </w:tc>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G1–G3 / Carly</w:t>
            </w:r>
          </w:p>
        </w:tc>
      </w:tr>
      <w:tr>
        <w:trPr>
          <w:tblHeader w:val="false"/>
        </w:trPr>
        <w:tc>
          <w:tcPr>
            <w:tcW w:type="dxa" w:w="2134"/>
            <w:tcBorders>
              <w:top w:val="nil"/>
              <w:left w:val="nil"/>
              <w:bottom w:val="single" w:color="C9C9C9" w:sz="4"/>
              <w:right w:val="nil"/>
            </w:tcBorders>
            <w:tcMar>
              <w:top w:type="dxa" w:w="60"/>
              <w:left w:type="dxa" w:w="0"/>
              <w:bottom w:type="dxa" w:w="60"/>
              <w:right w:type="dxa" w:w="140"/>
            </w:tcMar>
          </w:tcPr>
          <w:p>
            <w:pPr>
              <w:pStyle w:val="TableBody"/>
            </w:pPr>
            <w:r>
              <w:t xml:space="preserve">NCVI promise outruns evidence</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Language shifts from proposed evidence layer to validated index or product.</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Use canonical definition; test candidate dimensions and user value; publish uncertainty and technical next steps.</w:t>
            </w:r>
          </w:p>
        </w:tc>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G4 / Carly + measurement specialist</w:t>
            </w:r>
          </w:p>
        </w:tc>
      </w:tr>
      <w:tr>
        <w:trPr>
          <w:tblHeader w:val="false"/>
        </w:trPr>
        <w:tc>
          <w:tcPr>
            <w:tcW w:type="dxa" w:w="2134"/>
            <w:tcBorders>
              <w:top w:val="nil"/>
              <w:left w:val="nil"/>
              <w:bottom w:val="single" w:color="C9C9C9" w:sz="4"/>
              <w:right w:val="nil"/>
            </w:tcBorders>
            <w:tcMar>
              <w:top w:type="dxa" w:w="60"/>
              <w:left w:type="dxa" w:w="0"/>
              <w:bottom w:type="dxa" w:w="60"/>
              <w:right w:type="dxa" w:w="140"/>
            </w:tcMar>
          </w:tcPr>
          <w:p>
            <w:pPr>
              <w:pStyle w:val="TableBody"/>
            </w:pPr>
            <w:r>
              <w:t xml:space="preserve">Funding boundaries blur</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ATTTF, WECA, UKDF or future ACE/partner work share activities or claims without attribution.</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Separate scopes, records and outputs; funding-boundary review at each gate.</w:t>
            </w:r>
          </w:p>
        </w:tc>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All gates / Carly</w:t>
            </w:r>
          </w:p>
        </w:tc>
      </w:tr>
      <w:tr>
        <w:trPr>
          <w:tblHeader w:val="false"/>
        </w:trPr>
        <w:tc>
          <w:tcPr>
            <w:tcW w:type="dxa" w:w="2134"/>
            <w:tcBorders>
              <w:top w:val="nil"/>
              <w:left w:val="nil"/>
              <w:bottom w:val="single" w:color="C9C9C9" w:sz="4"/>
              <w:right w:val="nil"/>
            </w:tcBorders>
            <w:tcMar>
              <w:top w:type="dxa" w:w="60"/>
              <w:left w:type="dxa" w:w="0"/>
              <w:bottom w:type="dxa" w:w="60"/>
              <w:right w:type="dxa" w:w="140"/>
            </w:tcMar>
          </w:tcPr>
          <w:p>
            <w:pPr>
              <w:pStyle w:val="TableBody"/>
            </w:pPr>
            <w:r>
              <w:t xml:space="preserve">Institution remains founder-dependent</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Nightlife Culture proposition cannot be carried through partners or specialist capacity.</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Define repeatable method, quality safeguards, three-part business shape and next-stage capability map.</w:t>
            </w:r>
          </w:p>
        </w:tc>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G5 / Carly + institutional adviser</w:t>
            </w:r>
          </w:p>
        </w:tc>
      </w:tr>
      <w:tr>
        <w:trPr>
          <w:tblHeader w:val="false"/>
        </w:trPr>
        <w:tc>
          <w:tcPr>
            <w:tcW w:type="dxa" w:w="2134"/>
            <w:tcBorders>
              <w:top w:val="nil"/>
              <w:left w:val="nil"/>
              <w:bottom w:val="single" w:color="C9C9C9" w:sz="4"/>
              <w:right w:val="nil"/>
            </w:tcBorders>
            <w:tcMar>
              <w:top w:type="dxa" w:w="60"/>
              <w:left w:type="dxa" w:w="0"/>
              <w:bottom w:type="dxa" w:w="60"/>
              <w:right w:type="dxa" w:w="140"/>
            </w:tcMar>
          </w:tcPr>
          <w:p>
            <w:pPr>
              <w:pStyle w:val="TableBody"/>
            </w:pPr>
            <w:r>
              <w:t xml:space="preserve">Language and proposition drift</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Decks generate competing definitions, slogans or method sequences.</w:t>
            </w:r>
          </w:p>
        </w:tc>
        <w:tc>
          <w:tcPr>
            <w:tcW w:type="dxa" w:w="2668"/>
            <w:tcBorders>
              <w:top w:val="nil"/>
              <w:left w:val="nil"/>
              <w:bottom w:val="single" w:color="C9C9C9" w:sz="4"/>
              <w:right w:val="nil"/>
            </w:tcBorders>
            <w:tcMar>
              <w:top w:type="dxa" w:w="60"/>
              <w:left w:type="dxa" w:w="0"/>
              <w:bottom w:type="dxa" w:w="60"/>
              <w:right w:type="dxa" w:w="140"/>
            </w:tcMar>
          </w:tcPr>
          <w:p>
            <w:pPr>
              <w:pStyle w:val="TableBody"/>
            </w:pPr>
            <w:r>
              <w:t xml:space="preserve">Use the master framework as authority; log decisions before propagation; final cross-document language audit.</w:t>
            </w:r>
          </w:p>
        </w:tc>
        <w:tc>
          <w:tcPr>
            <w:tcW w:type="dxa" w:w="1556"/>
            <w:tcBorders>
              <w:top w:val="nil"/>
              <w:left w:val="nil"/>
              <w:bottom w:val="single" w:color="C9C9C9" w:sz="4"/>
              <w:right w:val="nil"/>
            </w:tcBorders>
            <w:tcMar>
              <w:top w:type="dxa" w:w="60"/>
              <w:left w:type="dxa" w:w="0"/>
              <w:bottom w:type="dxa" w:w="60"/>
              <w:right w:type="dxa" w:w="140"/>
            </w:tcMar>
          </w:tcPr>
          <w:p>
            <w:pPr>
              <w:pStyle w:val="TableBody"/>
            </w:pPr>
            <w:r>
              <w:t xml:space="preserve">Every version / Carly</w:t>
            </w:r>
          </w:p>
        </w:tc>
      </w:tr>
    </w:tbl>
    <w:p>
      <w:pPr>
        <w:pStyle w:val="Heading1"/>
      </w:pPr>
      <w:r>
        <w:t xml:space="preserve">14  Success tests</w:t>
      </w:r>
    </w:p>
    <w:p>
      <w:pPr>
        <w:pStyle w:val="ListParagraph"/>
        <w:numPr>
          <w:ilvl w:val="0"/>
          <w:numId w:val="2"/>
        </w:numPr>
      </w:pPr>
      <w:r>
        <w:t xml:space="preserve">The field argument is distinctive, evidence-backed and recognisable to cultural practitioners as well as institutional audiences.</w:t>
      </w:r>
    </w:p>
    <w:p>
      <w:pPr>
        <w:pStyle w:val="ListParagraph"/>
        <w:numPr>
          <w:ilvl w:val="0"/>
          <w:numId w:val="2"/>
        </w:numPr>
      </w:pPr>
      <w:r>
        <w:t xml:space="preserve">The five inquiry strands remain intact and the six work packages each answer a distinct delivery question.</w:t>
      </w:r>
    </w:p>
    <w:p>
      <w:pPr>
        <w:pStyle w:val="ListParagraph"/>
        <w:numPr>
          <w:ilvl w:val="0"/>
          <w:numId w:val="2"/>
        </w:numPr>
      </w:pPr>
      <w:r>
        <w:t xml:space="preserve">Two place cases and A Ticket to the Future generate transferable learning without turning Bristol into a template for every place.</w:t>
      </w:r>
    </w:p>
    <w:p>
      <w:pPr>
        <w:pStyle w:val="ListParagraph"/>
        <w:numPr>
          <w:ilvl w:val="0"/>
          <w:numId w:val="2"/>
        </w:numPr>
      </w:pPr>
      <w:r>
        <w:t xml:space="preserve">The proposed NCVI has clear intended users, a tested low-fidelity expression, ethical principles and a credible next-stage technical brief.</w:t>
      </w:r>
    </w:p>
    <w:p>
      <w:pPr>
        <w:pStyle w:val="ListParagraph"/>
        <w:numPr>
          <w:ilvl w:val="0"/>
          <w:numId w:val="2"/>
        </w:numPr>
      </w:pPr>
      <w:r>
        <w:t xml:space="preserve">Local advocates can see how the work increases their ability to evidence value, frame asks and reach decisions or investment.</w:t>
      </w:r>
    </w:p>
    <w:p>
      <w:pPr>
        <w:pStyle w:val="ListParagraph"/>
        <w:numPr>
          <w:ilvl w:val="0"/>
          <w:numId w:val="2"/>
        </w:numPr>
      </w:pPr>
      <w:r>
        <w:t xml:space="preserve">Nightlife Culture has a coherent institutional proposition, three-part business shape, quality safeguards and a credible route beyond the founder alone.</w:t>
      </w:r>
    </w:p>
    <w:p>
      <w:pPr>
        <w:pStyle w:val="ListParagraph"/>
        <w:numPr>
          <w:ilvl w:val="0"/>
          <w:numId w:val="2"/>
        </w:numPr>
      </w:pPr>
      <w:r>
        <w:t xml:space="preserve">The next phase is honestly scoped, costed in bands and connected to potential partners and funding routes without claiming unconfirmed support.</w:t>
      </w:r>
    </w:p>
    <w:p>
      <w:pPr>
        <w:pStyle w:val="Heading1"/>
      </w:pPr>
      <w:r>
        <w:t xml:space="preserve">15  Decision log</w:t>
      </w:r>
    </w:p>
    <w:tbl>
      <w:tblPr>
        <w:tblW w:type="dxa" w:w="9026"/>
        <w:tblBorders>
          <w:top w:val="nil"/>
          <w:left w:val="nil"/>
          <w:bottom w:val="nil"/>
          <w:right w:val="nil"/>
          <w:insideH w:val="nil"/>
          <w:insideV w:val="nil"/>
        </w:tblBorders>
      </w:tblPr>
      <w:tblGrid>
        <w:gridCol w:w="1150"/>
        <w:gridCol w:w="2355"/>
        <w:gridCol w:w="4265"/>
        <w:gridCol w:w="1256"/>
      </w:tblGrid>
      <w:tr>
        <w:trPr>
          <w:tblHeader/>
        </w:trPr>
        <w:tc>
          <w:tcPr>
            <w:tcW w:type="dxa" w:w="1150"/>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ID</w:t>
            </w:r>
          </w:p>
        </w:tc>
        <w:tc>
          <w:tcPr>
            <w:tcW w:type="dxa" w:w="2355"/>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Decision</w:t>
            </w:r>
          </w:p>
        </w:tc>
        <w:tc>
          <w:tcPr>
            <w:tcW w:type="dxa" w:w="4265"/>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Rationale / application effect</w:t>
            </w:r>
          </w:p>
        </w:tc>
        <w:tc>
          <w:tcPr>
            <w:tcW w:type="dxa" w:w="1256"/>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Status</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D01</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Fellowship architecture</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Retain six distinct work packages beneath the five inquiry strands; each has its own question, outcome and decision gate.</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v0.2 retained</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D02</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Fellowship duration</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Use a 10–12 month delivery window with evidence-led overlap between phases.</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Updated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D03</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Founder capacity</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Keep 52 days as an internal sufficiency test only. Public delivery is defined by phase outcomes, with £500/day used only where the form requires a rate.</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Updated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D04</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Budget ceiling</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Keep the UKDF request at £50,000 and balance the phase budget to that ceiling.</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Retained</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D05</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Resource presentation</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Present UKDF funding as one flexible programme resource that creates Carly’s capacity and purchases specialist expertise, participation and direct delivery as required.</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Updated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D06</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Research scale</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Keep primary research bounded to two place cases, 18–24 substantive conversations, up to 15 paid substantial contributions and 6–10 prototype users.</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Retained/refined</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D07</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NCVI scope</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Define the Nightlife Cultural Value Index as a proposed shared evidence layer; deliver the hypothesis, prototype and technical brief rather than a validated national index or software platform.</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Updated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D08</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ATTTF boundary</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Use A Ticket to the Future as evidence of Carly’s method and a live learning case. WECA supports CBS establishment and Bristol delivery; UKDF supports transferable inquiry, evidence and institutional development.</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Updated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D09</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ACE and partner income</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Record confirmed ACE and partner contributions as £0. Future support can extend the work through separate scope and governance.</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Retained</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D10</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Application route</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Build the unrestricted full application narrative first, then edit it into the main proposal deck and detailed project-plan deck.</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Retained</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D11</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Deck architecture</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Allow a short proposal deck plus a longer project-plan deck. Let the argument determine slide count rather than imposing a 12-slide ceiling.</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Retained</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D12</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Change control</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Preserve v0.2 and create v0.3 outputs with changes recorded in this decision log.</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Retained</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D13</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Framework authority</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Create one versioned Artists Make Great Places master framework as the source of truth for application copy, decks, operating plan and workbook.</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D14</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Formal studio definition</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Lock the style-guide definition: Nightlife Culture is a creative policy, research and design studio working across nightlife, music, culture, place and the systems that shape them.</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D15</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National and local proposition</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Use Nationally relevant infrastructure that increases hyperlocal power as the primary organising proposition. Retire Local truth. Shared method. National learning. from visible proposal copy.</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D16</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Public method</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Use the seven public-facing stages Listen, Map, Ideate, Prototype, Test, Refine and Expand. Apply the expanded style-guide principles within those descriptions rather than presenting a competing sequence.</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D17</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Why Carly</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Restore the established dancefloor/committee room/funder meeting/evidence-base architecture and support it with verified CV evidence.</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D18</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Positive voice</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Apply the style-guide arc Joy → value → evidence → action. Lead sections with what the work creates; place limitations and boundaries after the proposition as disciplined delivery detail.</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D19</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What UKDF moves</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Name the movable problem in plain language: the missing connective infrastructure between local cultural knowledge and evidence, policy, investment and action.</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D20</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ATTTF explanation</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Assume no prior knowledge of A Ticket to the Future; explain the systemic problem, collaborative intervention, community ownership route, Carly’s role and WECA-supported CBS delivery.</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D21</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Institutional architecture</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Retain the three-part business shape: paid consultancy, funded research and a sector platform held through partnerships.</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r>
        <w:trPr>
          <w:tblHeader w:val="false"/>
        </w:trPr>
        <w:tc>
          <w:tcPr>
            <w:tcW w:type="dxa" w:w="1150"/>
            <w:tcBorders>
              <w:top w:val="nil"/>
              <w:left w:val="nil"/>
              <w:bottom w:val="single" w:color="C9C9C9" w:sz="4"/>
              <w:right w:val="nil"/>
            </w:tcBorders>
            <w:tcMar>
              <w:top w:type="dxa" w:w="60"/>
              <w:left w:type="dxa" w:w="0"/>
              <w:bottom w:type="dxa" w:w="60"/>
              <w:right w:type="dxa" w:w="140"/>
            </w:tcMar>
          </w:tcPr>
          <w:p>
            <w:pPr>
              <w:pStyle w:val="TableBody"/>
            </w:pPr>
            <w:r>
              <w:t xml:space="preserve">D22</w:t>
            </w:r>
          </w:p>
        </w:tc>
        <w:tc>
          <w:tcPr>
            <w:tcW w:type="dxa" w:w="2355"/>
            <w:tcBorders>
              <w:top w:val="nil"/>
              <w:left w:val="nil"/>
              <w:bottom w:val="single" w:color="C9C9C9" w:sz="4"/>
              <w:right w:val="nil"/>
            </w:tcBorders>
            <w:tcMar>
              <w:top w:type="dxa" w:w="60"/>
              <w:left w:type="dxa" w:w="0"/>
              <w:bottom w:type="dxa" w:w="60"/>
              <w:right w:type="dxa" w:w="140"/>
            </w:tcMar>
          </w:tcPr>
          <w:p>
            <w:pPr>
              <w:pStyle w:val="TableBody"/>
            </w:pPr>
            <w:r>
              <w:t xml:space="preserve">Capability-led outputs</w:t>
            </w:r>
          </w:p>
        </w:tc>
        <w:tc>
          <w:tcPr>
            <w:tcW w:type="dxa" w:w="4265"/>
            <w:tcBorders>
              <w:top w:val="nil"/>
              <w:left w:val="nil"/>
              <w:bottom w:val="single" w:color="C9C9C9" w:sz="4"/>
              <w:right w:val="nil"/>
            </w:tcBorders>
            <w:tcMar>
              <w:top w:type="dxa" w:w="60"/>
              <w:left w:type="dxa" w:w="0"/>
              <w:bottom w:type="dxa" w:w="60"/>
              <w:right w:type="dxa" w:w="140"/>
            </w:tcMar>
          </w:tcPr>
          <w:p>
            <w:pPr>
              <w:pStyle w:val="TableBody"/>
            </w:pPr>
            <w:r>
              <w:t xml:space="preserve">Frame phase outcomes as new capabilities for advocates, places, funders and Nightlife Culture, supported by tangible evidence and tools.</w:t>
            </w:r>
          </w:p>
        </w:tc>
        <w:tc>
          <w:tcPr>
            <w:tcW w:type="dxa" w:w="1256"/>
            <w:tcBorders>
              <w:top w:val="nil"/>
              <w:left w:val="nil"/>
              <w:bottom w:val="single" w:color="C9C9C9" w:sz="4"/>
              <w:right w:val="nil"/>
            </w:tcBorders>
            <w:tcMar>
              <w:top w:type="dxa" w:w="60"/>
              <w:left w:type="dxa" w:w="0"/>
              <w:bottom w:type="dxa" w:w="60"/>
              <w:right w:type="dxa" w:w="140"/>
            </w:tcMar>
          </w:tcPr>
          <w:p>
            <w:pPr>
              <w:pStyle w:val="TableBody"/>
            </w:pPr>
            <w:r>
              <w:t xml:space="preserve">New in v0.3</w:t>
            </w:r>
          </w:p>
        </w:tc>
      </w:tr>
    </w:tbl>
    <w:p>
      <w:pPr>
        <w:pStyle w:val="Heading1"/>
      </w:pPr>
      <w:r>
        <w:t xml:space="preserve">16  Source register</w:t>
      </w:r>
    </w:p>
    <w:tbl>
      <w:tblPr>
        <w:tblW w:type="dxa" w:w="9026"/>
        <w:tblBorders>
          <w:top w:val="nil"/>
          <w:left w:val="nil"/>
          <w:bottom w:val="nil"/>
          <w:right w:val="nil"/>
          <w:insideH w:val="nil"/>
          <w:insideV w:val="nil"/>
        </w:tblBorders>
      </w:tblPr>
      <w:tblGrid>
        <w:gridCol w:w="4513"/>
        <w:gridCol w:w="4513"/>
      </w:tblGrid>
      <w:tr>
        <w:trPr>
          <w:tblHeader/>
        </w:trPr>
        <w:tc>
          <w:tcPr>
            <w:tcW w:type="dxa" w:w="451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Source</w:t>
            </w:r>
          </w:p>
        </w:tc>
        <w:tc>
          <w:tcPr>
            <w:tcW w:type="dxa" w:w="4513"/>
            <w:tcBorders>
              <w:top w:val="nil"/>
              <w:left w:val="nil"/>
              <w:bottom w:val="single" w:color="0D0D0D" w:sz="12"/>
              <w:right w:val="nil"/>
            </w:tcBorders>
            <w:tcMar>
              <w:top w:type="dxa" w:w="60"/>
              <w:left w:type="dxa" w:w="0"/>
              <w:bottom w:type="dxa" w:w="60"/>
              <w:right w:type="dxa" w:w="140"/>
            </w:tcMar>
          </w:tcPr>
          <w:p>
            <w:pPr>
              <w:pStyle w:val="TableHead"/>
            </w:pPr>
            <w:r>
              <w:rPr>
                <w:b/>
                <w:bCs/>
              </w:rPr>
              <w:t xml:space="preserve">Use</w:t>
            </w:r>
          </w:p>
        </w:tc>
      </w:tr>
      <w:tr>
        <w:trPr>
          <w:tblHeader w:val="false"/>
        </w:trPr>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Artists_Make_Great_Places_Master_Framework_and_Deck_Copy_v1.0.docx</w:t>
            </w:r>
          </w:p>
        </w:tc>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Language and proposition authority for this plan.</w:t>
            </w:r>
          </w:p>
        </w:tc>
      </w:tr>
      <w:tr>
        <w:trPr>
          <w:tblHeader w:val="false"/>
        </w:trPr>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Nightlife Culture — Style Guide v1.0.html</w:t>
            </w:r>
          </w:p>
        </w:tc>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Brand, voice, formal proposition and writing standards.</w:t>
            </w:r>
          </w:p>
        </w:tc>
      </w:tr>
      <w:tr>
        <w:trPr>
          <w:tblHeader w:val="false"/>
        </w:trPr>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Nightlife Culture Working Deck.pptx</w:t>
            </w:r>
          </w:p>
        </w:tc>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Studio method, delivery ecology, Why Carly, NCVI and business-shape source.</w:t>
            </w:r>
          </w:p>
        </w:tc>
      </w:tr>
      <w:tr>
        <w:trPr>
          <w:tblHeader w:val="false"/>
        </w:trPr>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UKDF Fellowship Proposal — Artists Make Great Places V1.1.pptx</w:t>
            </w:r>
          </w:p>
        </w:tc>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Original proposal architecture and thesis.</w:t>
            </w:r>
          </w:p>
        </w:tc>
      </w:tr>
      <w:tr>
        <w:trPr>
          <w:tblHeader w:val="false"/>
        </w:trPr>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Nightlife_Culture_UKDF_Fellowship_Operating_Plan_v0.2.docx</w:t>
            </w:r>
          </w:p>
        </w:tc>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Prior operating baseline retained as history.</w:t>
            </w:r>
          </w:p>
        </w:tc>
      </w:tr>
      <w:tr>
        <w:trPr>
          <w:tblHeader w:val="false"/>
        </w:trPr>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Nightlife_Culture_UKDF_Fellowship_Budget_Delivery_Workbook_v0.2.xlsx</w:t>
            </w:r>
          </w:p>
        </w:tc>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Prior numerical baseline retained as history.</w:t>
            </w:r>
          </w:p>
        </w:tc>
      </w:tr>
      <w:tr>
        <w:trPr>
          <w:tblHeader w:val="false"/>
        </w:trPr>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UKDF pre-application call notes, 24 July 2026</w:t>
            </w:r>
          </w:p>
        </w:tc>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Funder steer on differentiated insight, priority use, additionality and step change.</w:t>
            </w:r>
          </w:p>
        </w:tc>
      </w:tr>
      <w:tr>
        <w:trPr>
          <w:tblHeader w:val="false"/>
        </w:trPr>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Carly Heath CV 2026 v2</w:t>
            </w:r>
          </w:p>
        </w:tc>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Verified founder evidence and recognition.</w:t>
            </w:r>
          </w:p>
        </w:tc>
      </w:tr>
      <w:tr>
        <w:trPr>
          <w:tblHeader w:val="false"/>
        </w:trPr>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BMF Knowledge Base Synthesis, June 2026</w:t>
            </w:r>
          </w:p>
        </w:tc>
        <w:tc>
          <w:tcPr>
            <w:tcW w:type="dxa" w:w="4513"/>
            <w:tcBorders>
              <w:top w:val="nil"/>
              <w:left w:val="nil"/>
              <w:bottom w:val="single" w:color="C9C9C9" w:sz="4"/>
              <w:right w:val="nil"/>
            </w:tcBorders>
            <w:tcMar>
              <w:top w:type="dxa" w:w="60"/>
              <w:left w:type="dxa" w:w="0"/>
              <w:bottom w:type="dxa" w:w="60"/>
              <w:right w:type="dxa" w:w="140"/>
            </w:tcMar>
          </w:tcPr>
          <w:p>
            <w:pPr>
              <w:pStyle w:val="TableBody"/>
            </w:pPr>
            <w:r>
              <w:t xml:space="preserve">A Ticket to the Future method, evidence, governance and delivery history.</w:t>
            </w:r>
          </w:p>
        </w:tc>
      </w:tr>
    </w:tbl>
    <w:sectPr>
      <w:footerReference w:type="default" r:id="rId9"/>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CLabel"/>
    </w:pPr>
    <w:r>
      <w:t xml:space="preserve">Nightlife Culture · Artists Make Great Places · operating plan v0.4</w:t>
    </w:r>
    <w: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CLabel"/>
    </w:pPr>
    <w:r>
      <w:t xml:space="preserve">Nightlife Culture · Artists Make Great Places · operating plan v0.4</w:t>
    </w:r>
    <w:r>
      <w:t xml:space="preserv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CLabel"/>
    </w:pPr>
    <w:r>
      <w:t xml:space="preserve">Nightlife Culture · Artists Make Great Places · operating plan v0.4</w:t>
    </w:r>
    <w: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GB"/>
        <w:rFonts w:ascii="Inter" w:cs="Inter" w:eastAsia="Inter" w:hAnsi="Inter"/>
        <w:color w:val="0D0D0D"/>
        <w:sz w:val="24"/>
        <w:szCs w:val="24"/>
      </w:rPr>
    </w:rPrDefault>
    <w:pPrDefault>
      <w:pPr>
        <w:spacing w:after="180" w:line="37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D0D0D"/>
      <w:sz w:val="32"/>
      <w:szCs w:val="32"/>
    </w:rPr>
  </w:style>
  <w:style w:type="paragraph" w:styleId="Heading2">
    <w:name w:val="Heading 2"/>
    <w:basedOn w:val="Normal"/>
    <w:next w:val="Normal"/>
    <w:qFormat/>
    <w:rPr>
      <w:color w:val="0D0D0D"/>
      <w:sz w:val="26"/>
      <w:szCs w:val="26"/>
    </w:rPr>
  </w:style>
  <w:style w:type="paragraph" w:styleId="Heading3">
    <w:name w:val="Heading 3"/>
    <w:basedOn w:val="Normal"/>
    <w:next w:val="Normal"/>
    <w:qFormat/>
    <w:rPr>
      <w:color w:val="0D0D0D"/>
      <w:sz w:val="24"/>
      <w:szCs w:val="24"/>
    </w:rPr>
  </w:style>
  <w:style w:type="paragraph" w:styleId="Heading4">
    <w:name w:val="Heading 4"/>
    <w:basedOn w:val="Normal"/>
    <w:next w:val="Normal"/>
    <w:qFormat/>
    <w:rPr>
      <w:i/>
      <w:iCs/>
      <w:color w:val="0D0D0D"/>
    </w:rPr>
  </w:style>
  <w:style w:type="paragraph" w:styleId="Heading5">
    <w:name w:val="Heading 5"/>
    <w:basedOn w:val="Normal"/>
    <w:next w:val="Normal"/>
    <w:qFormat/>
    <w:rPr>
      <w:color w:val="0D0D0D"/>
    </w:rPr>
  </w:style>
  <w:style w:type="paragraph" w:styleId="Heading6">
    <w:name w:val="Heading 6"/>
    <w:basedOn w:val="Normal"/>
    <w:next w:val="Normal"/>
    <w:qFormat/>
    <w:rPr>
      <w:color w:val="0D0D0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FF"/>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line="560"/>
    </w:pPr>
    <w:rPr>
      <w:rFonts w:ascii="Archivo Black" w:cs="Archivo Black" w:eastAsia="Archivo Black" w:hAnsi="Archivo Black"/>
      <w:caps/>
      <w:color w:val="0D0D0D"/>
      <w:sz w:val="48"/>
      <w:szCs w:val="48"/>
    </w:rPr>
  </w:style>
  <w:style w:type="paragraph" w:styleId="Subtitle">
    <w:name w:val="Subtitle"/>
    <w:basedOn w:val="Normal"/>
    <w:pPr>
      <w:spacing w:after="320"/>
    </w:pPr>
    <w:rPr>
      <w:rFonts w:ascii="Archivo SemiBold" w:cs="Archivo SemiBold" w:eastAsia="Archivo SemiBold" w:hAnsi="Archivo SemiBold"/>
      <w:color w:val="0000FF"/>
      <w:sz w:val="26"/>
      <w:szCs w:val="26"/>
    </w:rPr>
  </w:style>
  <w:style w:type="paragraph" w:styleId="Heading1">
    <w:name w:val="Heading 1"/>
    <w:basedOn w:val="Normal"/>
    <w:next w:val="Normal"/>
    <w:pPr>
      <w:pBdr>
        <w:bottom w:val="single" w:color="0D0D0D" w:sz="18" w:space="4"/>
      </w:pBdr>
      <w:spacing w:after="180" w:before="540"/>
      <w:outlineLvl w:val="0"/>
    </w:pPr>
    <w:rPr>
      <w:rFonts w:ascii="Archivo ExtraBold" w:cs="Archivo ExtraBold" w:eastAsia="Archivo ExtraBold" w:hAnsi="Archivo ExtraBold"/>
      <w:caps/>
      <w:color w:val="0D0D0D"/>
      <w:sz w:val="36"/>
      <w:szCs w:val="36"/>
    </w:rPr>
  </w:style>
  <w:style w:type="paragraph" w:styleId="Heading2">
    <w:name w:val="Heading 2"/>
    <w:basedOn w:val="Normal"/>
    <w:next w:val="Normal"/>
    <w:pPr>
      <w:spacing w:after="120" w:before="360"/>
      <w:outlineLvl w:val="1"/>
    </w:pPr>
    <w:rPr>
      <w:rFonts w:ascii="Archivo" w:cs="Archivo" w:eastAsia="Archivo" w:hAnsi="Archivo"/>
      <w:b/>
      <w:bCs/>
      <w:color w:val="0D0D0D"/>
      <w:sz w:val="27"/>
      <w:szCs w:val="27"/>
    </w:rPr>
  </w:style>
  <w:style w:type="paragraph" w:styleId="NCLabel">
    <w:name w:val="NC Label"/>
    <w:basedOn w:val="Normal"/>
    <w:pPr>
      <w:spacing w:after="60"/>
    </w:pPr>
    <w:rPr>
      <w:rFonts w:ascii="Archivo SemiBold" w:cs="Archivo SemiBold" w:eastAsia="Archivo SemiBold" w:hAnsi="Archivo SemiBold"/>
      <w:caps/>
      <w:color w:val="2D2D2D"/>
      <w:spacing w:val="20"/>
      <w:sz w:val="21"/>
      <w:szCs w:val="21"/>
    </w:rPr>
  </w:style>
  <w:style w:type="paragraph" w:styleId="NCPullQuote">
    <w:name w:val="NC Pull Quote"/>
    <w:basedOn w:val="Normal"/>
    <w:pPr>
      <w:pBdr>
        <w:left w:val="single" w:color="ED77C2" w:sz="36" w:space="12"/>
      </w:pBdr>
      <w:spacing w:after="240" w:before="240" w:line="300"/>
      <w:ind w:left="360"/>
    </w:pPr>
    <w:rPr>
      <w:rFonts w:ascii="Archivo ExtraBold" w:cs="Archivo ExtraBold" w:eastAsia="Archivo ExtraBold" w:hAnsi="Archivo ExtraBold"/>
      <w:color w:val="0D0D0D"/>
      <w:sz w:val="32"/>
      <w:szCs w:val="32"/>
    </w:rPr>
  </w:style>
  <w:style w:type="paragraph" w:styleId="NCCaption">
    <w:name w:val="NC Caption"/>
    <w:basedOn w:val="Normal"/>
    <w:pPr>
      <w:spacing w:after="120" w:line="300"/>
    </w:pPr>
    <w:rPr>
      <w:rFonts w:ascii="Inter" w:cs="Inter" w:eastAsia="Inter" w:hAnsi="Inter"/>
      <w:color w:val="2D2D2D"/>
      <w:sz w:val="21"/>
      <w:szCs w:val="21"/>
    </w:rPr>
  </w:style>
  <w:style w:type="paragraph" w:styleId="NCCoverHead">
    <w:name w:val="NC Cover Head"/>
    <w:basedOn w:val="Normal"/>
    <w:pPr>
      <w:spacing w:after="120"/>
    </w:pPr>
    <w:rPr>
      <w:rFonts w:ascii="Archivo SemiBold" w:cs="Archivo SemiBold" w:eastAsia="Archivo SemiBold" w:hAnsi="Archivo SemiBold"/>
      <w:caps/>
      <w:color w:val="FFFFFF"/>
      <w:spacing w:val="20"/>
      <w:sz w:val="21"/>
      <w:szCs w:val="21"/>
    </w:rPr>
  </w:style>
  <w:style w:type="paragraph" w:styleId="NCCoverTitle">
    <w:name w:val="NC Cover Title"/>
    <w:basedOn w:val="Normal"/>
    <w:pPr>
      <w:spacing w:after="160" w:before="120" w:line="560"/>
    </w:pPr>
    <w:rPr>
      <w:rFonts w:ascii="Archivo Black" w:cs="Archivo Black" w:eastAsia="Archivo Black" w:hAnsi="Archivo Black"/>
      <w:caps/>
      <w:color w:val="FFFFFF"/>
      <w:sz w:val="48"/>
      <w:szCs w:val="48"/>
    </w:rPr>
  </w:style>
  <w:style w:type="paragraph" w:styleId="NCCoverMeta">
    <w:name w:val="NC Cover Meta"/>
    <w:basedOn w:val="Normal"/>
    <w:pPr>
      <w:spacing w:after="0"/>
    </w:pPr>
    <w:rPr>
      <w:rFonts w:ascii="Archivo SemiBold" w:cs="Archivo SemiBold" w:eastAsia="Archivo SemiBold" w:hAnsi="Archivo SemiBold"/>
      <w:color w:val="53E6E5"/>
      <w:sz w:val="22"/>
      <w:szCs w:val="22"/>
    </w:rPr>
  </w:style>
  <w:style w:type="paragraph" w:styleId="NCPanelHead">
    <w:name w:val="NC Panel Head"/>
    <w:basedOn w:val="Normal"/>
    <w:pPr>
      <w:spacing w:after="60"/>
    </w:pPr>
    <w:rPr>
      <w:rFonts w:ascii="Archivo SemiBold" w:cs="Archivo SemiBold" w:eastAsia="Archivo SemiBold" w:hAnsi="Archivo SemiBold"/>
      <w:caps/>
      <w:spacing w:val="20"/>
      <w:sz w:val="21"/>
      <w:szCs w:val="21"/>
    </w:rPr>
  </w:style>
  <w:style w:type="paragraph" w:styleId="TableBody">
    <w:name w:val="NC Table Body"/>
    <w:basedOn w:val="Normal"/>
    <w:pPr>
      <w:spacing w:after="40" w:line="300"/>
    </w:pPr>
    <w:rPr>
      <w:sz w:val="21"/>
      <w:szCs w:val="21"/>
    </w:rPr>
  </w:style>
  <w:style w:type="paragraph" w:styleId="TableHead">
    <w:name w:val="NC Table Head"/>
    <w:basedOn w:val="Normal"/>
    <w:pPr>
      <w:spacing w:after="40" w:line="280"/>
    </w:pPr>
    <w:rPr>
      <w:rFonts w:ascii="Archivo SemiBold" w:cs="Archivo SemiBold" w:eastAsia="Archivo SemiBold" w:hAnsi="Archivo SemiBold"/>
      <w:caps/>
      <w:color w:val="2D2D2D"/>
      <w:spacing w:val="1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Artists Make Great Places — operating plan</dc:title>
  <dc:creator>Carly Heath · Nightlife Culture</dc:creator>
  <dc:description>UKDF fellowship operating plan, on the Nightlife Culture design system.</dc:description>
  <cp:lastModifiedBy>Un-named</cp:lastModifiedBy>
  <cp:revision>1</cp:revision>
  <dcterms:created xsi:type="dcterms:W3CDTF">2026-08-17T09:50:05.408Z</dcterms:created>
  <dcterms:modified xsi:type="dcterms:W3CDTF">2026-08-17T09:50:05.408Z</dcterms:modified>
</cp:coreProperties>
</file>

<file path=docProps/custom.xml><?xml version="1.0" encoding="utf-8"?>
<Properties xmlns="http://schemas.openxmlformats.org/officeDocument/2006/custom-properties" xmlns:vt="http://schemas.openxmlformats.org/officeDocument/2006/docPropsVTypes"/>
</file>