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300" w:lineRule="auto"/>
        <w:jc w:val="center"/>
      </w:pPr>
      <w:r>
        <w:rPr>
          <w:rFonts w:ascii="Calibri" w:hAnsi="Calibri"/>
          <w:b/>
          <w:i w:val="0"/>
          <w:color w:val="F20D3A"/>
          <w:sz w:val="18"/>
        </w:rPr>
        <w:t>BRAND &amp; INTERFACE AUDIT</w:t>
      </w:r>
    </w:p>
    <w:p>
      <w:pPr>
        <w:keepNext w:val="0"/>
        <w:spacing w:before="0" w:after="40" w:line="300" w:lineRule="auto"/>
        <w:jc w:val="center"/>
      </w:pPr>
      <w:r>
        <w:rPr>
          <w:rFonts w:ascii="Calibri" w:hAnsi="Calibri"/>
          <w:b/>
          <w:i w:val="0"/>
          <w:color w:val="07090D"/>
          <w:sz w:val="60"/>
        </w:rPr>
        <w:t>CLARICO</w:t>
      </w:r>
    </w:p>
    <w:p>
      <w:pPr>
        <w:keepNext w:val="0"/>
        <w:spacing w:before="0" w:after="200" w:line="300" w:lineRule="auto"/>
        <w:jc w:val="center"/>
      </w:pPr>
      <w:r>
        <w:rPr>
          <w:rFonts w:ascii="Calibri" w:hAnsi="Calibri"/>
          <w:b/>
          <w:i w:val="0"/>
          <w:color w:val="F20D3A"/>
          <w:sz w:val="38"/>
        </w:rPr>
        <w:t>Visual Identity Redesign Brief</w:t>
      </w:r>
    </w:p>
    <w:p>
      <w:pPr>
        <w:keepNext w:val="0"/>
        <w:spacing w:before="0" w:after="600" w:line="300" w:lineRule="auto"/>
        <w:jc w:val="center"/>
      </w:pPr>
      <w:r>
        <w:rPr>
          <w:rFonts w:ascii="Calibri" w:hAnsi="Calibri"/>
          <w:b w:val="0"/>
          <w:i/>
          <w:color w:val="5C6776"/>
          <w:sz w:val="24"/>
        </w:rPr>
        <w:t>A visual-only implementation document for Antigravity</w:t>
      </w:r>
    </w:p>
    <w:p>
      <w:pPr>
        <w:keepNext w:val="0"/>
        <w:spacing w:before="0" w:after="520" w:line="300" w:lineRule="auto"/>
        <w:jc w:val="left"/>
        <w:pBdr>
          <w:bottom w:val="single" w:sz="22" w:space="0" w:color="F20D3A"/>
        </w:pBdr>
      </w:pPr>
      <w:r>
        <w:rPr>
          <w:rFonts w:ascii="Calibri" w:hAnsi="Calibri"/>
          <w:b w:val="0"/>
          <w:i w:val="0"/>
          <w:color w:val="07090D"/>
          <w:sz w:val="2"/>
        </w:rPr>
      </w:r>
    </w:p>
    <w:p>
      <w:pPr>
        <w:keepNext w:val="0"/>
        <w:spacing w:before="0" w:after="80" w:line="300" w:lineRule="auto"/>
        <w:jc w:val="center"/>
      </w:pPr>
      <w:r>
        <w:rPr>
          <w:rFonts w:ascii="Calibri" w:hAnsi="Calibri"/>
          <w:b/>
          <w:i w:val="0"/>
          <w:color w:val="5C6776"/>
          <w:sz w:val="20"/>
        </w:rPr>
        <w:t>Scope</w:t>
      </w:r>
    </w:p>
    <w:p>
      <w:pPr>
        <w:keepNext w:val="0"/>
        <w:spacing w:before="0" w:after="480" w:line="300" w:lineRule="auto"/>
        <w:jc w:val="center"/>
      </w:pPr>
      <w:r>
        <w:rPr>
          <w:rFonts w:ascii="Calibri" w:hAnsi="Calibri"/>
          <w:b/>
          <w:i w:val="0"/>
          <w:color w:val="07090D"/>
          <w:sz w:val="26"/>
        </w:rPr>
        <w:t>Preserve every page, section, route, component, field, product flow, and interaction. Change only the visual system and brand expression.</w:t>
      </w:r>
    </w:p>
    <w:p>
      <w:pPr>
        <w:keepNext w:val="0"/>
        <w:spacing w:before="0" w:after="1000" w:line="300" w:lineRule="auto"/>
        <w:jc w:val="center"/>
      </w:pPr>
      <w:r>
        <w:rPr>
          <w:rFonts w:ascii="Calibri" w:hAnsi="Calibri"/>
          <w:b w:val="0"/>
          <w:i w:val="0"/>
          <w:color w:val="5C6776"/>
          <w:sz w:val="19"/>
        </w:rPr>
        <w:t>Prepared from the supplied screenshots of the Home, Sports, Custom, Business, and Quote Modal experiences.</w:t>
      </w:r>
    </w:p>
    <w:p>
      <w:pPr>
        <w:keepNext w:val="0"/>
        <w:spacing w:before="0" w:after="80" w:line="300" w:lineRule="auto"/>
        <w:jc w:val="center"/>
      </w:pPr>
      <w:r>
        <w:rPr>
          <w:rFonts w:ascii="Calibri" w:hAnsi="Calibri"/>
          <w:b/>
          <w:i w:val="0"/>
          <w:color w:val="F20D3A"/>
          <w:sz w:val="18"/>
        </w:rPr>
        <w:t>Reference direction</w:t>
      </w:r>
    </w:p>
    <w:p>
      <w:pPr>
        <w:keepNext w:val="0"/>
        <w:spacing w:before="0" w:after="200" w:line="300" w:lineRule="auto"/>
        <w:jc w:val="center"/>
      </w:pPr>
      <w:r>
        <w:rPr>
          <w:rFonts w:ascii="Calibri" w:hAnsi="Calibri"/>
          <w:b w:val="0"/>
          <w:i w:val="0"/>
          <w:color w:val="07090D"/>
          <w:sz w:val="21"/>
        </w:rPr>
        <w:t>Dirt / Housed — visual intensity, editorial scale, material presence, restrained motion. Inspiration only; no copying of brand assets, content, or layout.</w:t>
      </w:r>
    </w:p>
    <w:p>
      <w:pPr>
        <w:spacing w:before="0" w:after="80" w:line="276" w:lineRule="auto"/>
        <w:jc w:val="center"/>
      </w:pPr>
      <w:r>
        <w:rPr>
          <w:rFonts w:ascii="Calibri" w:hAnsi="Calibri"/>
          <w:b/>
          <w:color w:val="5C6776"/>
          <w:sz w:val="20"/>
        </w:rPr>
        <w:t xml:space="preserve">Primary live reference: </w:t>
      </w:r>
      <w:hyperlink r:id="rId11">
        <w:r>
          <w:rPr>
            <w:rFonts w:ascii="Calibri" w:hAnsi="Calibri"/>
            <w:color w:val="F20D3A"/>
            <w:u w:val="single"/>
            <w:sz w:val="20"/>
            <w:szCs w:val="20"/>
            <w:b/>
          </w:rPr>
          <w:t>Dirt — Housed project</w:t>
        </w:r>
      </w:hyperlink>
    </w:p>
    <w:p>
      <w:pPr>
        <w:spacing w:before="0" w:after="80" w:line="276" w:lineRule="auto"/>
        <w:jc w:val="center"/>
      </w:pPr>
      <w:r>
        <w:rPr>
          <w:rFonts w:ascii="Calibri" w:hAnsi="Calibri"/>
          <w:b/>
          <w:color w:val="5C6776"/>
          <w:sz w:val="20"/>
        </w:rPr>
        <w:t xml:space="preserve">Studio context: </w:t>
      </w:r>
      <w:hyperlink r:id="rId12">
        <w:r>
          <w:rPr>
            <w:rFonts w:ascii="Calibri" w:hAnsi="Calibri"/>
            <w:color w:val="F20D3A"/>
            <w:u w:val="single"/>
            <w:sz w:val="20"/>
            <w:szCs w:val="20"/>
            <w:b/>
          </w:rPr>
          <w:t>Dirt — homepage</w:t>
        </w:r>
      </w:hyperlink>
    </w:p>
    <w:p>
      <w:pPr>
        <w:spacing w:before="0" w:after="80" w:line="276" w:lineRule="auto"/>
        <w:jc w:val="center"/>
      </w:pPr>
      <w:r>
        <w:rPr>
          <w:rFonts w:ascii="Calibri" w:hAnsi="Calibri"/>
          <w:b/>
          <w:color w:val="5C6776"/>
          <w:sz w:val="20"/>
        </w:rPr>
        <w:t xml:space="preserve">Reference catalog: </w:t>
      </w:r>
      <w:hyperlink r:id="rId13">
        <w:r>
          <w:rPr>
            <w:rFonts w:ascii="Calibri" w:hAnsi="Calibri"/>
            <w:color w:val="F20D3A"/>
            <w:u w:val="single"/>
            <w:sz w:val="20"/>
            <w:szCs w:val="20"/>
            <w:b/>
          </w:rPr>
          <w:t>Recent Design — Dirt</w:t>
        </w:r>
      </w:hyperlink>
    </w:p>
    <w:p>
      <w:r>
        <w:br w:type="page"/>
      </w:r>
    </w:p>
    <w:p>
      <w:pPr>
        <w:pStyle w:val="Heading1"/>
        <w:keepNext/>
      </w:pPr>
      <w:r>
        <w:rPr>
          <w:rFonts w:ascii="Calibri" w:hAnsi="Calibri"/>
          <w:b/>
          <w:color w:val="F20D3A"/>
          <w:sz w:val="32"/>
        </w:rPr>
        <w:t>1. Executive diagnosis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8ED"/>
          </w:tcPr>
          <w:p>
            <w:pPr>
              <w:spacing w:after="40"/>
            </w:pPr>
            <w:r>
              <w:rPr>
                <w:rFonts w:ascii="Calibri" w:hAnsi="Calibri"/>
                <w:b/>
                <w:color w:val="F20D3A"/>
                <w:sz w:val="18"/>
              </w:rPr>
              <w:t>PRIMARY FINDING</w:t>
            </w:r>
          </w:p>
          <w:p>
            <w:pPr>
              <w:spacing w:after="0" w:line="288" w:lineRule="auto"/>
            </w:pPr>
            <w:r>
              <w:rPr>
                <w:rFonts w:ascii="Calibri" w:hAnsi="Calibri"/>
                <w:b/>
                <w:color w:val="07090D"/>
                <w:sz w:val="22"/>
              </w:rPr>
              <w:t>The architecture is clear and commercially useful. The visual layer is the limitation: it currently reads as a polished dark SaaS template more than a premium custom-apparel studio.</w:t>
            </w:r>
          </w:p>
        </w:tc>
      </w:tr>
    </w:tbl>
    <w:p>
      <w:pPr>
        <w:keepNext w:val="0"/>
        <w:spacing w:before="0" w:after="60" w:line="300" w:lineRule="auto"/>
        <w:jc w:val="left"/>
      </w:pPr>
      <w:r>
        <w:rPr>
          <w:rFonts w:ascii="Calibri" w:hAnsi="Calibri"/>
          <w:b w:val="0"/>
          <w:i w:val="0"/>
          <w:color w:val="07090D"/>
          <w:sz w:val="2"/>
        </w:rPr>
      </w:r>
    </w:p>
    <w:p>
      <w:pPr>
        <w:keepNext w:val="0"/>
        <w:spacing w:before="0" w:after="120" w:line="300" w:lineRule="auto"/>
        <w:jc w:val="left"/>
      </w:pPr>
      <w:r>
        <w:rPr>
          <w:rFonts w:ascii="Calibri" w:hAnsi="Calibri"/>
          <w:b w:val="0"/>
          <w:i w:val="0"/>
          <w:color w:val="07090D"/>
          <w:sz w:val="22"/>
        </w:rPr>
        <w:t>The site already communicates the offer well: three audiences, fast turnaround, no minimum, customization, catalog access, and a direct quote flow. The redesign should not disturb this information architecture. Its purpose is to increase perceived craft, product credibility, youth relevance, and memorability.</w:t>
      </w:r>
    </w:p>
    <w:p>
      <w:pPr>
        <w:pStyle w:val="Heading2"/>
        <w:keepNext/>
      </w:pPr>
      <w:r>
        <w:rPr>
          <w:rFonts w:ascii="Calibri" w:hAnsi="Calibri"/>
          <w:b/>
          <w:color w:val="07090D"/>
          <w:sz w:val="26"/>
        </w:rPr>
        <w:t>What is already working</w:t>
      </w:r>
    </w:p>
    <w:p>
      <w:pPr>
        <w:pStyle w:val="ListBullet"/>
        <w:spacing w:after="80" w:line="300" w:lineRule="auto"/>
      </w:pPr>
      <w:r>
        <w:rPr>
          <w:rFonts w:ascii="Calibri" w:hAnsi="Calibri"/>
          <w:color w:val="07090D"/>
          <w:sz w:val="22"/>
        </w:rPr>
        <w:t>Clear three-segment logic: Sports, Custom, and Business.</w:t>
      </w:r>
    </w:p>
    <w:p>
      <w:pPr>
        <w:pStyle w:val="ListBullet"/>
        <w:spacing w:after="80" w:line="300" w:lineRule="auto"/>
      </w:pPr>
      <w:r>
        <w:rPr>
          <w:rFonts w:ascii="Calibri" w:hAnsi="Calibri"/>
          <w:color w:val="07090D"/>
          <w:sz w:val="22"/>
        </w:rPr>
        <w:t>Consistent navigation and visible quote CTA across pages.</w:t>
      </w:r>
    </w:p>
    <w:p>
      <w:pPr>
        <w:pStyle w:val="ListBullet"/>
        <w:spacing w:after="80" w:line="300" w:lineRule="auto"/>
      </w:pPr>
      <w:r>
        <w:rPr>
          <w:rFonts w:ascii="Calibri" w:hAnsi="Calibri"/>
          <w:color w:val="07090D"/>
          <w:sz w:val="22"/>
        </w:rPr>
        <w:t>Strong commercial promises: 3–5 days, no minimum, customization, and premium quality.</w:t>
      </w:r>
    </w:p>
    <w:p>
      <w:pPr>
        <w:pStyle w:val="ListBullet"/>
        <w:spacing w:after="80" w:line="300" w:lineRule="auto"/>
      </w:pPr>
      <w:r>
        <w:rPr>
          <w:rFonts w:ascii="Calibri" w:hAnsi="Calibri"/>
          <w:color w:val="07090D"/>
          <w:sz w:val="22"/>
        </w:rPr>
        <w:t>The catalog and live customizer demonstrate real capability, not only marketing claims.</w:t>
      </w:r>
    </w:p>
    <w:p>
      <w:pPr>
        <w:pStyle w:val="ListBullet"/>
        <w:spacing w:after="80" w:line="300" w:lineRule="auto"/>
      </w:pPr>
      <w:r>
        <w:rPr>
          <w:rFonts w:ascii="Calibri" w:hAnsi="Calibri"/>
          <w:color w:val="07090D"/>
          <w:sz w:val="22"/>
        </w:rPr>
        <w:t>The dark foundation is appropriate for sport, streetwear, and premium DTF production.</w:t>
      </w:r>
    </w:p>
    <w:p>
      <w:pPr>
        <w:pStyle w:val="Heading2"/>
        <w:keepNext/>
      </w:pPr>
      <w:r>
        <w:rPr>
          <w:rFonts w:ascii="Calibri" w:hAnsi="Calibri"/>
          <w:b/>
          <w:color w:val="07090D"/>
          <w:sz w:val="26"/>
        </w:rPr>
        <w:t>What is weakening the brand</w:t>
      </w:r>
    </w:p>
    <w:p>
      <w:pPr>
        <w:pStyle w:val="ListBullet"/>
        <w:spacing w:after="80" w:line="300" w:lineRule="auto"/>
      </w:pPr>
      <w:r>
        <w:rPr>
          <w:rFonts w:ascii="Calibri" w:hAnsi="Calibri"/>
          <w:color w:val="07090D"/>
          <w:sz w:val="22"/>
        </w:rPr>
        <w:t>Large areas rely on abstract glows rather than apparel, athletes, fabric, print detail, or human context.</w:t>
      </w:r>
    </w:p>
    <w:p>
      <w:pPr>
        <w:pStyle w:val="ListBullet"/>
        <w:spacing w:after="80" w:line="300" w:lineRule="auto"/>
      </w:pPr>
      <w:r>
        <w:rPr>
          <w:rFonts w:ascii="Calibri" w:hAnsi="Calibri"/>
          <w:color w:val="07090D"/>
          <w:sz w:val="22"/>
        </w:rPr>
        <w:t>Repeated dark rounded cards make different sections and pages feel visually interchangeable.</w:t>
      </w:r>
    </w:p>
    <w:p>
      <w:pPr>
        <w:pStyle w:val="ListBullet"/>
        <w:spacing w:after="80" w:line="300" w:lineRule="auto"/>
      </w:pPr>
      <w:r>
        <w:rPr>
          <w:rFonts w:ascii="Calibri" w:hAnsi="Calibri"/>
          <w:color w:val="07090D"/>
          <w:sz w:val="22"/>
        </w:rPr>
        <w:t>Emoji-style icons reduce premium perception and feel temporary.</w:t>
      </w:r>
    </w:p>
    <w:p>
      <w:pPr>
        <w:pStyle w:val="ListBullet"/>
        <w:spacing w:after="80" w:line="300" w:lineRule="auto"/>
      </w:pPr>
      <w:r>
        <w:rPr>
          <w:rFonts w:ascii="Calibri" w:hAnsi="Calibri"/>
          <w:color w:val="07090D"/>
          <w:sz w:val="22"/>
        </w:rPr>
        <w:t>Body copy is small and muted against near-black backgrounds, reducing readability and confidence.</w:t>
      </w:r>
    </w:p>
    <w:p>
      <w:pPr>
        <w:pStyle w:val="ListBullet"/>
        <w:spacing w:after="80" w:line="300" w:lineRule="auto"/>
      </w:pPr>
      <w:r>
        <w:rPr>
          <w:rFonts w:ascii="Calibri" w:hAnsi="Calibri"/>
          <w:color w:val="07090D"/>
          <w:sz w:val="22"/>
        </w:rPr>
        <w:t>Red, yellow, and blue segment colors sometimes behave like separate brands instead of one Clarico system.</w:t>
      </w:r>
    </w:p>
    <w:p>
      <w:pPr>
        <w:pStyle w:val="ListBullet"/>
        <w:spacing w:after="80" w:line="300" w:lineRule="auto"/>
      </w:pPr>
      <w:r>
        <w:rPr>
          <w:rFonts w:ascii="Calibri" w:hAnsi="Calibri"/>
          <w:color w:val="07090D"/>
          <w:sz w:val="22"/>
        </w:rPr>
        <w:t>The product appears relatively late in the experience; the opening screens sell claims before showing craft.</w:t>
      </w:r>
    </w:p>
    <w:p>
      <w:pPr>
        <w:keepNext w:val="0"/>
        <w:spacing w:before="160" w:after="120" w:line="300" w:lineRule="auto"/>
        <w:jc w:val="left"/>
      </w:pPr>
      <w:r>
        <w:rPr>
          <w:rFonts w:ascii="Calibri" w:hAnsi="Calibri"/>
          <w:b w:val="0"/>
          <w:i/>
          <w:color w:val="5C6776"/>
          <w:sz w:val="19"/>
        </w:rPr>
        <w:t>Static-screen limitation: the supplied images support a detailed visual audit, but they do not prove current animation quality, hover states, keyboard states, loading behavior, or full mobile responsiveness. Those items must be verified during implementation.</w:t>
      </w:r>
    </w:p>
    <w:p>
      <w:pPr>
        <w:pStyle w:val="Heading1"/>
        <w:keepNext/>
      </w:pPr>
      <w:r>
        <w:rPr>
          <w:rFonts w:ascii="Calibri" w:hAnsi="Calibri"/>
          <w:b/>
          <w:color w:val="F20D3A"/>
          <w:sz w:val="32"/>
        </w:rPr>
        <w:t>2. Non-negotiable guardrails</w:t>
      </w:r>
    </w:p>
    <w:p>
      <w:pPr>
        <w:pStyle w:val="Heading2"/>
        <w:keepNext/>
      </w:pPr>
      <w:r>
        <w:rPr>
          <w:rFonts w:ascii="Calibri" w:hAnsi="Calibri"/>
          <w:b/>
          <w:color w:val="07090D"/>
          <w:sz w:val="26"/>
        </w:rPr>
        <w:t>Must remain unchanged</w:t>
      </w:r>
    </w:p>
    <w:p>
      <w:pPr>
        <w:pStyle w:val="ListBullet"/>
        <w:spacing w:after="80" w:line="300" w:lineRule="auto"/>
      </w:pPr>
      <w:r>
        <w:rPr>
          <w:rFonts w:ascii="Calibri" w:hAnsi="Calibri"/>
          <w:color w:val="07090D"/>
          <w:sz w:val="22"/>
        </w:rPr>
        <w:t>All routes and page names.</w:t>
      </w:r>
    </w:p>
    <w:p>
      <w:pPr>
        <w:pStyle w:val="ListBullet"/>
        <w:spacing w:after="80" w:line="300" w:lineRule="auto"/>
      </w:pPr>
      <w:r>
        <w:rPr>
          <w:rFonts w:ascii="Calibri" w:hAnsi="Calibri"/>
          <w:color w:val="07090D"/>
          <w:sz w:val="22"/>
        </w:rPr>
        <w:t>Section order and section count on every page.</w:t>
      </w:r>
    </w:p>
    <w:p>
      <w:pPr>
        <w:pStyle w:val="ListBullet"/>
        <w:spacing w:after="80" w:line="300" w:lineRule="auto"/>
      </w:pPr>
      <w:r>
        <w:rPr>
          <w:rFonts w:ascii="Calibri" w:hAnsi="Calibri"/>
          <w:color w:val="07090D"/>
          <w:sz w:val="22"/>
        </w:rPr>
        <w:t>Current copy, commercial claims, labels, and CTA destinations.</w:t>
      </w:r>
    </w:p>
    <w:p>
      <w:pPr>
        <w:pStyle w:val="ListBullet"/>
        <w:spacing w:after="80" w:line="300" w:lineRule="auto"/>
      </w:pPr>
      <w:r>
        <w:rPr>
          <w:rFonts w:ascii="Calibri" w:hAnsi="Calibri"/>
          <w:color w:val="07090D"/>
          <w:sz w:val="22"/>
        </w:rPr>
        <w:t>Card count, catalog item count, filters, and product data.</w:t>
      </w:r>
    </w:p>
    <w:p>
      <w:pPr>
        <w:pStyle w:val="ListBullet"/>
        <w:spacing w:after="80" w:line="300" w:lineRule="auto"/>
      </w:pPr>
      <w:r>
        <w:rPr>
          <w:rFonts w:ascii="Calibri" w:hAnsi="Calibri"/>
          <w:color w:val="07090D"/>
          <w:sz w:val="22"/>
        </w:rPr>
        <w:t>Quote-modal fields, validation logic, submission behavior, and integrations.</w:t>
      </w:r>
    </w:p>
    <w:p>
      <w:pPr>
        <w:pStyle w:val="ListBullet"/>
        <w:spacing w:after="80" w:line="300" w:lineRule="auto"/>
      </w:pPr>
      <w:r>
        <w:rPr>
          <w:rFonts w:ascii="Calibri" w:hAnsi="Calibri"/>
          <w:color w:val="07090D"/>
          <w:sz w:val="22"/>
        </w:rPr>
        <w:t>Live customizer controls, state, preview logic, uploads, and quote request flow.</w:t>
      </w:r>
    </w:p>
    <w:p>
      <w:pPr>
        <w:pStyle w:val="ListBullet"/>
        <w:spacing w:after="80" w:line="300" w:lineRule="auto"/>
      </w:pPr>
      <w:r>
        <w:rPr>
          <w:rFonts w:ascii="Calibri" w:hAnsi="Calibri"/>
          <w:color w:val="07090D"/>
          <w:sz w:val="22"/>
        </w:rPr>
        <w:t>Existing business logic, APIs, data models, tracking, and permissions.</w:t>
      </w:r>
    </w:p>
    <w:p>
      <w:pPr>
        <w:pStyle w:val="ListBullet"/>
        <w:spacing w:after="80" w:line="300" w:lineRule="auto"/>
      </w:pPr>
      <w:r>
        <w:rPr>
          <w:rFonts w:ascii="Calibri" w:hAnsi="Calibri"/>
          <w:color w:val="07090D"/>
          <w:sz w:val="22"/>
        </w:rPr>
        <w:t>Responsive layout rules unless a visual defect requires a CSS-only correction with no DOM restructuring.</w:t>
      </w:r>
    </w:p>
    <w:p>
      <w:pPr>
        <w:pStyle w:val="Heading2"/>
        <w:keepNext/>
      </w:pPr>
      <w:r>
        <w:rPr>
          <w:rFonts w:ascii="Calibri" w:hAnsi="Calibri"/>
          <w:b/>
          <w:color w:val="07090D"/>
          <w:sz w:val="26"/>
        </w:rPr>
        <w:t>Allowed visual interventions</w:t>
      </w:r>
    </w:p>
    <w:p>
      <w:pPr>
        <w:pStyle w:val="ListBullet"/>
        <w:spacing w:after="80" w:line="300" w:lineRule="auto"/>
      </w:pPr>
      <w:r>
        <w:rPr>
          <w:rFonts w:ascii="Calibri" w:hAnsi="Calibri"/>
          <w:color w:val="07090D"/>
          <w:sz w:val="22"/>
        </w:rPr>
        <w:t>Design tokens: colors, typefaces, weights, sizes, line height, radii, borders, shadows, and spacing rhythm.</w:t>
      </w:r>
    </w:p>
    <w:p>
      <w:pPr>
        <w:pStyle w:val="ListBullet"/>
        <w:spacing w:after="80" w:line="300" w:lineRule="auto"/>
      </w:pPr>
      <w:r>
        <w:rPr>
          <w:rFonts w:ascii="Calibri" w:hAnsi="Calibri"/>
          <w:color w:val="07090D"/>
          <w:sz w:val="22"/>
        </w:rPr>
        <w:t>Background imagery, photography, gradients, textures, overlays, and section treatments within existing containers.</w:t>
      </w:r>
    </w:p>
    <w:p>
      <w:pPr>
        <w:pStyle w:val="ListBullet"/>
        <w:spacing w:after="80" w:line="300" w:lineRule="auto"/>
      </w:pPr>
      <w:r>
        <w:rPr>
          <w:rFonts w:ascii="Calibri" w:hAnsi="Calibri"/>
          <w:color w:val="07090D"/>
          <w:sz w:val="22"/>
        </w:rPr>
        <w:t>Icon and illustration replacement without changing meaning or click behavior.</w:t>
      </w:r>
    </w:p>
    <w:p>
      <w:pPr>
        <w:pStyle w:val="ListBullet"/>
        <w:spacing w:after="80" w:line="300" w:lineRule="auto"/>
      </w:pPr>
      <w:r>
        <w:rPr>
          <w:rFonts w:ascii="Calibri" w:hAnsi="Calibri"/>
          <w:color w:val="07090D"/>
          <w:sz w:val="22"/>
        </w:rPr>
        <w:t>Visual states for buttons, cards, inputs, filters, uploads, focus, hover, active, disabled, success, and error.</w:t>
      </w:r>
    </w:p>
    <w:p>
      <w:pPr>
        <w:pStyle w:val="ListBullet"/>
        <w:spacing w:after="80" w:line="300" w:lineRule="auto"/>
      </w:pPr>
      <w:r>
        <w:rPr>
          <w:rFonts w:ascii="Calibri" w:hAnsi="Calibri"/>
          <w:color w:val="07090D"/>
          <w:sz w:val="22"/>
        </w:rPr>
        <w:t>CSS-only motion, page reveal, hover motion, image parallax, and reduced-motion fallbacks.</w:t>
      </w:r>
    </w:p>
    <w:p>
      <w:pPr>
        <w:pStyle w:val="ListBullet"/>
        <w:spacing w:after="80" w:line="300" w:lineRule="auto"/>
      </w:pPr>
      <w:r>
        <w:rPr>
          <w:rFonts w:ascii="Calibri" w:hAnsi="Calibri"/>
          <w:color w:val="07090D"/>
          <w:sz w:val="22"/>
        </w:rPr>
        <w:t>Image art direction, cropping, color grading, masks, and consistent product-stage treatment.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F3F6"/>
          </w:tcPr>
          <w:p>
            <w:pPr>
              <w:spacing w:after="40"/>
            </w:pPr>
            <w:r>
              <w:rPr>
                <w:rFonts w:ascii="Calibri" w:hAnsi="Calibri"/>
                <w:b/>
                <w:color w:val="07090D"/>
                <w:sz w:val="18"/>
              </w:rPr>
              <w:t>REALITY CHECK</w:t>
            </w:r>
          </w:p>
          <w:p>
            <w:pPr>
              <w:spacing w:after="0" w:line="288" w:lineRule="auto"/>
            </w:pPr>
            <w:r>
              <w:rPr>
                <w:rFonts w:ascii="Calibri" w:hAnsi="Calibri"/>
                <w:b/>
                <w:color w:val="07090D"/>
                <w:sz w:val="22"/>
              </w:rPr>
              <w:t>A full Dirt/Housed transformation is impossible without structural change. This brief deliberately targets the maximum visual improvement possible inside Clarico's existing skeleton.</w:t>
            </w:r>
          </w:p>
        </w:tc>
      </w:tr>
    </w:tbl>
    <w:p>
      <w:pPr>
        <w:keepNext w:val="0"/>
        <w:spacing w:before="0" w:after="60" w:line="300" w:lineRule="auto"/>
        <w:jc w:val="left"/>
      </w:pPr>
      <w:r>
        <w:rPr>
          <w:rFonts w:ascii="Calibri" w:hAnsi="Calibri"/>
          <w:b w:val="0"/>
          <w:i w:val="0"/>
          <w:color w:val="07090D"/>
          <w:sz w:val="2"/>
        </w:rPr>
      </w:r>
    </w:p>
    <w:p>
      <w:pPr>
        <w:pStyle w:val="Heading2"/>
        <w:keepNext/>
      </w:pPr>
      <w:r>
        <w:rPr>
          <w:rFonts w:ascii="Calibri" w:hAnsi="Calibri"/>
          <w:b/>
          <w:color w:val="07090D"/>
          <w:sz w:val="26"/>
        </w:rPr>
        <w:t>Mandatory reference access before implementation</w:t>
      </w:r>
    </w:p>
    <w:p>
      <w:pPr>
        <w:keepNext w:val="0"/>
        <w:spacing w:before="0" w:after="120" w:line="300" w:lineRule="auto"/>
        <w:jc w:val="left"/>
      </w:pPr>
      <w:r>
        <w:rPr>
          <w:rFonts w:ascii="Calibri" w:hAnsi="Calibri"/>
          <w:b w:val="0"/>
          <w:i w:val="0"/>
          <w:color w:val="07090D"/>
          <w:sz w:val="22"/>
        </w:rPr>
        <w:t>Antigravity must open and inspect the following references before changing any Clarico styles:</w:t>
      </w:r>
    </w:p>
    <w:p>
      <w:pPr>
        <w:pStyle w:val="ListBullet"/>
        <w:spacing w:after="80"/>
      </w:pPr>
      <w:r>
        <w:rPr>
          <w:rFonts w:ascii="Calibri" w:hAnsi="Calibri"/>
          <w:b/>
          <w:color w:val="07090D"/>
          <w:sz w:val="22"/>
        </w:rPr>
        <w:t xml:space="preserve">Primary live reference: </w:t>
      </w:r>
      <w:hyperlink r:id="rId11">
        <w:r>
          <w:rPr>
            <w:rFonts w:ascii="Calibri" w:hAnsi="Calibri"/>
            <w:color w:val="F20D3A"/>
            <w:u w:val="single"/>
            <w:sz w:val="22"/>
            <w:szCs w:val="22"/>
            <w:b/>
          </w:rPr>
          <w:t>Dirt — Housed project</w:t>
        </w:r>
      </w:hyperlink>
    </w:p>
    <w:p>
      <w:pPr>
        <w:pStyle w:val="ListBullet"/>
        <w:spacing w:after="80"/>
      </w:pPr>
      <w:r>
        <w:rPr>
          <w:rFonts w:ascii="Calibri" w:hAnsi="Calibri"/>
          <w:b/>
          <w:color w:val="07090D"/>
          <w:sz w:val="22"/>
        </w:rPr>
        <w:t xml:space="preserve">Studio context: </w:t>
      </w:r>
      <w:hyperlink r:id="rId12">
        <w:r>
          <w:rPr>
            <w:rFonts w:ascii="Calibri" w:hAnsi="Calibri"/>
            <w:color w:val="F20D3A"/>
            <w:u w:val="single"/>
            <w:sz w:val="22"/>
            <w:szCs w:val="22"/>
            <w:b/>
          </w:rPr>
          <w:t>Dirt — homepage</w:t>
        </w:r>
      </w:hyperlink>
    </w:p>
    <w:p>
      <w:pPr>
        <w:pStyle w:val="ListBullet"/>
        <w:spacing w:after="80"/>
      </w:pPr>
      <w:r>
        <w:rPr>
          <w:rFonts w:ascii="Calibri" w:hAnsi="Calibri"/>
          <w:b/>
          <w:color w:val="07090D"/>
          <w:sz w:val="22"/>
        </w:rPr>
        <w:t xml:space="preserve">Reference catalog: </w:t>
      </w:r>
      <w:hyperlink r:id="rId13">
        <w:r>
          <w:rPr>
            <w:rFonts w:ascii="Calibri" w:hAnsi="Calibri"/>
            <w:color w:val="F20D3A"/>
            <w:u w:val="single"/>
            <w:sz w:val="22"/>
            <w:szCs w:val="22"/>
            <w:b/>
          </w:rPr>
          <w:t>Recent Design — Dirt</w:t>
        </w:r>
      </w:hyperlink>
    </w:p>
    <w:p>
      <w:pPr>
        <w:keepNext w:val="0"/>
        <w:spacing w:before="0" w:after="160" w:line="300" w:lineRule="auto"/>
        <w:jc w:val="left"/>
      </w:pPr>
      <w:r>
        <w:rPr>
          <w:rFonts w:ascii="Calibri" w:hAnsi="Calibri"/>
          <w:b w:val="0"/>
          <w:i w:val="0"/>
          <w:color w:val="07090D"/>
          <w:sz w:val="21"/>
        </w:rPr>
        <w:t>During that review, inspect the live site's typography, image scale, material treatment, page transitions, scroll behavior, navigation states, spacing rhythm, card treatment, hover states, and responsive behavior. The Recent Design page should be used for its visual summary and classification. If a reference is unavailable, report the limitation and continue only with evidence from the accessible links; do not invent unseen behavior.</w:t>
      </w:r>
    </w:p>
    <w:p>
      <w:pPr>
        <w:pStyle w:val="Heading1"/>
        <w:keepNext/>
      </w:pPr>
      <w:r>
        <w:rPr>
          <w:rFonts w:ascii="Calibri" w:hAnsi="Calibri"/>
          <w:b/>
          <w:color w:val="F20D3A"/>
          <w:sz w:val="32"/>
        </w:rPr>
        <w:t>3. Current-state visual audit</w:t>
      </w:r>
    </w:p>
    <w:tbl>
      <w:tblPr>
        <w:tblStyle w:val="TableGrid"/>
        <w:tblW w:type="dxa" w:w="9360"/>
        <w:tblLayout w:type="fixed"/>
        <w:tblLook w:firstColumn="1" w:firstRow="1" w:lastColumn="0" w:lastRow="0" w:noHBand="0" w:noVBand="1" w:val="04A0"/>
        <w:jc w:val="left"/>
        <w:tblInd w:w="120" w:type="dxa"/>
      </w:tblPr>
      <w:tblGrid>
        <w:gridCol w:w="1750"/>
        <w:gridCol w:w="3500"/>
        <w:gridCol w:w="4110"/>
      </w:tblGrid>
      <w:tr>
        <w:trPr>
          <w:tblHeader w:val="true"/>
        </w:trPr>
        <w:tc>
          <w:tcPr>
            <w:tcW w:type="dxa" w:w="1750"/>
            <w:tcMar>
              <w:top w:w="80" w:type="dxa"/>
              <w:start w:w="120" w:type="dxa"/>
              <w:bottom w:w="80" w:type="dxa"/>
              <w:end w:w="120" w:type="dxa"/>
            </w:tcMar>
            <w:vAlign w:val="center"/>
            <w:shd w:fill="121824"/>
          </w:tcPr>
          <w:p>
            <w:pPr>
              <w:spacing w:after="0"/>
              <w:jc w:val="left"/>
            </w:pPr>
            <w:r>
              <w:rPr>
                <w:rFonts w:ascii="Calibri" w:hAnsi="Calibri"/>
                <w:b/>
                <w:color w:val="FAFAF8"/>
                <w:sz w:val="19"/>
              </w:rPr>
              <w:t>Area</w:t>
            </w:r>
          </w:p>
        </w:tc>
        <w:tc>
          <w:tcPr>
            <w:tcW w:type="dxa" w:w="3500"/>
            <w:tcMar>
              <w:top w:w="80" w:type="dxa"/>
              <w:start w:w="120" w:type="dxa"/>
              <w:bottom w:w="80" w:type="dxa"/>
              <w:end w:w="120" w:type="dxa"/>
            </w:tcMar>
            <w:vAlign w:val="center"/>
            <w:shd w:fill="121824"/>
          </w:tcPr>
          <w:p>
            <w:pPr>
              <w:spacing w:after="0"/>
              <w:jc w:val="left"/>
            </w:pPr>
            <w:r>
              <w:rPr>
                <w:rFonts w:ascii="Calibri" w:hAnsi="Calibri"/>
                <w:b/>
                <w:color w:val="FAFAF8"/>
                <w:sz w:val="19"/>
              </w:rPr>
              <w:t>Current reading</w:t>
            </w:r>
          </w:p>
        </w:tc>
        <w:tc>
          <w:tcPr>
            <w:tcW w:type="dxa" w:w="4110"/>
            <w:tcMar>
              <w:top w:w="80" w:type="dxa"/>
              <w:start w:w="120" w:type="dxa"/>
              <w:bottom w:w="80" w:type="dxa"/>
              <w:end w:w="120" w:type="dxa"/>
            </w:tcMar>
            <w:vAlign w:val="center"/>
            <w:shd w:fill="121824"/>
          </w:tcPr>
          <w:p>
            <w:pPr>
              <w:spacing w:after="0"/>
              <w:jc w:val="left"/>
            </w:pPr>
            <w:r>
              <w:rPr>
                <w:rFonts w:ascii="Calibri" w:hAnsi="Calibri"/>
                <w:b/>
                <w:color w:val="FAFAF8"/>
                <w:sz w:val="19"/>
              </w:rPr>
              <w:t>Visual-only response</w:t>
            </w:r>
          </w:p>
        </w:tc>
      </w:tr>
      <w:tr>
        <w:tc>
          <w:tcPr>
            <w:tcW w:type="dxa" w:w="1750"/>
            <w:tcMar>
              <w:top w:w="80" w:type="dxa"/>
              <w:start w:w="120" w:type="dxa"/>
              <w:bottom w:w="80" w:type="dxa"/>
              <w:end w:w="120" w:type="dxa"/>
            </w:tcMar>
            <w:vAlign w:val="center"/>
          </w:tcPr>
          <w:p>
            <w:pPr>
              <w:spacing w:after="0" w:line="276" w:lineRule="auto"/>
            </w:pPr>
            <w:r>
              <w:rPr>
                <w:rFonts w:ascii="Calibri" w:hAnsi="Calibri"/>
                <w:b/>
                <w:color w:val="07090D"/>
                <w:sz w:val="19"/>
              </w:rPr>
              <w:t>Brand expression</w:t>
            </w:r>
          </w:p>
        </w:tc>
        <w:tc>
          <w:tcPr>
            <w:tcW w:type="dxa" w:w="3500"/>
            <w:tcMar>
              <w:top w:w="80" w:type="dxa"/>
              <w:start w:w="120" w:type="dxa"/>
              <w:bottom w:w="80" w:type="dxa"/>
              <w:end w:w="120" w:type="dxa"/>
            </w:tcMar>
            <w:vAlign w:val="center"/>
          </w:tcPr>
          <w:p>
            <w:pPr>
              <w:spacing w:after="0" w:line="276" w:lineRule="auto"/>
            </w:pPr>
            <w:r>
              <w:rPr>
                <w:rFonts w:ascii="Calibri" w:hAnsi="Calibri"/>
                <w:b w:val="0"/>
                <w:color w:val="07090D"/>
                <w:sz w:val="19"/>
              </w:rPr>
              <w:t>Clear name and segment colors, but the system feels UI-led rather than apparel-led.</w:t>
            </w:r>
          </w:p>
        </w:tc>
        <w:tc>
          <w:tcPr>
            <w:tcW w:type="dxa" w:w="4110"/>
            <w:tcMar>
              <w:top w:w="80" w:type="dxa"/>
              <w:start w:w="120" w:type="dxa"/>
              <w:bottom w:w="80" w:type="dxa"/>
              <w:end w:w="120" w:type="dxa"/>
            </w:tcMar>
            <w:vAlign w:val="center"/>
          </w:tcPr>
          <w:p>
            <w:pPr>
              <w:spacing w:after="0" w:line="276" w:lineRule="auto"/>
            </w:pPr>
            <w:r>
              <w:rPr>
                <w:rFonts w:ascii="Calibri" w:hAnsi="Calibri"/>
                <w:b w:val="0"/>
                <w:color w:val="07090D"/>
                <w:sz w:val="19"/>
              </w:rPr>
              <w:t>Build one master Clarico identity; use segment colors only as secondary navigation cues.</w:t>
            </w:r>
          </w:p>
        </w:tc>
      </w:tr>
      <w:tr>
        <w:tc>
          <w:tcPr>
            <w:tcW w:type="dxa" w:w="1750"/>
            <w:tcMar>
              <w:top w:w="80" w:type="dxa"/>
              <w:start w:w="120" w:type="dxa"/>
              <w:bottom w:w="80" w:type="dxa"/>
              <w:end w:w="120" w:type="dxa"/>
            </w:tcMar>
            <w:vAlign w:val="center"/>
            <w:shd w:fill="F7F8FA"/>
          </w:tcPr>
          <w:p>
            <w:pPr>
              <w:spacing w:after="0" w:line="276" w:lineRule="auto"/>
            </w:pPr>
            <w:r>
              <w:rPr>
                <w:rFonts w:ascii="Calibri" w:hAnsi="Calibri"/>
                <w:b/>
                <w:color w:val="07090D"/>
                <w:sz w:val="19"/>
              </w:rPr>
              <w:t>Typography</w:t>
            </w:r>
          </w:p>
        </w:tc>
        <w:tc>
          <w:tcPr>
            <w:tcW w:type="dxa" w:w="3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Bold uppercase headings work; small muted body copy and repeated center alignment flatten hierarchy.</w:t>
            </w:r>
          </w:p>
        </w:tc>
        <w:tc>
          <w:tcPr>
            <w:tcW w:type="dxa" w:w="411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Use a defined display/body/utility trio, higher contrast, tighter display leading, and stronger supporting type.</w:t>
            </w:r>
          </w:p>
        </w:tc>
      </w:tr>
      <w:tr>
        <w:tc>
          <w:tcPr>
            <w:tcW w:type="dxa" w:w="1750"/>
            <w:tcMar>
              <w:top w:w="80" w:type="dxa"/>
              <w:start w:w="120" w:type="dxa"/>
              <w:bottom w:w="80" w:type="dxa"/>
              <w:end w:w="120" w:type="dxa"/>
            </w:tcMar>
            <w:vAlign w:val="center"/>
          </w:tcPr>
          <w:p>
            <w:pPr>
              <w:spacing w:after="0" w:line="276" w:lineRule="auto"/>
            </w:pPr>
            <w:r>
              <w:rPr>
                <w:rFonts w:ascii="Calibri" w:hAnsi="Calibri"/>
                <w:b/>
                <w:color w:val="07090D"/>
                <w:sz w:val="19"/>
              </w:rPr>
              <w:t>Color</w:t>
            </w:r>
          </w:p>
        </w:tc>
        <w:tc>
          <w:tcPr>
            <w:tcW w:type="dxa" w:w="3500"/>
            <w:tcMar>
              <w:top w:w="80" w:type="dxa"/>
              <w:start w:w="120" w:type="dxa"/>
              <w:bottom w:w="80" w:type="dxa"/>
              <w:end w:w="120" w:type="dxa"/>
            </w:tcMar>
            <w:vAlign w:val="center"/>
          </w:tcPr>
          <w:p>
            <w:pPr>
              <w:spacing w:after="0" w:line="276" w:lineRule="auto"/>
            </w:pPr>
            <w:r>
              <w:rPr>
                <w:rFonts w:ascii="Calibri" w:hAnsi="Calibri"/>
                <w:b w:val="0"/>
                <w:color w:val="07090D"/>
                <w:sz w:val="19"/>
              </w:rPr>
              <w:t>Near-black base is strong. Red/yellow/blue glows compete and can feel like separate themes.</w:t>
            </w:r>
          </w:p>
        </w:tc>
        <w:tc>
          <w:tcPr>
            <w:tcW w:type="dxa" w:w="4110"/>
            <w:tcMar>
              <w:top w:w="80" w:type="dxa"/>
              <w:start w:w="120" w:type="dxa"/>
              <w:bottom w:w="80" w:type="dxa"/>
              <w:end w:w="120" w:type="dxa"/>
            </w:tcMar>
            <w:vAlign w:val="center"/>
          </w:tcPr>
          <w:p>
            <w:pPr>
              <w:spacing w:after="0" w:line="276" w:lineRule="auto"/>
            </w:pPr>
            <w:r>
              <w:rPr>
                <w:rFonts w:ascii="Calibri" w:hAnsi="Calibri"/>
                <w:b w:val="0"/>
                <w:color w:val="07090D"/>
                <w:sz w:val="19"/>
              </w:rPr>
              <w:t>Anchor all pages in ink, paper, and Clarico red; let gold and blue remain controlled segment accents.</w:t>
            </w:r>
          </w:p>
        </w:tc>
      </w:tr>
      <w:tr>
        <w:tc>
          <w:tcPr>
            <w:tcW w:type="dxa" w:w="1750"/>
            <w:tcMar>
              <w:top w:w="80" w:type="dxa"/>
              <w:start w:w="120" w:type="dxa"/>
              <w:bottom w:w="80" w:type="dxa"/>
              <w:end w:w="120" w:type="dxa"/>
            </w:tcMar>
            <w:vAlign w:val="center"/>
            <w:shd w:fill="F7F8FA"/>
          </w:tcPr>
          <w:p>
            <w:pPr>
              <w:spacing w:after="0" w:line="276" w:lineRule="auto"/>
            </w:pPr>
            <w:r>
              <w:rPr>
                <w:rFonts w:ascii="Calibri" w:hAnsi="Calibri"/>
                <w:b/>
                <w:color w:val="07090D"/>
                <w:sz w:val="19"/>
              </w:rPr>
              <w:t>Imagery</w:t>
            </w:r>
          </w:p>
        </w:tc>
        <w:tc>
          <w:tcPr>
            <w:tcW w:type="dxa" w:w="3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Most early sections are text, cards, and glow fields. Product appears later.</w:t>
            </w:r>
          </w:p>
        </w:tc>
        <w:tc>
          <w:tcPr>
            <w:tcW w:type="dxa" w:w="411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Add product, athlete, fabric, and DTF-detail imagery as backgrounds or media inside existing slots.</w:t>
            </w:r>
          </w:p>
        </w:tc>
      </w:tr>
      <w:tr>
        <w:tc>
          <w:tcPr>
            <w:tcW w:type="dxa" w:w="1750"/>
            <w:tcMar>
              <w:top w:w="80" w:type="dxa"/>
              <w:start w:w="120" w:type="dxa"/>
              <w:bottom w:w="80" w:type="dxa"/>
              <w:end w:w="120" w:type="dxa"/>
            </w:tcMar>
            <w:vAlign w:val="center"/>
          </w:tcPr>
          <w:p>
            <w:pPr>
              <w:spacing w:after="0" w:line="276" w:lineRule="auto"/>
            </w:pPr>
            <w:r>
              <w:rPr>
                <w:rFonts w:ascii="Calibri" w:hAnsi="Calibri"/>
                <w:b/>
                <w:color w:val="07090D"/>
                <w:sz w:val="19"/>
              </w:rPr>
              <w:t>Cards</w:t>
            </w:r>
          </w:p>
        </w:tc>
        <w:tc>
          <w:tcPr>
            <w:tcW w:type="dxa" w:w="3500"/>
            <w:tcMar>
              <w:top w:w="80" w:type="dxa"/>
              <w:start w:w="120" w:type="dxa"/>
              <w:bottom w:w="80" w:type="dxa"/>
              <w:end w:w="120" w:type="dxa"/>
            </w:tcMar>
            <w:vAlign w:val="center"/>
          </w:tcPr>
          <w:p>
            <w:pPr>
              <w:spacing w:after="0" w:line="276" w:lineRule="auto"/>
            </w:pPr>
            <w:r>
              <w:rPr>
                <w:rFonts w:ascii="Calibri" w:hAnsi="Calibri"/>
                <w:b w:val="0"/>
                <w:color w:val="07090D"/>
                <w:sz w:val="19"/>
              </w:rPr>
              <w:t>Rounded dark rectangles repeat heavily and produce a SaaS dashboard feeling.</w:t>
            </w:r>
          </w:p>
        </w:tc>
        <w:tc>
          <w:tcPr>
            <w:tcW w:type="dxa" w:w="4110"/>
            <w:tcMar>
              <w:top w:w="80" w:type="dxa"/>
              <w:start w:w="120" w:type="dxa"/>
              <w:bottom w:w="80" w:type="dxa"/>
              <w:end w:w="120" w:type="dxa"/>
            </w:tcMar>
            <w:vAlign w:val="center"/>
          </w:tcPr>
          <w:p>
            <w:pPr>
              <w:spacing w:after="0" w:line="276" w:lineRule="auto"/>
            </w:pPr>
            <w:r>
              <w:rPr>
                <w:rFonts w:ascii="Calibri" w:hAnsi="Calibri"/>
                <w:b w:val="0"/>
                <w:color w:val="07090D"/>
                <w:sz w:val="19"/>
              </w:rPr>
              <w:t>Reduce radius and glow, strengthen edge treatment, add image/material layers, and vary surface hierarchy without moving cards.</w:t>
            </w:r>
          </w:p>
        </w:tc>
      </w:tr>
      <w:tr>
        <w:tc>
          <w:tcPr>
            <w:tcW w:type="dxa" w:w="1750"/>
            <w:tcMar>
              <w:top w:w="80" w:type="dxa"/>
              <w:start w:w="120" w:type="dxa"/>
              <w:bottom w:w="80" w:type="dxa"/>
              <w:end w:w="120" w:type="dxa"/>
            </w:tcMar>
            <w:vAlign w:val="center"/>
            <w:shd w:fill="F7F8FA"/>
          </w:tcPr>
          <w:p>
            <w:pPr>
              <w:spacing w:after="0" w:line="276" w:lineRule="auto"/>
            </w:pPr>
            <w:r>
              <w:rPr>
                <w:rFonts w:ascii="Calibri" w:hAnsi="Calibri"/>
                <w:b/>
                <w:color w:val="07090D"/>
                <w:sz w:val="19"/>
              </w:rPr>
              <w:t>Icons</w:t>
            </w:r>
          </w:p>
        </w:tc>
        <w:tc>
          <w:tcPr>
            <w:tcW w:type="dxa" w:w="3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Emoji and generic symbols feel provisional.</w:t>
            </w:r>
          </w:p>
        </w:tc>
        <w:tc>
          <w:tcPr>
            <w:tcW w:type="dxa" w:w="411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Replace with one custom pictogram family: bold, compact, single-color, sport/utility informed.</w:t>
            </w:r>
          </w:p>
        </w:tc>
      </w:tr>
      <w:tr>
        <w:tc>
          <w:tcPr>
            <w:tcW w:type="dxa" w:w="1750"/>
            <w:tcMar>
              <w:top w:w="80" w:type="dxa"/>
              <w:start w:w="120" w:type="dxa"/>
              <w:bottom w:w="80" w:type="dxa"/>
              <w:end w:w="120" w:type="dxa"/>
            </w:tcMar>
            <w:vAlign w:val="center"/>
          </w:tcPr>
          <w:p>
            <w:pPr>
              <w:spacing w:after="0" w:line="276" w:lineRule="auto"/>
            </w:pPr>
            <w:r>
              <w:rPr>
                <w:rFonts w:ascii="Calibri" w:hAnsi="Calibri"/>
                <w:b/>
                <w:color w:val="07090D"/>
                <w:sz w:val="19"/>
              </w:rPr>
              <w:t>Buttons</w:t>
            </w:r>
          </w:p>
        </w:tc>
        <w:tc>
          <w:tcPr>
            <w:tcW w:type="dxa" w:w="3500"/>
            <w:tcMar>
              <w:top w:w="80" w:type="dxa"/>
              <w:start w:w="120" w:type="dxa"/>
              <w:bottom w:w="80" w:type="dxa"/>
              <w:end w:w="120" w:type="dxa"/>
            </w:tcMar>
            <w:vAlign w:val="center"/>
          </w:tcPr>
          <w:p>
            <w:pPr>
              <w:spacing w:after="0" w:line="276" w:lineRule="auto"/>
            </w:pPr>
            <w:r>
              <w:rPr>
                <w:rFonts w:ascii="Calibri" w:hAnsi="Calibri"/>
                <w:b w:val="0"/>
                <w:color w:val="07090D"/>
                <w:sz w:val="19"/>
              </w:rPr>
              <w:t>Primary CTAs are visible; secondary dark buttons sometimes disappear.</w:t>
            </w:r>
          </w:p>
        </w:tc>
        <w:tc>
          <w:tcPr>
            <w:tcW w:type="dxa" w:w="4110"/>
            <w:tcMar>
              <w:top w:w="80" w:type="dxa"/>
              <w:start w:w="120" w:type="dxa"/>
              <w:bottom w:w="80" w:type="dxa"/>
              <w:end w:w="120" w:type="dxa"/>
            </w:tcMar>
            <w:vAlign w:val="center"/>
          </w:tcPr>
          <w:p>
            <w:pPr>
              <w:spacing w:after="0" w:line="276" w:lineRule="auto"/>
            </w:pPr>
            <w:r>
              <w:rPr>
                <w:rFonts w:ascii="Calibri" w:hAnsi="Calibri"/>
                <w:b w:val="0"/>
                <w:color w:val="07090D"/>
                <w:sz w:val="19"/>
              </w:rPr>
              <w:t>Use a consistent high-contrast rectangular system with decisive hover/focus states.</w:t>
            </w:r>
          </w:p>
        </w:tc>
      </w:tr>
      <w:tr>
        <w:tc>
          <w:tcPr>
            <w:tcW w:type="dxa" w:w="1750"/>
            <w:tcMar>
              <w:top w:w="80" w:type="dxa"/>
              <w:start w:w="120" w:type="dxa"/>
              <w:bottom w:w="80" w:type="dxa"/>
              <w:end w:w="120" w:type="dxa"/>
            </w:tcMar>
            <w:vAlign w:val="center"/>
            <w:shd w:fill="F7F8FA"/>
          </w:tcPr>
          <w:p>
            <w:pPr>
              <w:spacing w:after="0" w:line="276" w:lineRule="auto"/>
            </w:pPr>
            <w:r>
              <w:rPr>
                <w:rFonts w:ascii="Calibri" w:hAnsi="Calibri"/>
                <w:b/>
                <w:color w:val="07090D"/>
                <w:sz w:val="19"/>
              </w:rPr>
              <w:t>Accessibility</w:t>
            </w:r>
          </w:p>
        </w:tc>
        <w:tc>
          <w:tcPr>
            <w:tcW w:type="dxa" w:w="3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Muted gray and small body sizes risk low readability on dark surfaces.</w:t>
            </w:r>
          </w:p>
        </w:tc>
        <w:tc>
          <w:tcPr>
            <w:tcW w:type="dxa" w:w="411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Target WCAG AA, minimum practical body size, visible focus rings, and non-color state indicators.</w:t>
            </w:r>
          </w:p>
        </w:tc>
      </w:tr>
    </w:tbl>
    <w:p>
      <w:pPr>
        <w:keepNext w:val="0"/>
        <w:spacing w:before="0" w:after="80" w:line="300" w:lineRule="auto"/>
        <w:jc w:val="left"/>
      </w:pPr>
      <w:r>
        <w:rPr>
          <w:rFonts w:ascii="Calibri" w:hAnsi="Calibri"/>
          <w:b w:val="0"/>
          <w:i w:val="0"/>
          <w:color w:val="07090D"/>
          <w:sz w:val="2"/>
        </w:rPr>
      </w:r>
    </w:p>
    <w:p>
      <w:pPr>
        <w:pStyle w:val="Heading1"/>
        <w:keepNext/>
      </w:pPr>
      <w:r>
        <w:rPr>
          <w:rFonts w:ascii="Calibri" w:hAnsi="Calibri"/>
          <w:b/>
          <w:color w:val="F20D3A"/>
          <w:sz w:val="32"/>
        </w:rPr>
        <w:t>4. Page-by-page analysis</w:t>
      </w:r>
    </w:p>
    <w:p>
      <w:pPr>
        <w:pStyle w:val="Heading2"/>
        <w:keepNext/>
      </w:pPr>
      <w:r>
        <w:rPr>
          <w:rFonts w:ascii="Calibri" w:hAnsi="Calibri"/>
          <w:b/>
          <w:color w:val="07090D"/>
          <w:sz w:val="26"/>
        </w:rPr>
        <w:t>Home — supplied screenshot 1</w:t>
      </w:r>
    </w:p>
    <w:p>
      <w:pPr>
        <w:pStyle w:val="Heading3"/>
        <w:keepNext/>
      </w:pPr>
      <w:r>
        <w:rPr>
          <w:rFonts w:ascii="Calibri" w:hAnsi="Calibri"/>
          <w:b/>
          <w:color w:val="9F0A28"/>
          <w:sz w:val="24"/>
        </w:rPr>
        <w:t>Current reading</w:t>
      </w:r>
    </w:p>
    <w:p>
      <w:pPr>
        <w:keepNext w:val="0"/>
        <w:spacing w:before="0" w:after="120" w:line="300" w:lineRule="auto"/>
        <w:jc w:val="left"/>
      </w:pPr>
      <w:r>
        <w:rPr>
          <w:rFonts w:ascii="Calibri" w:hAnsi="Calibri"/>
          <w:b w:val="0"/>
          <w:i w:val="0"/>
          <w:color w:val="07090D"/>
          <w:sz w:val="22"/>
        </w:rPr>
        <w:t>The homepage is comprehensive and commercially clear. The hero, audience selector, promise, process, catalog, customizer, and footer create a complete journey. However, almost every section uses the same formula: small kicker, centered all-caps heading, muted sentence, and dark card grid. The result is consistent but visually predictable.</w:t>
      </w:r>
    </w:p>
    <w:p>
      <w:pPr>
        <w:pStyle w:val="Heading3"/>
        <w:keepNext/>
      </w:pPr>
      <w:r>
        <w:rPr>
          <w:rFonts w:ascii="Calibri" w:hAnsi="Calibri"/>
          <w:b/>
          <w:color w:val="9F0A28"/>
          <w:sz w:val="24"/>
        </w:rPr>
        <w:t>Visual-only direction</w:t>
      </w:r>
    </w:p>
    <w:p>
      <w:pPr>
        <w:pStyle w:val="ListBullet"/>
        <w:spacing w:after="80" w:line="300" w:lineRule="auto"/>
      </w:pPr>
      <w:r>
        <w:rPr>
          <w:rFonts w:ascii="Calibri" w:hAnsi="Calibri"/>
          <w:color w:val="07090D"/>
          <w:sz w:val="22"/>
        </w:rPr>
        <w:t>Hero: keep the centered content and CTA positions; replace empty glow space with a controlled athlete/apparel image or motion loop behind the current text.</w:t>
      </w:r>
    </w:p>
    <w:p>
      <w:pPr>
        <w:pStyle w:val="ListBullet"/>
        <w:spacing w:after="80" w:line="300" w:lineRule="auto"/>
      </w:pPr>
      <w:r>
        <w:rPr>
          <w:rFonts w:ascii="Calibri" w:hAnsi="Calibri"/>
          <w:color w:val="07090D"/>
          <w:sz w:val="22"/>
        </w:rPr>
        <w:t>Audience cards: retain all three cards and positions; differentiate them with photographic or material treatments rather than only red/gold/blue edge glow.</w:t>
      </w:r>
    </w:p>
    <w:p>
      <w:pPr>
        <w:pStyle w:val="ListBullet"/>
        <w:spacing w:after="80" w:line="300" w:lineRule="auto"/>
      </w:pPr>
      <w:r>
        <w:rPr>
          <w:rFonts w:ascii="Calibri" w:hAnsi="Calibri"/>
          <w:color w:val="07090D"/>
          <w:sz w:val="22"/>
        </w:rPr>
        <w:t>Promise and process cards: use larger editorial numerals, sharper edges, subtle technical rules, and less rounded-container emphasis.</w:t>
      </w:r>
    </w:p>
    <w:p>
      <w:pPr>
        <w:pStyle w:val="ListBullet"/>
        <w:spacing w:after="80" w:line="300" w:lineRule="auto"/>
      </w:pPr>
      <w:r>
        <w:rPr>
          <w:rFonts w:ascii="Calibri" w:hAnsi="Calibri"/>
          <w:color w:val="07090D"/>
          <w:sz w:val="22"/>
        </w:rPr>
        <w:t>Catalog: standardize image ratio, color grade, label styling, price hierarchy, and product-card backgrounds. The current mix of portraits, flat lays, and generic crops lacks one art direction.</w:t>
      </w:r>
    </w:p>
    <w:p>
      <w:pPr>
        <w:pStyle w:val="ListBullet"/>
        <w:spacing w:after="80" w:line="300" w:lineRule="auto"/>
      </w:pPr>
      <w:r>
        <w:rPr>
          <w:rFonts w:ascii="Calibri" w:hAnsi="Calibri"/>
          <w:color w:val="07090D"/>
          <w:sz w:val="22"/>
        </w:rPr>
        <w:t>Customizer: visually elevate it as the site's signature tool. Keep its controls and positions but give the shirt a brighter product stage, clearer material lighting, and stronger control hierarchy.</w:t>
      </w:r>
    </w:p>
    <w:p>
      <w:pPr>
        <w:pStyle w:val="ListBullet"/>
        <w:spacing w:after="80" w:line="300" w:lineRule="auto"/>
      </w:pPr>
      <w:r>
        <w:rPr>
          <w:rFonts w:ascii="Calibri" w:hAnsi="Calibri"/>
          <w:color w:val="07090D"/>
          <w:sz w:val="22"/>
        </w:rPr>
        <w:t>Footer: keep columns intact; increase legibility and use a clearer brand lockup and restrained divider treatment.</w:t>
      </w:r>
    </w:p>
    <w:p>
      <w:pPr>
        <w:pStyle w:val="Heading2"/>
        <w:keepNext/>
      </w:pPr>
      <w:r>
        <w:rPr>
          <w:rFonts w:ascii="Calibri" w:hAnsi="Calibri"/>
          <w:b/>
          <w:color w:val="07090D"/>
          <w:sz w:val="26"/>
        </w:rPr>
        <w:t>Sports — supplied screenshot 2</w:t>
      </w:r>
    </w:p>
    <w:p>
      <w:pPr>
        <w:pStyle w:val="Heading3"/>
        <w:keepNext/>
      </w:pPr>
      <w:r>
        <w:rPr>
          <w:rFonts w:ascii="Calibri" w:hAnsi="Calibri"/>
          <w:b/>
          <w:color w:val="9F0A28"/>
          <w:sz w:val="24"/>
        </w:rPr>
        <w:t>Current reading</w:t>
      </w:r>
    </w:p>
    <w:p>
      <w:pPr>
        <w:keepNext w:val="0"/>
        <w:spacing w:before="0" w:after="120" w:line="300" w:lineRule="auto"/>
        <w:jc w:val="left"/>
      </w:pPr>
      <w:r>
        <w:rPr>
          <w:rFonts w:ascii="Calibri" w:hAnsi="Calibri"/>
          <w:b w:val="0"/>
          <w:i w:val="0"/>
          <w:color w:val="07090D"/>
          <w:sz w:val="22"/>
        </w:rPr>
        <w:t>This is the strongest strategic page because it clearly owns jiu-jitsu and team identity. The red emphasis is appropriate and the academy specialization is credible. The main weakness is that a sports proposition is shown primarily through text grids and emoji categories instead of bodies, movement, mats, competition energy, and garment detail.</w:t>
      </w:r>
    </w:p>
    <w:p>
      <w:pPr>
        <w:pStyle w:val="Heading3"/>
        <w:keepNext/>
      </w:pPr>
      <w:r>
        <w:rPr>
          <w:rFonts w:ascii="Calibri" w:hAnsi="Calibri"/>
          <w:b/>
          <w:color w:val="9F0A28"/>
          <w:sz w:val="24"/>
        </w:rPr>
        <w:t>Visual-only direction</w:t>
      </w:r>
    </w:p>
    <w:p>
      <w:pPr>
        <w:pStyle w:val="ListBullet"/>
        <w:spacing w:after="80" w:line="300" w:lineRule="auto"/>
      </w:pPr>
      <w:r>
        <w:rPr>
          <w:rFonts w:ascii="Calibri" w:hAnsi="Calibri"/>
          <w:color w:val="07090D"/>
          <w:sz w:val="22"/>
        </w:rPr>
        <w:t>Use a monochrome or red-duotone BJJ image inside the existing hero background without changing content placement.</w:t>
      </w:r>
    </w:p>
    <w:p>
      <w:pPr>
        <w:pStyle w:val="ListBullet"/>
        <w:spacing w:after="80" w:line="300" w:lineRule="auto"/>
      </w:pPr>
      <w:r>
        <w:rPr>
          <w:rFonts w:ascii="Calibri" w:hAnsi="Calibri"/>
          <w:color w:val="07090D"/>
          <w:sz w:val="22"/>
        </w:rPr>
        <w:t>Replace all sport emojis with a coherent custom icon set inspired by patches, weight classes, scoreboards, and competition signage.</w:t>
      </w:r>
    </w:p>
    <w:p>
      <w:pPr>
        <w:pStyle w:val="ListBullet"/>
        <w:spacing w:after="80" w:line="300" w:lineRule="auto"/>
      </w:pPr>
      <w:r>
        <w:rPr>
          <w:rFonts w:ascii="Calibri" w:hAnsi="Calibri"/>
          <w:color w:val="07090D"/>
          <w:sz w:val="22"/>
        </w:rPr>
        <w:t>Treat academy names/logos in a monochrome partner strip so they feel verified and intentional rather than placeholder badges.</w:t>
      </w:r>
    </w:p>
    <w:p>
      <w:pPr>
        <w:pStyle w:val="ListBullet"/>
        <w:spacing w:after="80" w:line="300" w:lineRule="auto"/>
      </w:pPr>
      <w:r>
        <w:rPr>
          <w:rFonts w:ascii="Calibri" w:hAnsi="Calibri"/>
          <w:color w:val="07090D"/>
          <w:sz w:val="22"/>
        </w:rPr>
        <w:t>Restyle the testimonial as editorial proof: stronger quote typography, subtle portrait treatment, and less generic card framing within the same block.</w:t>
      </w:r>
    </w:p>
    <w:p>
      <w:pPr>
        <w:pStyle w:val="ListBullet"/>
        <w:spacing w:after="80" w:line="300" w:lineRule="auto"/>
      </w:pPr>
      <w:r>
        <w:rPr>
          <w:rFonts w:ascii="Calibri" w:hAnsi="Calibri"/>
          <w:color w:val="07090D"/>
          <w:sz w:val="22"/>
        </w:rPr>
        <w:t>Use fabric weave, mat texture, seam detail, and DTF closeups as background layers in the existing promise cards.</w:t>
      </w:r>
    </w:p>
    <w:p>
      <w:pPr>
        <w:pStyle w:val="Heading2"/>
        <w:keepNext/>
      </w:pPr>
      <w:r>
        <w:rPr>
          <w:rFonts w:ascii="Calibri" w:hAnsi="Calibri"/>
          <w:b/>
          <w:color w:val="07090D"/>
          <w:sz w:val="26"/>
        </w:rPr>
        <w:t>Custom — supplied screenshot 3</w:t>
      </w:r>
    </w:p>
    <w:p>
      <w:pPr>
        <w:pStyle w:val="Heading3"/>
        <w:keepNext/>
      </w:pPr>
      <w:r>
        <w:rPr>
          <w:rFonts w:ascii="Calibri" w:hAnsi="Calibri"/>
          <w:b/>
          <w:color w:val="9F0A28"/>
          <w:sz w:val="24"/>
        </w:rPr>
        <w:t>Current reading</w:t>
      </w:r>
    </w:p>
    <w:p>
      <w:pPr>
        <w:keepNext w:val="0"/>
        <w:spacing w:before="0" w:after="120" w:line="300" w:lineRule="auto"/>
        <w:jc w:val="left"/>
      </w:pPr>
      <w:r>
        <w:rPr>
          <w:rFonts w:ascii="Calibri" w:hAnsi="Calibri"/>
          <w:b w:val="0"/>
          <w:i w:val="0"/>
          <w:color w:val="07090D"/>
          <w:sz w:val="22"/>
        </w:rPr>
        <w:t>The gold segment color successfully separates personal orders from sports. The copy is direct and the no-minimum proposition is memorable. Visually, the page is still dominated by dark grids, emoji use cases, and abstract glow fields; it needs more emotional and tactile cues.</w:t>
      </w:r>
    </w:p>
    <w:p>
      <w:pPr>
        <w:pStyle w:val="Heading3"/>
        <w:keepNext/>
      </w:pPr>
      <w:r>
        <w:rPr>
          <w:rFonts w:ascii="Calibri" w:hAnsi="Calibri"/>
          <w:b/>
          <w:color w:val="9F0A28"/>
          <w:sz w:val="24"/>
        </w:rPr>
        <w:t>Visual-only direction</w:t>
      </w:r>
    </w:p>
    <w:p>
      <w:pPr>
        <w:pStyle w:val="ListBullet"/>
        <w:spacing w:after="80" w:line="300" w:lineRule="auto"/>
      </w:pPr>
      <w:r>
        <w:rPr>
          <w:rFonts w:ascii="Calibri" w:hAnsi="Calibri"/>
          <w:color w:val="07090D"/>
          <w:sz w:val="22"/>
        </w:rPr>
        <w:t>Keep gold as a secondary accent, while retaining Clarico red in the global brand and quote action.</w:t>
      </w:r>
    </w:p>
    <w:p>
      <w:pPr>
        <w:pStyle w:val="ListBullet"/>
        <w:spacing w:after="80" w:line="300" w:lineRule="auto"/>
      </w:pPr>
      <w:r>
        <w:rPr>
          <w:rFonts w:ascii="Calibri" w:hAnsi="Calibri"/>
          <w:color w:val="07090D"/>
          <w:sz w:val="22"/>
        </w:rPr>
        <w:t>Replace celebration emojis with a designed pictogram family or carefully art-directed small photography crops.</w:t>
      </w:r>
    </w:p>
    <w:p>
      <w:pPr>
        <w:pStyle w:val="ListBullet"/>
        <w:spacing w:after="80" w:line="300" w:lineRule="auto"/>
      </w:pPr>
      <w:r>
        <w:rPr>
          <w:rFonts w:ascii="Calibri" w:hAnsi="Calibri"/>
          <w:color w:val="07090D"/>
          <w:sz w:val="22"/>
        </w:rPr>
        <w:t>Introduce personal garment details—photo-shirt print, names, dates, fabric, and hands—within the current card and background slots.</w:t>
      </w:r>
    </w:p>
    <w:p>
      <w:pPr>
        <w:pStyle w:val="ListBullet"/>
        <w:spacing w:after="80" w:line="300" w:lineRule="auto"/>
      </w:pPr>
      <w:r>
        <w:rPr>
          <w:rFonts w:ascii="Calibri" w:hAnsi="Calibri"/>
          <w:color w:val="07090D"/>
          <w:sz w:val="22"/>
        </w:rPr>
        <w:t>Preserve the five-step process but make each number a bold editorial anchor, with cleaner separators and higher body contrast.</w:t>
      </w:r>
    </w:p>
    <w:p>
      <w:pPr>
        <w:pStyle w:val="ListBullet"/>
        <w:spacing w:after="80" w:line="300" w:lineRule="auto"/>
      </w:pPr>
      <w:r>
        <w:rPr>
          <w:rFonts w:ascii="Calibri" w:hAnsi="Calibri"/>
          <w:color w:val="07090D"/>
          <w:sz w:val="22"/>
        </w:rPr>
        <w:t>The ‘1 shirt or 1,000’ section is already the best typographic moment; extend its confident scale and compact line spacing to other key statements.</w:t>
      </w:r>
    </w:p>
    <w:p>
      <w:pPr>
        <w:pStyle w:val="Heading2"/>
        <w:keepNext/>
      </w:pPr>
      <w:r>
        <w:rPr>
          <w:rFonts w:ascii="Calibri" w:hAnsi="Calibri"/>
          <w:b/>
          <w:color w:val="07090D"/>
          <w:sz w:val="26"/>
        </w:rPr>
        <w:t>Business — supplied screenshot 4</w:t>
      </w:r>
    </w:p>
    <w:p>
      <w:pPr>
        <w:pStyle w:val="Heading3"/>
        <w:keepNext/>
      </w:pPr>
      <w:r>
        <w:rPr>
          <w:rFonts w:ascii="Calibri" w:hAnsi="Calibri"/>
          <w:b/>
          <w:color w:val="9F0A28"/>
          <w:sz w:val="24"/>
        </w:rPr>
        <w:t>Current reading</w:t>
      </w:r>
    </w:p>
    <w:p>
      <w:pPr>
        <w:keepNext w:val="0"/>
        <w:spacing w:before="0" w:after="120" w:line="300" w:lineRule="auto"/>
        <w:jc w:val="left"/>
      </w:pPr>
      <w:r>
        <w:rPr>
          <w:rFonts w:ascii="Calibri" w:hAnsi="Calibri"/>
          <w:b w:val="0"/>
          <w:i w:val="0"/>
          <w:color w:val="07090D"/>
          <w:sz w:val="22"/>
        </w:rPr>
        <w:t>The blue system feels professional and the industry/product lists are useful. Yet it resembles the Custom page with different copy and color, so the business identity lacks its own material and photographic character. Emoji-style industry icons also weaken B2B credibility.</w:t>
      </w:r>
    </w:p>
    <w:p>
      <w:pPr>
        <w:pStyle w:val="Heading3"/>
        <w:keepNext/>
      </w:pPr>
      <w:r>
        <w:rPr>
          <w:rFonts w:ascii="Calibri" w:hAnsi="Calibri"/>
          <w:b/>
          <w:color w:val="9F0A28"/>
          <w:sz w:val="24"/>
        </w:rPr>
        <w:t>Visual-only direction</w:t>
      </w:r>
    </w:p>
    <w:p>
      <w:pPr>
        <w:pStyle w:val="ListBullet"/>
        <w:spacing w:after="80" w:line="300" w:lineRule="auto"/>
      </w:pPr>
      <w:r>
        <w:rPr>
          <w:rFonts w:ascii="Calibri" w:hAnsi="Calibri"/>
          <w:color w:val="07090D"/>
          <w:sz w:val="22"/>
        </w:rPr>
        <w:t>Keep the same sections and card grids; use real uniform contexts—restaurant, contractor, gym, automotive, and service teams—as visual layers.</w:t>
      </w:r>
    </w:p>
    <w:p>
      <w:pPr>
        <w:pStyle w:val="ListBullet"/>
        <w:spacing w:after="80" w:line="300" w:lineRule="auto"/>
      </w:pPr>
      <w:r>
        <w:rPr>
          <w:rFonts w:ascii="Calibri" w:hAnsi="Calibri"/>
          <w:color w:val="07090D"/>
          <w:sz w:val="22"/>
        </w:rPr>
        <w:t>Replace emoji with a functional pictogram system based on tools, garments, and workplace signage.</w:t>
      </w:r>
    </w:p>
    <w:p>
      <w:pPr>
        <w:pStyle w:val="ListBullet"/>
        <w:spacing w:after="80" w:line="300" w:lineRule="auto"/>
      </w:pPr>
      <w:r>
        <w:rPr>
          <w:rFonts w:ascii="Calibri" w:hAnsi="Calibri"/>
          <w:color w:val="07090D"/>
          <w:sz w:val="22"/>
        </w:rPr>
        <w:t>Use blue only for segment orientation and data accents; keep the global CTA and brand lockup rooted in Clarico red.</w:t>
      </w:r>
    </w:p>
    <w:p>
      <w:pPr>
        <w:pStyle w:val="ListBullet"/>
        <w:spacing w:after="80" w:line="300" w:lineRule="auto"/>
      </w:pPr>
      <w:r>
        <w:rPr>
          <w:rFonts w:ascii="Calibri" w:hAnsi="Calibri"/>
          <w:color w:val="07090D"/>
          <w:sz w:val="22"/>
        </w:rPr>
        <w:t>Make surfaces feel more industrial: precise rules, woven labels, garment spec tags, ink stamps, and subtle grid texture.</w:t>
      </w:r>
    </w:p>
    <w:p>
      <w:pPr>
        <w:pStyle w:val="ListBullet"/>
        <w:spacing w:after="80" w:line="300" w:lineRule="auto"/>
      </w:pPr>
      <w:r>
        <w:rPr>
          <w:rFonts w:ascii="Calibri" w:hAnsi="Calibri"/>
          <w:color w:val="07090D"/>
          <w:sz w:val="22"/>
        </w:rPr>
        <w:t>Increase perceived professionalism through stronger copy contrast, quieter glows, and more disciplined card borders.</w:t>
      </w:r>
    </w:p>
    <w:p>
      <w:pPr>
        <w:pStyle w:val="Heading2"/>
        <w:keepNext/>
      </w:pPr>
      <w:r>
        <w:rPr>
          <w:rFonts w:ascii="Calibri" w:hAnsi="Calibri"/>
          <w:b/>
          <w:color w:val="07090D"/>
          <w:sz w:val="26"/>
        </w:rPr>
        <w:t>Quote modal — supplied screenshot 5</w:t>
      </w:r>
    </w:p>
    <w:p>
      <w:pPr>
        <w:pStyle w:val="Heading3"/>
        <w:keepNext/>
      </w:pPr>
      <w:r>
        <w:rPr>
          <w:rFonts w:ascii="Calibri" w:hAnsi="Calibri"/>
          <w:b/>
          <w:color w:val="9F0A28"/>
          <w:sz w:val="24"/>
        </w:rPr>
        <w:t>Current reading</w:t>
      </w:r>
    </w:p>
    <w:p>
      <w:pPr>
        <w:keepNext w:val="0"/>
        <w:spacing w:before="0" w:after="120" w:line="300" w:lineRule="auto"/>
        <w:jc w:val="left"/>
      </w:pPr>
      <w:r>
        <w:rPr>
          <w:rFonts w:ascii="Calibri" w:hAnsi="Calibri"/>
          <w:b w:val="0"/>
          <w:i w:val="0"/>
          <w:color w:val="07090D"/>
          <w:sz w:val="22"/>
        </w:rPr>
        <w:t>The modal communicates segmentation, captures the required information, and keeps the red submission action prominent. It is visually dense, the fields are compact, and the heavy blurred backdrop makes it feel like an internal form floating above the site rather than a premium ordering checkpoint.</w:t>
      </w:r>
    </w:p>
    <w:p>
      <w:pPr>
        <w:pStyle w:val="Heading3"/>
        <w:keepNext/>
      </w:pPr>
      <w:r>
        <w:rPr>
          <w:rFonts w:ascii="Calibri" w:hAnsi="Calibri"/>
          <w:b/>
          <w:color w:val="9F0A28"/>
          <w:sz w:val="24"/>
        </w:rPr>
        <w:t>Visual-only direction</w:t>
      </w:r>
    </w:p>
    <w:p>
      <w:pPr>
        <w:pStyle w:val="ListBullet"/>
        <w:spacing w:after="80" w:line="300" w:lineRule="auto"/>
      </w:pPr>
      <w:r>
        <w:rPr>
          <w:rFonts w:ascii="Calibri" w:hAnsi="Calibri"/>
          <w:color w:val="07090D"/>
          <w:sz w:val="22"/>
        </w:rPr>
        <w:t>Preserve every field, label, order, validation, and submission action.</w:t>
      </w:r>
    </w:p>
    <w:p>
      <w:pPr>
        <w:pStyle w:val="ListBullet"/>
        <w:spacing w:after="80" w:line="300" w:lineRule="auto"/>
      </w:pPr>
      <w:r>
        <w:rPr>
          <w:rFonts w:ascii="Calibri" w:hAnsi="Calibri"/>
          <w:color w:val="07090D"/>
          <w:sz w:val="22"/>
        </w:rPr>
        <w:t>Use clearer surface separation, stronger input borders, brighter field text, and consistent focus/error/success states.</w:t>
      </w:r>
    </w:p>
    <w:p>
      <w:pPr>
        <w:pStyle w:val="ListBullet"/>
        <w:spacing w:after="80" w:line="300" w:lineRule="auto"/>
      </w:pPr>
      <w:r>
        <w:rPr>
          <w:rFonts w:ascii="Calibri" w:hAnsi="Calibri"/>
          <w:color w:val="07090D"/>
          <w:sz w:val="22"/>
        </w:rPr>
        <w:t>Restyle the upload area as a tactile print-preparation zone while keeping the same uploader and behavior.</w:t>
      </w:r>
    </w:p>
    <w:p>
      <w:pPr>
        <w:pStyle w:val="ListBullet"/>
        <w:spacing w:after="80" w:line="300" w:lineRule="auto"/>
      </w:pPr>
      <w:r>
        <w:rPr>
          <w:rFonts w:ascii="Calibri" w:hAnsi="Calibri"/>
          <w:color w:val="07090D"/>
          <w:sz w:val="22"/>
        </w:rPr>
        <w:t>Reduce decorative noise around the modal; use one controlled brand glow and a crisp, high-contrast panel edge.</w:t>
      </w:r>
    </w:p>
    <w:p>
      <w:pPr>
        <w:pStyle w:val="ListBullet"/>
        <w:spacing w:after="80" w:line="300" w:lineRule="auto"/>
      </w:pPr>
      <w:r>
        <w:rPr>
          <w:rFonts w:ascii="Calibri" w:hAnsi="Calibri"/>
          <w:color w:val="07090D"/>
          <w:sz w:val="22"/>
        </w:rPr>
        <w:t>Ensure the close control, keyboard focus order, and form status are visually unmistakable.</w:t>
      </w:r>
    </w:p>
    <w:p>
      <w:pPr>
        <w:pStyle w:val="Heading1"/>
        <w:keepNext/>
      </w:pPr>
      <w:r>
        <w:rPr>
          <w:rFonts w:ascii="Calibri" w:hAnsi="Calibri"/>
          <w:b/>
          <w:color w:val="F20D3A"/>
          <w:sz w:val="32"/>
        </w:rPr>
        <w:t>5. Recommended identity direction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8ED"/>
          </w:tcPr>
          <w:p>
            <w:pPr>
              <w:spacing w:after="40"/>
            </w:pPr>
            <w:r>
              <w:rPr>
                <w:rFonts w:ascii="Calibri" w:hAnsi="Calibri"/>
                <w:b/>
                <w:color w:val="F20D3A"/>
                <w:sz w:val="18"/>
              </w:rPr>
              <w:t>CREATIVE PLATFORM</w:t>
            </w:r>
          </w:p>
          <w:p>
            <w:pPr>
              <w:spacing w:after="0" w:line="288" w:lineRule="auto"/>
            </w:pPr>
            <w:r>
              <w:rPr>
                <w:rFonts w:ascii="Calibri" w:hAnsi="Calibri"/>
                <w:b/>
                <w:color w:val="07090D"/>
                <w:sz w:val="22"/>
              </w:rPr>
              <w:t>TECHNICAL STREETWEAR × MAT CULTURE × FAST STUDIO</w:t>
            </w:r>
          </w:p>
        </w:tc>
      </w:tr>
    </w:tbl>
    <w:p>
      <w:pPr>
        <w:keepNext w:val="0"/>
        <w:spacing w:before="0" w:after="60" w:line="300" w:lineRule="auto"/>
        <w:jc w:val="left"/>
      </w:pPr>
      <w:r>
        <w:rPr>
          <w:rFonts w:ascii="Calibri" w:hAnsi="Calibri"/>
          <w:b w:val="0"/>
          <w:i w:val="0"/>
          <w:color w:val="07090D"/>
          <w:sz w:val="2"/>
        </w:rPr>
      </w:r>
    </w:p>
    <w:p>
      <w:pPr>
        <w:keepNext w:val="0"/>
        <w:spacing w:before="0" w:after="120" w:line="300" w:lineRule="auto"/>
        <w:jc w:val="left"/>
      </w:pPr>
      <w:r>
        <w:rPr>
          <w:rFonts w:ascii="Calibri" w:hAnsi="Calibri"/>
          <w:b w:val="0"/>
          <w:i w:val="0"/>
          <w:color w:val="07090D"/>
          <w:sz w:val="22"/>
        </w:rPr>
        <w:t>Clarico should feel like a small high-performance apparel studio: fast enough for events, precise enough for academies, approachable enough for one-off custom orders, and credible enough for business uniforms.</w:t>
      </w:r>
    </w:p>
    <w:p>
      <w:pPr>
        <w:pStyle w:val="Heading2"/>
        <w:keepNext/>
      </w:pPr>
      <w:r>
        <w:rPr>
          <w:rFonts w:ascii="Calibri" w:hAnsi="Calibri"/>
          <w:b/>
          <w:color w:val="07090D"/>
          <w:sz w:val="26"/>
        </w:rPr>
        <w:t>Brand pillars</w:t>
      </w:r>
    </w:p>
    <w:tbl>
      <w:tblPr>
        <w:tblStyle w:val="TableGrid"/>
        <w:tblW w:type="dxa" w:w="9360"/>
        <w:tblLayout w:type="fixed"/>
        <w:tblLook w:firstColumn="1" w:firstRow="1" w:lastColumn="0" w:lastRow="0" w:noHBand="0" w:noVBand="1" w:val="04A0"/>
        <w:jc w:val="left"/>
        <w:tblInd w:w="120" w:type="dxa"/>
      </w:tblPr>
      <w:tblGrid>
        <w:gridCol w:w="1875"/>
        <w:gridCol w:w="7485"/>
      </w:tblGrid>
      <w:tr>
        <w:trPr>
          <w:tblHeader w:val="true"/>
        </w:trPr>
        <w:tc>
          <w:tcPr>
            <w:tcW w:type="dxa" w:w="1875"/>
            <w:tcMar>
              <w:top w:w="80" w:type="dxa"/>
              <w:start w:w="120" w:type="dxa"/>
              <w:bottom w:w="80" w:type="dxa"/>
              <w:end w:w="120" w:type="dxa"/>
            </w:tcMar>
            <w:vAlign w:val="center"/>
            <w:shd w:fill="121824"/>
          </w:tcPr>
          <w:p>
            <w:pPr>
              <w:spacing w:after="0"/>
              <w:jc w:val="left"/>
            </w:pPr>
            <w:r>
              <w:rPr>
                <w:rFonts w:ascii="Calibri" w:hAnsi="Calibri"/>
                <w:b/>
                <w:color w:val="FAFAF8"/>
                <w:sz w:val="19"/>
              </w:rPr>
              <w:t>Pillar</w:t>
            </w:r>
          </w:p>
        </w:tc>
        <w:tc>
          <w:tcPr>
            <w:tcW w:type="dxa" w:w="7485"/>
            <w:tcMar>
              <w:top w:w="80" w:type="dxa"/>
              <w:start w:w="120" w:type="dxa"/>
              <w:bottom w:w="80" w:type="dxa"/>
              <w:end w:w="120" w:type="dxa"/>
            </w:tcMar>
            <w:vAlign w:val="center"/>
            <w:shd w:fill="121824"/>
          </w:tcPr>
          <w:p>
            <w:pPr>
              <w:spacing w:after="0"/>
              <w:jc w:val="left"/>
            </w:pPr>
            <w:r>
              <w:rPr>
                <w:rFonts w:ascii="Calibri" w:hAnsi="Calibri"/>
                <w:b/>
                <w:color w:val="FAFAF8"/>
                <w:sz w:val="19"/>
              </w:rPr>
              <w:t>Visual expression</w:t>
            </w:r>
          </w:p>
        </w:tc>
      </w:tr>
      <w:tr>
        <w:tc>
          <w:tcPr>
            <w:tcW w:type="dxa" w:w="1875"/>
            <w:tcMar>
              <w:top w:w="80" w:type="dxa"/>
              <w:start w:w="120" w:type="dxa"/>
              <w:bottom w:w="80" w:type="dxa"/>
              <w:end w:w="120" w:type="dxa"/>
            </w:tcMar>
            <w:vAlign w:val="center"/>
          </w:tcPr>
          <w:p>
            <w:pPr>
              <w:spacing w:after="0" w:line="276" w:lineRule="auto"/>
            </w:pPr>
            <w:r>
              <w:rPr>
                <w:rFonts w:ascii="Calibri" w:hAnsi="Calibri"/>
                <w:b/>
                <w:color w:val="07090D"/>
                <w:sz w:val="19"/>
              </w:rPr>
              <w:t>Precision</w:t>
            </w:r>
          </w:p>
        </w:tc>
        <w:tc>
          <w:tcPr>
            <w:tcW w:type="dxa" w:w="7485"/>
            <w:tcMar>
              <w:top w:w="80" w:type="dxa"/>
              <w:start w:w="120" w:type="dxa"/>
              <w:bottom w:w="80" w:type="dxa"/>
              <w:end w:w="120" w:type="dxa"/>
            </w:tcMar>
            <w:vAlign w:val="center"/>
          </w:tcPr>
          <w:p>
            <w:pPr>
              <w:spacing w:after="0" w:line="276" w:lineRule="auto"/>
            </w:pPr>
            <w:r>
              <w:rPr>
                <w:rFonts w:ascii="Calibri" w:hAnsi="Calibri"/>
                <w:b w:val="0"/>
                <w:color w:val="07090D"/>
                <w:sz w:val="19"/>
              </w:rPr>
              <w:t>Crisp hierarchy, measured grids, print specifications, close-up material detail.</w:t>
            </w:r>
          </w:p>
        </w:tc>
      </w:tr>
      <w:tr>
        <w:tc>
          <w:tcPr>
            <w:tcW w:type="dxa" w:w="1875"/>
            <w:tcMar>
              <w:top w:w="80" w:type="dxa"/>
              <w:start w:w="120" w:type="dxa"/>
              <w:bottom w:w="80" w:type="dxa"/>
              <w:end w:w="120" w:type="dxa"/>
            </w:tcMar>
            <w:vAlign w:val="center"/>
            <w:shd w:fill="F7F8FA"/>
          </w:tcPr>
          <w:p>
            <w:pPr>
              <w:spacing w:after="0" w:line="276" w:lineRule="auto"/>
            </w:pPr>
            <w:r>
              <w:rPr>
                <w:rFonts w:ascii="Calibri" w:hAnsi="Calibri"/>
                <w:b/>
                <w:color w:val="07090D"/>
                <w:sz w:val="19"/>
              </w:rPr>
              <w:t>Speed</w:t>
            </w:r>
          </w:p>
        </w:tc>
        <w:tc>
          <w:tcPr>
            <w:tcW w:type="dxa" w:w="7485"/>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Decisive CTAs, concise motion, progress cues, turnaround language.</w:t>
            </w:r>
          </w:p>
        </w:tc>
      </w:tr>
      <w:tr>
        <w:tc>
          <w:tcPr>
            <w:tcW w:type="dxa" w:w="1875"/>
            <w:tcMar>
              <w:top w:w="80" w:type="dxa"/>
              <w:start w:w="120" w:type="dxa"/>
              <w:bottom w:w="80" w:type="dxa"/>
              <w:end w:w="120" w:type="dxa"/>
            </w:tcMar>
            <w:vAlign w:val="center"/>
          </w:tcPr>
          <w:p>
            <w:pPr>
              <w:spacing w:after="0" w:line="276" w:lineRule="auto"/>
            </w:pPr>
            <w:r>
              <w:rPr>
                <w:rFonts w:ascii="Calibri" w:hAnsi="Calibri"/>
                <w:b/>
                <w:color w:val="07090D"/>
                <w:sz w:val="19"/>
              </w:rPr>
              <w:t>Identity</w:t>
            </w:r>
          </w:p>
        </w:tc>
        <w:tc>
          <w:tcPr>
            <w:tcW w:type="dxa" w:w="7485"/>
            <w:tcMar>
              <w:top w:w="80" w:type="dxa"/>
              <w:start w:w="120" w:type="dxa"/>
              <w:bottom w:w="80" w:type="dxa"/>
              <w:end w:w="120" w:type="dxa"/>
            </w:tcMar>
            <w:vAlign w:val="center"/>
          </w:tcPr>
          <w:p>
            <w:pPr>
              <w:spacing w:after="0" w:line="276" w:lineRule="auto"/>
            </w:pPr>
            <w:r>
              <w:rPr>
                <w:rFonts w:ascii="Calibri" w:hAnsi="Calibri"/>
                <w:b w:val="0"/>
                <w:color w:val="07090D"/>
                <w:sz w:val="19"/>
              </w:rPr>
              <w:t>Academy, team, person, or business branding treated as the hero—not Clarico placed inside every design.</w:t>
            </w:r>
          </w:p>
        </w:tc>
      </w:tr>
      <w:tr>
        <w:tc>
          <w:tcPr>
            <w:tcW w:type="dxa" w:w="1875"/>
            <w:tcMar>
              <w:top w:w="80" w:type="dxa"/>
              <w:start w:w="120" w:type="dxa"/>
              <w:bottom w:w="80" w:type="dxa"/>
              <w:end w:w="120" w:type="dxa"/>
            </w:tcMar>
            <w:vAlign w:val="center"/>
            <w:shd w:fill="F7F8FA"/>
          </w:tcPr>
          <w:p>
            <w:pPr>
              <w:spacing w:after="0" w:line="276" w:lineRule="auto"/>
            </w:pPr>
            <w:r>
              <w:rPr>
                <w:rFonts w:ascii="Calibri" w:hAnsi="Calibri"/>
                <w:b/>
                <w:color w:val="07090D"/>
                <w:sz w:val="19"/>
              </w:rPr>
              <w:t>Craft</w:t>
            </w:r>
          </w:p>
        </w:tc>
        <w:tc>
          <w:tcPr>
            <w:tcW w:type="dxa" w:w="7485"/>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Fabric, ink, transfer, seams, labels, and real garments presented with care.</w:t>
            </w:r>
          </w:p>
        </w:tc>
      </w:tr>
    </w:tbl>
    <w:p>
      <w:pPr>
        <w:keepNext w:val="0"/>
        <w:spacing w:before="0" w:after="80" w:line="300" w:lineRule="auto"/>
        <w:jc w:val="left"/>
      </w:pPr>
      <w:r>
        <w:rPr>
          <w:rFonts w:ascii="Calibri" w:hAnsi="Calibri"/>
          <w:b w:val="0"/>
          <w:i w:val="0"/>
          <w:color w:val="07090D"/>
          <w:sz w:val="2"/>
        </w:rPr>
      </w:r>
    </w:p>
    <w:p>
      <w:pPr>
        <w:pStyle w:val="Heading2"/>
        <w:keepNext/>
      </w:pPr>
      <w:r>
        <w:rPr>
          <w:rFonts w:ascii="Calibri" w:hAnsi="Calibri"/>
          <w:b/>
          <w:color w:val="07090D"/>
          <w:sz w:val="26"/>
        </w:rPr>
        <w:t>Visual vocabulary</w:t>
      </w:r>
    </w:p>
    <w:p>
      <w:pPr>
        <w:pStyle w:val="ListBullet"/>
        <w:spacing w:after="80" w:line="300" w:lineRule="auto"/>
      </w:pPr>
      <w:r>
        <w:rPr>
          <w:rFonts w:ascii="Calibri" w:hAnsi="Calibri"/>
          <w:color w:val="07090D"/>
          <w:sz w:val="22"/>
        </w:rPr>
        <w:t>High-contrast editorial composition, not dashboard styling.</w:t>
      </w:r>
    </w:p>
    <w:p>
      <w:pPr>
        <w:pStyle w:val="ListBullet"/>
        <w:spacing w:after="80" w:line="300" w:lineRule="auto"/>
      </w:pPr>
      <w:r>
        <w:rPr>
          <w:rFonts w:ascii="Calibri" w:hAnsi="Calibri"/>
          <w:color w:val="07090D"/>
          <w:sz w:val="22"/>
        </w:rPr>
        <w:t>Full-bleed or sharply cropped apparel photography inside existing media/background areas.</w:t>
      </w:r>
    </w:p>
    <w:p>
      <w:pPr>
        <w:pStyle w:val="ListBullet"/>
        <w:spacing w:after="80" w:line="300" w:lineRule="auto"/>
      </w:pPr>
      <w:r>
        <w:rPr>
          <w:rFonts w:ascii="Calibri" w:hAnsi="Calibri"/>
          <w:color w:val="07090D"/>
          <w:sz w:val="22"/>
        </w:rPr>
        <w:t>Large display statements paired with compact utility metadata.</w:t>
      </w:r>
    </w:p>
    <w:p>
      <w:pPr>
        <w:pStyle w:val="ListBullet"/>
        <w:spacing w:after="80" w:line="300" w:lineRule="auto"/>
      </w:pPr>
      <w:r>
        <w:rPr>
          <w:rFonts w:ascii="Calibri" w:hAnsi="Calibri"/>
          <w:color w:val="07090D"/>
          <w:sz w:val="22"/>
        </w:rPr>
        <w:t>Subtle grain, fabric texture, halftone, registration marks, and garment-spec labels.</w:t>
      </w:r>
    </w:p>
    <w:p>
      <w:pPr>
        <w:pStyle w:val="ListBullet"/>
        <w:spacing w:after="80" w:line="300" w:lineRule="auto"/>
      </w:pPr>
      <w:r>
        <w:rPr>
          <w:rFonts w:ascii="Calibri" w:hAnsi="Calibri"/>
          <w:color w:val="07090D"/>
          <w:sz w:val="22"/>
        </w:rPr>
        <w:t>Rectangular surfaces with restrained corner radius; capsules reserved for tags, filters, and status.</w:t>
      </w:r>
    </w:p>
    <w:p>
      <w:pPr>
        <w:pStyle w:val="ListBullet"/>
        <w:spacing w:after="80" w:line="300" w:lineRule="auto"/>
      </w:pPr>
      <w:r>
        <w:rPr>
          <w:rFonts w:ascii="Calibri" w:hAnsi="Calibri"/>
          <w:color w:val="07090D"/>
          <w:sz w:val="22"/>
        </w:rPr>
        <w:t>Controlled red glow only at conversion moments; no competing ambient blobs in every section.</w:t>
      </w:r>
    </w:p>
    <w:p>
      <w:pPr>
        <w:pStyle w:val="Heading1"/>
        <w:keepNext/>
      </w:pPr>
      <w:r>
        <w:rPr>
          <w:rFonts w:ascii="Calibri" w:hAnsi="Calibri"/>
          <w:b/>
          <w:color w:val="F20D3A"/>
          <w:sz w:val="32"/>
        </w:rPr>
        <w:t>6. Visual system specification</w:t>
      </w:r>
    </w:p>
    <w:p>
      <w:pPr>
        <w:pStyle w:val="Heading2"/>
        <w:keepNext/>
      </w:pPr>
      <w:r>
        <w:rPr>
          <w:rFonts w:ascii="Calibri" w:hAnsi="Calibri"/>
          <w:b/>
          <w:color w:val="07090D"/>
          <w:sz w:val="26"/>
        </w:rPr>
        <w:t>Color tokens</w:t>
      </w:r>
    </w:p>
    <w:tbl>
      <w:tblPr>
        <w:tblStyle w:val="TableGrid"/>
        <w:tblW w:type="dxa" w:w="9360"/>
        <w:tblLayout w:type="fixed"/>
        <w:tblLook w:firstColumn="1" w:firstRow="1" w:lastColumn="0" w:lastRow="0" w:noHBand="0" w:noVBand="1" w:val="04A0"/>
        <w:jc w:val="left"/>
        <w:tblInd w:w="120" w:type="dxa"/>
      </w:tblPr>
      <w:tblGrid>
        <w:gridCol w:w="2600"/>
        <w:gridCol w:w="1500"/>
        <w:gridCol w:w="5260"/>
      </w:tblGrid>
      <w:tr>
        <w:trPr>
          <w:tblHeader w:val="true"/>
        </w:trPr>
        <w:tc>
          <w:tcPr>
            <w:tcW w:type="dxa" w:w="2600"/>
            <w:tcMar>
              <w:top w:w="80" w:type="dxa"/>
              <w:start w:w="120" w:type="dxa"/>
              <w:bottom w:w="80" w:type="dxa"/>
              <w:end w:w="120" w:type="dxa"/>
            </w:tcMar>
            <w:vAlign w:val="center"/>
            <w:shd w:fill="121824"/>
          </w:tcPr>
          <w:p>
            <w:pPr>
              <w:spacing w:after="0"/>
              <w:jc w:val="left"/>
            </w:pPr>
            <w:r>
              <w:rPr>
                <w:rFonts w:ascii="Calibri" w:hAnsi="Calibri"/>
                <w:b/>
                <w:color w:val="FAFAF8"/>
                <w:sz w:val="19"/>
              </w:rPr>
              <w:t>Token</w:t>
            </w:r>
          </w:p>
        </w:tc>
        <w:tc>
          <w:tcPr>
            <w:tcW w:type="dxa" w:w="1500"/>
            <w:tcMar>
              <w:top w:w="80" w:type="dxa"/>
              <w:start w:w="120" w:type="dxa"/>
              <w:bottom w:w="80" w:type="dxa"/>
              <w:end w:w="120" w:type="dxa"/>
            </w:tcMar>
            <w:vAlign w:val="center"/>
            <w:shd w:fill="121824"/>
          </w:tcPr>
          <w:p>
            <w:pPr>
              <w:spacing w:after="0"/>
              <w:jc w:val="left"/>
            </w:pPr>
            <w:r>
              <w:rPr>
                <w:rFonts w:ascii="Calibri" w:hAnsi="Calibri"/>
                <w:b/>
                <w:color w:val="FAFAF8"/>
                <w:sz w:val="19"/>
              </w:rPr>
              <w:t>Value</w:t>
            </w:r>
          </w:p>
        </w:tc>
        <w:tc>
          <w:tcPr>
            <w:tcW w:type="dxa" w:w="5260"/>
            <w:tcMar>
              <w:top w:w="80" w:type="dxa"/>
              <w:start w:w="120" w:type="dxa"/>
              <w:bottom w:w="80" w:type="dxa"/>
              <w:end w:w="120" w:type="dxa"/>
            </w:tcMar>
            <w:vAlign w:val="center"/>
            <w:shd w:fill="121824"/>
          </w:tcPr>
          <w:p>
            <w:pPr>
              <w:spacing w:after="0"/>
              <w:jc w:val="left"/>
            </w:pPr>
            <w:r>
              <w:rPr>
                <w:rFonts w:ascii="Calibri" w:hAnsi="Calibri"/>
                <w:b/>
                <w:color w:val="FAFAF8"/>
                <w:sz w:val="19"/>
              </w:rPr>
              <w:t>Role</w:t>
            </w:r>
          </w:p>
        </w:tc>
      </w:tr>
      <w:tr>
        <w:tc>
          <w:tcPr>
            <w:tcW w:type="dxa" w:w="2600"/>
            <w:tcMar>
              <w:top w:w="80" w:type="dxa"/>
              <w:start w:w="120" w:type="dxa"/>
              <w:bottom w:w="80" w:type="dxa"/>
              <w:end w:w="120" w:type="dxa"/>
            </w:tcMar>
            <w:vAlign w:val="center"/>
          </w:tcPr>
          <w:p>
            <w:pPr>
              <w:spacing w:after="0" w:line="276" w:lineRule="auto"/>
            </w:pPr>
            <w:r>
              <w:rPr>
                <w:rFonts w:ascii="Calibri" w:hAnsi="Calibri"/>
                <w:b/>
                <w:color w:val="07090D"/>
                <w:sz w:val="19"/>
              </w:rPr>
              <w:t>--clarico-ink</w:t>
            </w:r>
          </w:p>
        </w:tc>
        <w:tc>
          <w:tcPr>
            <w:tcW w:type="dxa" w:w="1500"/>
            <w:tcMar>
              <w:top w:w="80" w:type="dxa"/>
              <w:start w:w="120" w:type="dxa"/>
              <w:bottom w:w="80" w:type="dxa"/>
              <w:end w:w="120" w:type="dxa"/>
            </w:tcMar>
            <w:vAlign w:val="center"/>
          </w:tcPr>
          <w:p>
            <w:pPr>
              <w:spacing w:after="0" w:line="276" w:lineRule="auto"/>
            </w:pPr>
            <w:r>
              <w:rPr>
                <w:rFonts w:ascii="Calibri" w:hAnsi="Calibri"/>
                <w:b w:val="0"/>
                <w:color w:val="07090D"/>
                <w:sz w:val="19"/>
              </w:rPr>
              <w:t>#07090D</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Primary page background</w:t>
            </w:r>
          </w:p>
        </w:tc>
      </w:tr>
      <w:tr>
        <w:tc>
          <w:tcPr>
            <w:tcW w:type="dxa" w:w="2600"/>
            <w:tcMar>
              <w:top w:w="80" w:type="dxa"/>
              <w:start w:w="120" w:type="dxa"/>
              <w:bottom w:w="80" w:type="dxa"/>
              <w:end w:w="120" w:type="dxa"/>
            </w:tcMar>
            <w:vAlign w:val="center"/>
            <w:shd w:fill="F7F8FA"/>
          </w:tcPr>
          <w:p>
            <w:pPr>
              <w:spacing w:after="0" w:line="276" w:lineRule="auto"/>
            </w:pPr>
            <w:r>
              <w:rPr>
                <w:rFonts w:ascii="Calibri" w:hAnsi="Calibri"/>
                <w:b/>
                <w:color w:val="07090D"/>
                <w:sz w:val="19"/>
              </w:rPr>
              <w:t>--clarico-surface</w:t>
            </w:r>
          </w:p>
        </w:tc>
        <w:tc>
          <w:tcPr>
            <w:tcW w:type="dxa" w:w="1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#0D1118</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Cards, modal, navigation surfaces</w:t>
            </w:r>
          </w:p>
        </w:tc>
      </w:tr>
      <w:tr>
        <w:tc>
          <w:tcPr>
            <w:tcW w:type="dxa" w:w="2600"/>
            <w:tcMar>
              <w:top w:w="80" w:type="dxa"/>
              <w:start w:w="120" w:type="dxa"/>
              <w:bottom w:w="80" w:type="dxa"/>
              <w:end w:w="120" w:type="dxa"/>
            </w:tcMar>
            <w:vAlign w:val="center"/>
          </w:tcPr>
          <w:p>
            <w:pPr>
              <w:spacing w:after="0" w:line="276" w:lineRule="auto"/>
            </w:pPr>
            <w:r>
              <w:rPr>
                <w:rFonts w:ascii="Calibri" w:hAnsi="Calibri"/>
                <w:b/>
                <w:color w:val="07090D"/>
                <w:sz w:val="19"/>
              </w:rPr>
              <w:t>--clarico-surface-2</w:t>
            </w:r>
          </w:p>
        </w:tc>
        <w:tc>
          <w:tcPr>
            <w:tcW w:type="dxa" w:w="1500"/>
            <w:tcMar>
              <w:top w:w="80" w:type="dxa"/>
              <w:start w:w="120" w:type="dxa"/>
              <w:bottom w:w="80" w:type="dxa"/>
              <w:end w:w="120" w:type="dxa"/>
            </w:tcMar>
            <w:vAlign w:val="center"/>
          </w:tcPr>
          <w:p>
            <w:pPr>
              <w:spacing w:after="0" w:line="276" w:lineRule="auto"/>
            </w:pPr>
            <w:r>
              <w:rPr>
                <w:rFonts w:ascii="Calibri" w:hAnsi="Calibri"/>
                <w:b w:val="0"/>
                <w:color w:val="07090D"/>
                <w:sz w:val="19"/>
              </w:rPr>
              <w:t>#121824</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Raised/active surfaces</w:t>
            </w:r>
          </w:p>
        </w:tc>
      </w:tr>
      <w:tr>
        <w:tc>
          <w:tcPr>
            <w:tcW w:type="dxa" w:w="2600"/>
            <w:tcMar>
              <w:top w:w="80" w:type="dxa"/>
              <w:start w:w="120" w:type="dxa"/>
              <w:bottom w:w="80" w:type="dxa"/>
              <w:end w:w="120" w:type="dxa"/>
            </w:tcMar>
            <w:vAlign w:val="center"/>
            <w:shd w:fill="F7F8FA"/>
          </w:tcPr>
          <w:p>
            <w:pPr>
              <w:spacing w:after="0" w:line="276" w:lineRule="auto"/>
            </w:pPr>
            <w:r>
              <w:rPr>
                <w:rFonts w:ascii="Calibri" w:hAnsi="Calibri"/>
                <w:b/>
                <w:color w:val="07090D"/>
                <w:sz w:val="19"/>
              </w:rPr>
              <w:t>--clarico-paper</w:t>
            </w:r>
          </w:p>
        </w:tc>
        <w:tc>
          <w:tcPr>
            <w:tcW w:type="dxa" w:w="1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#F3F0E8</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Warm high-contrast text and editorial moments</w:t>
            </w:r>
          </w:p>
        </w:tc>
      </w:tr>
      <w:tr>
        <w:tc>
          <w:tcPr>
            <w:tcW w:type="dxa" w:w="2600"/>
            <w:tcMar>
              <w:top w:w="80" w:type="dxa"/>
              <w:start w:w="120" w:type="dxa"/>
              <w:bottom w:w="80" w:type="dxa"/>
              <w:end w:w="120" w:type="dxa"/>
            </w:tcMar>
            <w:vAlign w:val="center"/>
          </w:tcPr>
          <w:p>
            <w:pPr>
              <w:spacing w:after="0" w:line="276" w:lineRule="auto"/>
            </w:pPr>
            <w:r>
              <w:rPr>
                <w:rFonts w:ascii="Calibri" w:hAnsi="Calibri"/>
                <w:b/>
                <w:color w:val="07090D"/>
                <w:sz w:val="19"/>
              </w:rPr>
              <w:t>--clarico-white</w:t>
            </w:r>
          </w:p>
        </w:tc>
        <w:tc>
          <w:tcPr>
            <w:tcW w:type="dxa" w:w="1500"/>
            <w:tcMar>
              <w:top w:w="80" w:type="dxa"/>
              <w:start w:w="120" w:type="dxa"/>
              <w:bottom w:w="80" w:type="dxa"/>
              <w:end w:w="120" w:type="dxa"/>
            </w:tcMar>
            <w:vAlign w:val="center"/>
          </w:tcPr>
          <w:p>
            <w:pPr>
              <w:spacing w:after="0" w:line="276" w:lineRule="auto"/>
            </w:pPr>
            <w:r>
              <w:rPr>
                <w:rFonts w:ascii="Calibri" w:hAnsi="Calibri"/>
                <w:b w:val="0"/>
                <w:color w:val="07090D"/>
                <w:sz w:val="19"/>
              </w:rPr>
              <w:t>#FAFAF8</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Primary text</w:t>
            </w:r>
          </w:p>
        </w:tc>
      </w:tr>
      <w:tr>
        <w:tc>
          <w:tcPr>
            <w:tcW w:type="dxa" w:w="2600"/>
            <w:tcMar>
              <w:top w:w="80" w:type="dxa"/>
              <w:start w:w="120" w:type="dxa"/>
              <w:bottom w:w="80" w:type="dxa"/>
              <w:end w:w="120" w:type="dxa"/>
            </w:tcMar>
            <w:vAlign w:val="center"/>
            <w:shd w:fill="F7F8FA"/>
          </w:tcPr>
          <w:p>
            <w:pPr>
              <w:spacing w:after="0" w:line="276" w:lineRule="auto"/>
            </w:pPr>
            <w:r>
              <w:rPr>
                <w:rFonts w:ascii="Calibri" w:hAnsi="Calibri"/>
                <w:b/>
                <w:color w:val="07090D"/>
                <w:sz w:val="19"/>
              </w:rPr>
              <w:t>--clarico-muted</w:t>
            </w:r>
          </w:p>
        </w:tc>
        <w:tc>
          <w:tcPr>
            <w:tcW w:type="dxa" w:w="1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#9AA4B2</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Secondary text; verify AA contrast</w:t>
            </w:r>
          </w:p>
        </w:tc>
      </w:tr>
      <w:tr>
        <w:tc>
          <w:tcPr>
            <w:tcW w:type="dxa" w:w="2600"/>
            <w:tcMar>
              <w:top w:w="80" w:type="dxa"/>
              <w:start w:w="120" w:type="dxa"/>
              <w:bottom w:w="80" w:type="dxa"/>
              <w:end w:w="120" w:type="dxa"/>
            </w:tcMar>
            <w:vAlign w:val="center"/>
          </w:tcPr>
          <w:p>
            <w:pPr>
              <w:spacing w:after="0" w:line="276" w:lineRule="auto"/>
            </w:pPr>
            <w:r>
              <w:rPr>
                <w:rFonts w:ascii="Calibri" w:hAnsi="Calibri"/>
                <w:b/>
                <w:color w:val="07090D"/>
                <w:sz w:val="19"/>
              </w:rPr>
              <w:t>--clarico-red</w:t>
            </w:r>
          </w:p>
        </w:tc>
        <w:tc>
          <w:tcPr>
            <w:tcW w:type="dxa" w:w="1500"/>
            <w:tcMar>
              <w:top w:w="80" w:type="dxa"/>
              <w:start w:w="120" w:type="dxa"/>
              <w:bottom w:w="80" w:type="dxa"/>
              <w:end w:w="120" w:type="dxa"/>
            </w:tcMar>
            <w:vAlign w:val="center"/>
          </w:tcPr>
          <w:p>
            <w:pPr>
              <w:spacing w:after="0" w:line="276" w:lineRule="auto"/>
            </w:pPr>
            <w:r>
              <w:rPr>
                <w:rFonts w:ascii="Calibri" w:hAnsi="Calibri"/>
                <w:b w:val="0"/>
                <w:color w:val="07090D"/>
                <w:sz w:val="19"/>
              </w:rPr>
              <w:t>#F20D3A</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Master brand and primary conversion accent</w:t>
            </w:r>
          </w:p>
        </w:tc>
      </w:tr>
      <w:tr>
        <w:tc>
          <w:tcPr>
            <w:tcW w:type="dxa" w:w="2600"/>
            <w:tcMar>
              <w:top w:w="80" w:type="dxa"/>
              <w:start w:w="120" w:type="dxa"/>
              <w:bottom w:w="80" w:type="dxa"/>
              <w:end w:w="120" w:type="dxa"/>
            </w:tcMar>
            <w:vAlign w:val="center"/>
            <w:shd w:fill="F7F8FA"/>
          </w:tcPr>
          <w:p>
            <w:pPr>
              <w:spacing w:after="0" w:line="276" w:lineRule="auto"/>
            </w:pPr>
            <w:r>
              <w:rPr>
                <w:rFonts w:ascii="Calibri" w:hAnsi="Calibri"/>
                <w:b/>
                <w:color w:val="07090D"/>
                <w:sz w:val="19"/>
              </w:rPr>
              <w:t>--clarico-red-dark</w:t>
            </w:r>
          </w:p>
        </w:tc>
        <w:tc>
          <w:tcPr>
            <w:tcW w:type="dxa" w:w="1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#9F0A28</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Pressed states and subtle borders</w:t>
            </w:r>
          </w:p>
        </w:tc>
      </w:tr>
      <w:tr>
        <w:tc>
          <w:tcPr>
            <w:tcW w:type="dxa" w:w="2600"/>
            <w:tcMar>
              <w:top w:w="80" w:type="dxa"/>
              <w:start w:w="120" w:type="dxa"/>
              <w:bottom w:w="80" w:type="dxa"/>
              <w:end w:w="120" w:type="dxa"/>
            </w:tcMar>
            <w:vAlign w:val="center"/>
          </w:tcPr>
          <w:p>
            <w:pPr>
              <w:spacing w:after="0" w:line="276" w:lineRule="auto"/>
            </w:pPr>
            <w:r>
              <w:rPr>
                <w:rFonts w:ascii="Calibri" w:hAnsi="Calibri"/>
                <w:b/>
                <w:color w:val="07090D"/>
                <w:sz w:val="19"/>
              </w:rPr>
              <w:t>--segment-custom</w:t>
            </w:r>
          </w:p>
        </w:tc>
        <w:tc>
          <w:tcPr>
            <w:tcW w:type="dxa" w:w="1500"/>
            <w:tcMar>
              <w:top w:w="80" w:type="dxa"/>
              <w:start w:w="120" w:type="dxa"/>
              <w:bottom w:w="80" w:type="dxa"/>
              <w:end w:w="120" w:type="dxa"/>
            </w:tcMar>
            <w:vAlign w:val="center"/>
          </w:tcPr>
          <w:p>
            <w:pPr>
              <w:spacing w:after="0" w:line="276" w:lineRule="auto"/>
            </w:pPr>
            <w:r>
              <w:rPr>
                <w:rFonts w:ascii="Calibri" w:hAnsi="Calibri"/>
                <w:b w:val="0"/>
                <w:color w:val="07090D"/>
                <w:sz w:val="19"/>
              </w:rPr>
              <w:t>#D89A1D</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Custom orientation only</w:t>
            </w:r>
          </w:p>
        </w:tc>
      </w:tr>
      <w:tr>
        <w:tc>
          <w:tcPr>
            <w:tcW w:type="dxa" w:w="2600"/>
            <w:tcMar>
              <w:top w:w="80" w:type="dxa"/>
              <w:start w:w="120" w:type="dxa"/>
              <w:bottom w:w="80" w:type="dxa"/>
              <w:end w:w="120" w:type="dxa"/>
            </w:tcMar>
            <w:vAlign w:val="center"/>
            <w:shd w:fill="F7F8FA"/>
          </w:tcPr>
          <w:p>
            <w:pPr>
              <w:spacing w:after="0" w:line="276" w:lineRule="auto"/>
            </w:pPr>
            <w:r>
              <w:rPr>
                <w:rFonts w:ascii="Calibri" w:hAnsi="Calibri"/>
                <w:b/>
                <w:color w:val="07090D"/>
                <w:sz w:val="19"/>
              </w:rPr>
              <w:t>--segment-business</w:t>
            </w:r>
          </w:p>
        </w:tc>
        <w:tc>
          <w:tcPr>
            <w:tcW w:type="dxa" w:w="15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#2F75FF</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Business orientation only</w:t>
            </w:r>
          </w:p>
        </w:tc>
      </w:tr>
    </w:tbl>
    <w:p>
      <w:pPr>
        <w:keepNext w:val="0"/>
        <w:spacing w:before="0" w:after="80" w:line="300" w:lineRule="auto"/>
        <w:jc w:val="left"/>
      </w:pPr>
      <w:r>
        <w:rPr>
          <w:rFonts w:ascii="Calibri" w:hAnsi="Calibri"/>
          <w:b w:val="0"/>
          <w:i w:val="0"/>
          <w:color w:val="07090D"/>
          <w:sz w:val="2"/>
        </w:rPr>
      </w:r>
    </w:p>
    <w:p>
      <w:pPr>
        <w:pStyle w:val="Heading2"/>
        <w:keepNext/>
      </w:pPr>
      <w:r>
        <w:rPr>
          <w:rFonts w:ascii="Calibri" w:hAnsi="Calibri"/>
          <w:b/>
          <w:color w:val="07090D"/>
          <w:sz w:val="26"/>
        </w:rPr>
        <w:t>Typography</w:t>
      </w:r>
    </w:p>
    <w:tbl>
      <w:tblPr>
        <w:tblStyle w:val="TableGrid"/>
        <w:tblW w:type="dxa" w:w="9360"/>
        <w:tblLayout w:type="fixed"/>
        <w:tblLook w:firstColumn="1" w:firstRow="1" w:lastColumn="0" w:lastRow="0" w:noHBand="0" w:noVBand="1" w:val="04A0"/>
        <w:jc w:val="left"/>
        <w:tblInd w:w="120" w:type="dxa"/>
      </w:tblPr>
      <w:tblGrid>
        <w:gridCol w:w="1700"/>
        <w:gridCol w:w="2400"/>
        <w:gridCol w:w="5260"/>
      </w:tblGrid>
      <w:tr>
        <w:trPr>
          <w:tblHeader w:val="true"/>
        </w:trPr>
        <w:tc>
          <w:tcPr>
            <w:tcW w:type="dxa" w:w="1700"/>
            <w:tcMar>
              <w:top w:w="80" w:type="dxa"/>
              <w:start w:w="120" w:type="dxa"/>
              <w:bottom w:w="80" w:type="dxa"/>
              <w:end w:w="120" w:type="dxa"/>
            </w:tcMar>
            <w:vAlign w:val="center"/>
            <w:shd w:fill="121824"/>
          </w:tcPr>
          <w:p>
            <w:pPr>
              <w:spacing w:after="0"/>
              <w:jc w:val="left"/>
            </w:pPr>
            <w:r>
              <w:rPr>
                <w:rFonts w:ascii="Calibri" w:hAnsi="Calibri"/>
                <w:b/>
                <w:color w:val="FAFAF8"/>
                <w:sz w:val="19"/>
              </w:rPr>
              <w:t>Role</w:t>
            </w:r>
          </w:p>
        </w:tc>
        <w:tc>
          <w:tcPr>
            <w:tcW w:type="dxa" w:w="2400"/>
            <w:tcMar>
              <w:top w:w="80" w:type="dxa"/>
              <w:start w:w="120" w:type="dxa"/>
              <w:bottom w:w="80" w:type="dxa"/>
              <w:end w:w="120" w:type="dxa"/>
            </w:tcMar>
            <w:vAlign w:val="center"/>
            <w:shd w:fill="121824"/>
          </w:tcPr>
          <w:p>
            <w:pPr>
              <w:spacing w:after="0"/>
              <w:jc w:val="left"/>
            </w:pPr>
            <w:r>
              <w:rPr>
                <w:rFonts w:ascii="Calibri" w:hAnsi="Calibri"/>
                <w:b/>
                <w:color w:val="FAFAF8"/>
                <w:sz w:val="19"/>
              </w:rPr>
              <w:t>Recommended family</w:t>
            </w:r>
          </w:p>
        </w:tc>
        <w:tc>
          <w:tcPr>
            <w:tcW w:type="dxa" w:w="5260"/>
            <w:tcMar>
              <w:top w:w="80" w:type="dxa"/>
              <w:start w:w="120" w:type="dxa"/>
              <w:bottom w:w="80" w:type="dxa"/>
              <w:end w:w="120" w:type="dxa"/>
            </w:tcMar>
            <w:vAlign w:val="center"/>
            <w:shd w:fill="121824"/>
          </w:tcPr>
          <w:p>
            <w:pPr>
              <w:spacing w:after="0"/>
              <w:jc w:val="left"/>
            </w:pPr>
            <w:r>
              <w:rPr>
                <w:rFonts w:ascii="Calibri" w:hAnsi="Calibri"/>
                <w:b/>
                <w:color w:val="FAFAF8"/>
                <w:sz w:val="19"/>
              </w:rPr>
              <w:t>Usage</w:t>
            </w:r>
          </w:p>
        </w:tc>
      </w:tr>
      <w:tr>
        <w:tc>
          <w:tcPr>
            <w:tcW w:type="dxa" w:w="1700"/>
            <w:tcMar>
              <w:top w:w="80" w:type="dxa"/>
              <w:start w:w="120" w:type="dxa"/>
              <w:bottom w:w="80" w:type="dxa"/>
              <w:end w:w="120" w:type="dxa"/>
            </w:tcMar>
            <w:vAlign w:val="center"/>
          </w:tcPr>
          <w:p>
            <w:pPr>
              <w:spacing w:after="0" w:line="276" w:lineRule="auto"/>
            </w:pPr>
            <w:r>
              <w:rPr>
                <w:rFonts w:ascii="Calibri" w:hAnsi="Calibri"/>
                <w:b/>
                <w:color w:val="07090D"/>
                <w:sz w:val="19"/>
              </w:rPr>
              <w:t>Display</w:t>
            </w:r>
          </w:p>
        </w:tc>
        <w:tc>
          <w:tcPr>
            <w:tcW w:type="dxa" w:w="2400"/>
            <w:tcMar>
              <w:top w:w="80" w:type="dxa"/>
              <w:start w:w="120" w:type="dxa"/>
              <w:bottom w:w="80" w:type="dxa"/>
              <w:end w:w="120" w:type="dxa"/>
            </w:tcMar>
            <w:vAlign w:val="center"/>
          </w:tcPr>
          <w:p>
            <w:pPr>
              <w:spacing w:after="0" w:line="276" w:lineRule="auto"/>
            </w:pPr>
            <w:r>
              <w:rPr>
                <w:rFonts w:ascii="Calibri" w:hAnsi="Calibri"/>
                <w:b w:val="0"/>
                <w:color w:val="07090D"/>
                <w:sz w:val="19"/>
              </w:rPr>
              <w:t>Archivo Black</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Hero and major statements; tight 0.92–0.98 line height; uppercase selectively.</w:t>
            </w:r>
          </w:p>
        </w:tc>
      </w:tr>
      <w:tr>
        <w:tc>
          <w:tcPr>
            <w:tcW w:type="dxa" w:w="1700"/>
            <w:tcMar>
              <w:top w:w="80" w:type="dxa"/>
              <w:start w:w="120" w:type="dxa"/>
              <w:bottom w:w="80" w:type="dxa"/>
              <w:end w:w="120" w:type="dxa"/>
            </w:tcMar>
            <w:vAlign w:val="center"/>
            <w:shd w:fill="F7F8FA"/>
          </w:tcPr>
          <w:p>
            <w:pPr>
              <w:spacing w:after="0" w:line="276" w:lineRule="auto"/>
            </w:pPr>
            <w:r>
              <w:rPr>
                <w:rFonts w:ascii="Calibri" w:hAnsi="Calibri"/>
                <w:b/>
                <w:color w:val="07090D"/>
                <w:sz w:val="19"/>
              </w:rPr>
              <w:t>Body/UI</w:t>
            </w:r>
          </w:p>
        </w:tc>
        <w:tc>
          <w:tcPr>
            <w:tcW w:type="dxa" w:w="240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Inter</w:t>
            </w:r>
          </w:p>
        </w:tc>
        <w:tc>
          <w:tcPr>
            <w:tcW w:type="dxa" w:w="5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Body copy, navigation, form labels, catalog, and buttons.</w:t>
            </w:r>
          </w:p>
        </w:tc>
      </w:tr>
      <w:tr>
        <w:tc>
          <w:tcPr>
            <w:tcW w:type="dxa" w:w="1700"/>
            <w:tcMar>
              <w:top w:w="80" w:type="dxa"/>
              <w:start w:w="120" w:type="dxa"/>
              <w:bottom w:w="80" w:type="dxa"/>
              <w:end w:w="120" w:type="dxa"/>
            </w:tcMar>
            <w:vAlign w:val="center"/>
          </w:tcPr>
          <w:p>
            <w:pPr>
              <w:spacing w:after="0" w:line="276" w:lineRule="auto"/>
            </w:pPr>
            <w:r>
              <w:rPr>
                <w:rFonts w:ascii="Calibri" w:hAnsi="Calibri"/>
                <w:b/>
                <w:color w:val="07090D"/>
                <w:sz w:val="19"/>
              </w:rPr>
              <w:t>Utility</w:t>
            </w:r>
          </w:p>
        </w:tc>
        <w:tc>
          <w:tcPr>
            <w:tcW w:type="dxa" w:w="2400"/>
            <w:tcMar>
              <w:top w:w="80" w:type="dxa"/>
              <w:start w:w="120" w:type="dxa"/>
              <w:bottom w:w="80" w:type="dxa"/>
              <w:end w:w="120" w:type="dxa"/>
            </w:tcMar>
            <w:vAlign w:val="center"/>
          </w:tcPr>
          <w:p>
            <w:pPr>
              <w:spacing w:after="0" w:line="276" w:lineRule="auto"/>
            </w:pPr>
            <w:r>
              <w:rPr>
                <w:rFonts w:ascii="Calibri" w:hAnsi="Calibri"/>
                <w:b w:val="0"/>
                <w:color w:val="07090D"/>
                <w:sz w:val="19"/>
              </w:rPr>
              <w:t>IBM Plex Mono</w:t>
            </w:r>
          </w:p>
        </w:tc>
        <w:tc>
          <w:tcPr>
            <w:tcW w:type="dxa" w:w="5260"/>
            <w:tcMar>
              <w:top w:w="80" w:type="dxa"/>
              <w:start w:w="120" w:type="dxa"/>
              <w:bottom w:w="80" w:type="dxa"/>
              <w:end w:w="120" w:type="dxa"/>
            </w:tcMar>
            <w:vAlign w:val="center"/>
          </w:tcPr>
          <w:p>
            <w:pPr>
              <w:spacing w:after="0" w:line="276" w:lineRule="auto"/>
            </w:pPr>
            <w:r>
              <w:rPr>
                <w:rFonts w:ascii="Calibri" w:hAnsi="Calibri"/>
                <w:b w:val="0"/>
                <w:color w:val="07090D"/>
                <w:sz w:val="19"/>
              </w:rPr>
              <w:t>Product specs, turnaround, category labels, status, and technical metadata.</w:t>
            </w:r>
          </w:p>
        </w:tc>
      </w:tr>
    </w:tbl>
    <w:p>
      <w:pPr>
        <w:keepNext w:val="0"/>
        <w:spacing w:before="0" w:after="80" w:line="300" w:lineRule="auto"/>
        <w:jc w:val="left"/>
      </w:pPr>
      <w:r>
        <w:rPr>
          <w:rFonts w:ascii="Calibri" w:hAnsi="Calibri"/>
          <w:b w:val="0"/>
          <w:i w:val="0"/>
          <w:color w:val="07090D"/>
          <w:sz w:val="2"/>
        </w:rPr>
      </w:r>
    </w:p>
    <w:p>
      <w:pPr>
        <w:keepNext w:val="0"/>
        <w:spacing w:before="0" w:after="120" w:line="300" w:lineRule="auto"/>
        <w:jc w:val="left"/>
      </w:pPr>
      <w:r>
        <w:rPr>
          <w:rFonts w:ascii="Calibri" w:hAnsi="Calibri"/>
          <w:b w:val="0"/>
          <w:i/>
          <w:color w:val="5C6776"/>
          <w:sz w:val="19"/>
        </w:rPr>
        <w:t>If these font files are not already available, use properly licensed webfont sources and retain robust fallbacks. Do not silently rely on Impact or system defaults as the final brand solution.</w:t>
      </w:r>
    </w:p>
    <w:p>
      <w:pPr>
        <w:pStyle w:val="Heading2"/>
        <w:keepNext/>
      </w:pPr>
      <w:r>
        <w:rPr>
          <w:rFonts w:ascii="Calibri" w:hAnsi="Calibri"/>
          <w:b/>
          <w:color w:val="07090D"/>
          <w:sz w:val="26"/>
        </w:rPr>
        <w:t>Shape, depth, and motion</w:t>
      </w:r>
    </w:p>
    <w:p>
      <w:pPr>
        <w:pStyle w:val="ListBullet"/>
        <w:spacing w:after="80" w:line="300" w:lineRule="auto"/>
      </w:pPr>
      <w:r>
        <w:rPr>
          <w:rFonts w:ascii="Calibri" w:hAnsi="Calibri"/>
          <w:color w:val="07090D"/>
          <w:sz w:val="22"/>
        </w:rPr>
        <w:t>Card radius: 8–10px. Controls: 6–8px. Capsules: 999px only for tags, filters, and status.</w:t>
      </w:r>
    </w:p>
    <w:p>
      <w:pPr>
        <w:pStyle w:val="ListBullet"/>
        <w:spacing w:after="80" w:line="300" w:lineRule="auto"/>
      </w:pPr>
      <w:r>
        <w:rPr>
          <w:rFonts w:ascii="Calibri" w:hAnsi="Calibri"/>
          <w:color w:val="07090D"/>
          <w:sz w:val="22"/>
        </w:rPr>
        <w:t>Borders: 1px neutral edge by default; segment-colored borders only for active/featured states.</w:t>
      </w:r>
    </w:p>
    <w:p>
      <w:pPr>
        <w:pStyle w:val="ListBullet"/>
        <w:spacing w:after="80" w:line="300" w:lineRule="auto"/>
      </w:pPr>
      <w:r>
        <w:rPr>
          <w:rFonts w:ascii="Calibri" w:hAnsi="Calibri"/>
          <w:color w:val="07090D"/>
          <w:sz w:val="22"/>
        </w:rPr>
        <w:t>Shadows: restrained black elevation. Red glow limited to primary conversion states.</w:t>
      </w:r>
    </w:p>
    <w:p>
      <w:pPr>
        <w:pStyle w:val="ListBullet"/>
        <w:spacing w:after="80" w:line="300" w:lineRule="auto"/>
      </w:pPr>
      <w:r>
        <w:rPr>
          <w:rFonts w:ascii="Calibri" w:hAnsi="Calibri"/>
          <w:color w:val="07090D"/>
          <w:sz w:val="22"/>
        </w:rPr>
        <w:t>Fast interaction: 140–220ms. Section/image reveal: 420–650ms. Use ease-out or custom cubic-bezier with no bounce.</w:t>
      </w:r>
    </w:p>
    <w:p>
      <w:pPr>
        <w:pStyle w:val="ListBullet"/>
        <w:spacing w:after="80" w:line="300" w:lineRule="auto"/>
      </w:pPr>
      <w:r>
        <w:rPr>
          <w:rFonts w:ascii="Calibri" w:hAnsi="Calibri"/>
          <w:color w:val="07090D"/>
          <w:sz w:val="22"/>
        </w:rPr>
        <w:t>Respect prefers-reduced-motion and never hide essential information behind animation.</w:t>
      </w:r>
    </w:p>
    <w:p>
      <w:pPr>
        <w:pStyle w:val="Heading1"/>
        <w:keepNext/>
      </w:pPr>
      <w:r>
        <w:rPr>
          <w:rFonts w:ascii="Calibri" w:hAnsi="Calibri"/>
          <w:b/>
          <w:color w:val="F20D3A"/>
          <w:sz w:val="32"/>
        </w:rPr>
        <w:t>7. Visual-only component map</w:t>
      </w:r>
    </w:p>
    <w:tbl>
      <w:tblPr>
        <w:tblStyle w:val="TableGrid"/>
        <w:tblW w:type="dxa" w:w="9360"/>
        <w:tblLayout w:type="fixed"/>
        <w:tblLook w:firstColumn="1" w:firstRow="1" w:lastColumn="0" w:lastRow="0" w:noHBand="0" w:noVBand="1" w:val="04A0"/>
        <w:jc w:val="left"/>
        <w:tblInd w:w="120" w:type="dxa"/>
      </w:tblPr>
      <w:tblGrid>
        <w:gridCol w:w="1650"/>
        <w:gridCol w:w="3260"/>
        <w:gridCol w:w="4450"/>
      </w:tblGrid>
      <w:tr>
        <w:trPr>
          <w:tblHeader w:val="true"/>
        </w:trPr>
        <w:tc>
          <w:tcPr>
            <w:tcW w:type="dxa" w:w="1650"/>
            <w:tcMar>
              <w:top w:w="80" w:type="dxa"/>
              <w:start w:w="120" w:type="dxa"/>
              <w:bottom w:w="80" w:type="dxa"/>
              <w:end w:w="120" w:type="dxa"/>
            </w:tcMar>
            <w:vAlign w:val="center"/>
            <w:shd w:fill="121824"/>
          </w:tcPr>
          <w:p>
            <w:pPr>
              <w:spacing w:after="0"/>
              <w:jc w:val="left"/>
            </w:pPr>
            <w:r>
              <w:rPr>
                <w:rFonts w:ascii="Calibri" w:hAnsi="Calibri"/>
                <w:b/>
                <w:color w:val="FAFAF8"/>
                <w:sz w:val="19"/>
              </w:rPr>
              <w:t>Component</w:t>
            </w:r>
          </w:p>
        </w:tc>
        <w:tc>
          <w:tcPr>
            <w:tcW w:type="dxa" w:w="3260"/>
            <w:tcMar>
              <w:top w:w="80" w:type="dxa"/>
              <w:start w:w="120" w:type="dxa"/>
              <w:bottom w:w="80" w:type="dxa"/>
              <w:end w:w="120" w:type="dxa"/>
            </w:tcMar>
            <w:vAlign w:val="center"/>
            <w:shd w:fill="121824"/>
          </w:tcPr>
          <w:p>
            <w:pPr>
              <w:spacing w:after="0"/>
              <w:jc w:val="left"/>
            </w:pPr>
            <w:r>
              <w:rPr>
                <w:rFonts w:ascii="Calibri" w:hAnsi="Calibri"/>
                <w:b/>
                <w:color w:val="FAFAF8"/>
                <w:sz w:val="19"/>
              </w:rPr>
              <w:t>Preserve</w:t>
            </w:r>
          </w:p>
        </w:tc>
        <w:tc>
          <w:tcPr>
            <w:tcW w:type="dxa" w:w="4450"/>
            <w:tcMar>
              <w:top w:w="80" w:type="dxa"/>
              <w:start w:w="120" w:type="dxa"/>
              <w:bottom w:w="80" w:type="dxa"/>
              <w:end w:w="120" w:type="dxa"/>
            </w:tcMar>
            <w:vAlign w:val="center"/>
            <w:shd w:fill="121824"/>
          </w:tcPr>
          <w:p>
            <w:pPr>
              <w:spacing w:after="0"/>
              <w:jc w:val="left"/>
            </w:pPr>
            <w:r>
              <w:rPr>
                <w:rFonts w:ascii="Calibri" w:hAnsi="Calibri"/>
                <w:b/>
                <w:color w:val="FAFAF8"/>
                <w:sz w:val="19"/>
              </w:rPr>
              <w:t>Restyle</w:t>
            </w:r>
          </w:p>
        </w:tc>
      </w:tr>
      <w:tr>
        <w:tc>
          <w:tcPr>
            <w:tcW w:type="dxa" w:w="1650"/>
            <w:tcMar>
              <w:top w:w="80" w:type="dxa"/>
              <w:start w:w="120" w:type="dxa"/>
              <w:bottom w:w="80" w:type="dxa"/>
              <w:end w:w="120" w:type="dxa"/>
            </w:tcMar>
            <w:vAlign w:val="center"/>
          </w:tcPr>
          <w:p>
            <w:pPr>
              <w:spacing w:after="0" w:line="276" w:lineRule="auto"/>
            </w:pPr>
            <w:r>
              <w:rPr>
                <w:rFonts w:ascii="Calibri" w:hAnsi="Calibri"/>
                <w:b/>
                <w:color w:val="07090D"/>
                <w:sz w:val="19"/>
              </w:rPr>
              <w:t>Header</w:t>
            </w:r>
          </w:p>
        </w:tc>
        <w:tc>
          <w:tcPr>
            <w:tcW w:type="dxa" w:w="3260"/>
            <w:tcMar>
              <w:top w:w="80" w:type="dxa"/>
              <w:start w:w="120" w:type="dxa"/>
              <w:bottom w:w="80" w:type="dxa"/>
              <w:end w:w="120" w:type="dxa"/>
            </w:tcMar>
            <w:vAlign w:val="center"/>
          </w:tcPr>
          <w:p>
            <w:pPr>
              <w:spacing w:after="0" w:line="276" w:lineRule="auto"/>
            </w:pPr>
            <w:r>
              <w:rPr>
                <w:rFonts w:ascii="Calibri" w:hAnsi="Calibri"/>
                <w:b w:val="0"/>
                <w:color w:val="07090D"/>
                <w:sz w:val="19"/>
              </w:rPr>
              <w:t>Same logo position, links, active route, and CTAs.</w:t>
            </w:r>
          </w:p>
        </w:tc>
        <w:tc>
          <w:tcPr>
            <w:tcW w:type="dxa" w:w="4450"/>
            <w:tcMar>
              <w:top w:w="80" w:type="dxa"/>
              <w:start w:w="120" w:type="dxa"/>
              <w:bottom w:w="80" w:type="dxa"/>
              <w:end w:w="120" w:type="dxa"/>
            </w:tcMar>
            <w:vAlign w:val="center"/>
          </w:tcPr>
          <w:p>
            <w:pPr>
              <w:spacing w:after="0" w:line="276" w:lineRule="auto"/>
            </w:pPr>
            <w:r>
              <w:rPr>
                <w:rFonts w:ascii="Calibri" w:hAnsi="Calibri"/>
                <w:b w:val="0"/>
                <w:color w:val="07090D"/>
                <w:sz w:val="19"/>
              </w:rPr>
              <w:t>Sharpen typography, unify active states, reduce pill softness, improve contrast.</w:t>
            </w:r>
          </w:p>
        </w:tc>
      </w:tr>
      <w:tr>
        <w:tc>
          <w:tcPr>
            <w:tcW w:type="dxa" w:w="1650"/>
            <w:tcMar>
              <w:top w:w="80" w:type="dxa"/>
              <w:start w:w="120" w:type="dxa"/>
              <w:bottom w:w="80" w:type="dxa"/>
              <w:end w:w="120" w:type="dxa"/>
            </w:tcMar>
            <w:vAlign w:val="center"/>
            <w:shd w:fill="F7F8FA"/>
          </w:tcPr>
          <w:p>
            <w:pPr>
              <w:spacing w:after="0" w:line="276" w:lineRule="auto"/>
            </w:pPr>
            <w:r>
              <w:rPr>
                <w:rFonts w:ascii="Calibri" w:hAnsi="Calibri"/>
                <w:b/>
                <w:color w:val="07090D"/>
                <w:sz w:val="19"/>
              </w:rPr>
              <w:t>Hero</w:t>
            </w:r>
          </w:p>
        </w:tc>
        <w:tc>
          <w:tcPr>
            <w:tcW w:type="dxa" w:w="3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Same content, order, alignment, and buttons.</w:t>
            </w:r>
          </w:p>
        </w:tc>
        <w:tc>
          <w:tcPr>
            <w:tcW w:type="dxa" w:w="445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Add product/athlete background media, editorial type scale, controlled texture and lighting.</w:t>
            </w:r>
          </w:p>
        </w:tc>
      </w:tr>
      <w:tr>
        <w:tc>
          <w:tcPr>
            <w:tcW w:type="dxa" w:w="1650"/>
            <w:tcMar>
              <w:top w:w="80" w:type="dxa"/>
              <w:start w:w="120" w:type="dxa"/>
              <w:bottom w:w="80" w:type="dxa"/>
              <w:end w:w="120" w:type="dxa"/>
            </w:tcMar>
            <w:vAlign w:val="center"/>
          </w:tcPr>
          <w:p>
            <w:pPr>
              <w:spacing w:after="0" w:line="276" w:lineRule="auto"/>
            </w:pPr>
            <w:r>
              <w:rPr>
                <w:rFonts w:ascii="Calibri" w:hAnsi="Calibri"/>
                <w:b/>
                <w:color w:val="07090D"/>
                <w:sz w:val="19"/>
              </w:rPr>
              <w:t>Section headers</w:t>
            </w:r>
          </w:p>
        </w:tc>
        <w:tc>
          <w:tcPr>
            <w:tcW w:type="dxa" w:w="3260"/>
            <w:tcMar>
              <w:top w:w="80" w:type="dxa"/>
              <w:start w:w="120" w:type="dxa"/>
              <w:bottom w:w="80" w:type="dxa"/>
              <w:end w:w="120" w:type="dxa"/>
            </w:tcMar>
            <w:vAlign w:val="center"/>
          </w:tcPr>
          <w:p>
            <w:pPr>
              <w:spacing w:after="0" w:line="276" w:lineRule="auto"/>
            </w:pPr>
            <w:r>
              <w:rPr>
                <w:rFonts w:ascii="Calibri" w:hAnsi="Calibri"/>
                <w:b w:val="0"/>
                <w:color w:val="07090D"/>
                <w:sz w:val="19"/>
              </w:rPr>
              <w:t>Same kickers, headings, and descriptions.</w:t>
            </w:r>
          </w:p>
        </w:tc>
        <w:tc>
          <w:tcPr>
            <w:tcW w:type="dxa" w:w="4450"/>
            <w:tcMar>
              <w:top w:w="80" w:type="dxa"/>
              <w:start w:w="120" w:type="dxa"/>
              <w:bottom w:w="80" w:type="dxa"/>
              <w:end w:w="120" w:type="dxa"/>
            </w:tcMar>
            <w:vAlign w:val="center"/>
          </w:tcPr>
          <w:p>
            <w:pPr>
              <w:spacing w:after="0" w:line="276" w:lineRule="auto"/>
            </w:pPr>
            <w:r>
              <w:rPr>
                <w:rFonts w:ascii="Calibri" w:hAnsi="Calibri"/>
                <w:b w:val="0"/>
                <w:color w:val="07090D"/>
                <w:sz w:val="19"/>
              </w:rPr>
              <w:t>Create a consistent three-level hierarchy; vary alignment only if already supported by current markup.</w:t>
            </w:r>
          </w:p>
        </w:tc>
      </w:tr>
      <w:tr>
        <w:tc>
          <w:tcPr>
            <w:tcW w:type="dxa" w:w="1650"/>
            <w:tcMar>
              <w:top w:w="80" w:type="dxa"/>
              <w:start w:w="120" w:type="dxa"/>
              <w:bottom w:w="80" w:type="dxa"/>
              <w:end w:w="120" w:type="dxa"/>
            </w:tcMar>
            <w:vAlign w:val="center"/>
            <w:shd w:fill="F7F8FA"/>
          </w:tcPr>
          <w:p>
            <w:pPr>
              <w:spacing w:after="0" w:line="276" w:lineRule="auto"/>
            </w:pPr>
            <w:r>
              <w:rPr>
                <w:rFonts w:ascii="Calibri" w:hAnsi="Calibri"/>
                <w:b/>
                <w:color w:val="07090D"/>
                <w:sz w:val="19"/>
              </w:rPr>
              <w:t>Cards</w:t>
            </w:r>
          </w:p>
        </w:tc>
        <w:tc>
          <w:tcPr>
            <w:tcW w:type="dxa" w:w="3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Same count, grid, content, and click behavior.</w:t>
            </w:r>
          </w:p>
        </w:tc>
        <w:tc>
          <w:tcPr>
            <w:tcW w:type="dxa" w:w="445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Less SaaS rounding; stronger edge/material treatment, bespoke icons, better body contrast.</w:t>
            </w:r>
          </w:p>
        </w:tc>
      </w:tr>
      <w:tr>
        <w:tc>
          <w:tcPr>
            <w:tcW w:type="dxa" w:w="1650"/>
            <w:tcMar>
              <w:top w:w="80" w:type="dxa"/>
              <w:start w:w="120" w:type="dxa"/>
              <w:bottom w:w="80" w:type="dxa"/>
              <w:end w:w="120" w:type="dxa"/>
            </w:tcMar>
            <w:vAlign w:val="center"/>
          </w:tcPr>
          <w:p>
            <w:pPr>
              <w:spacing w:after="0" w:line="276" w:lineRule="auto"/>
            </w:pPr>
            <w:r>
              <w:rPr>
                <w:rFonts w:ascii="Calibri" w:hAnsi="Calibri"/>
                <w:b/>
                <w:color w:val="07090D"/>
                <w:sz w:val="19"/>
              </w:rPr>
              <w:t>Catalog</w:t>
            </w:r>
          </w:p>
        </w:tc>
        <w:tc>
          <w:tcPr>
            <w:tcW w:type="dxa" w:w="3260"/>
            <w:tcMar>
              <w:top w:w="80" w:type="dxa"/>
              <w:start w:w="120" w:type="dxa"/>
              <w:bottom w:w="80" w:type="dxa"/>
              <w:end w:w="120" w:type="dxa"/>
            </w:tcMar>
            <w:vAlign w:val="center"/>
          </w:tcPr>
          <w:p>
            <w:pPr>
              <w:spacing w:after="0" w:line="276" w:lineRule="auto"/>
            </w:pPr>
            <w:r>
              <w:rPr>
                <w:rFonts w:ascii="Calibri" w:hAnsi="Calibri"/>
                <w:b w:val="0"/>
                <w:color w:val="07090D"/>
                <w:sz w:val="19"/>
              </w:rPr>
              <w:t>Same filters, products, prices, and links.</w:t>
            </w:r>
          </w:p>
        </w:tc>
        <w:tc>
          <w:tcPr>
            <w:tcW w:type="dxa" w:w="4450"/>
            <w:tcMar>
              <w:top w:w="80" w:type="dxa"/>
              <w:start w:w="120" w:type="dxa"/>
              <w:bottom w:w="80" w:type="dxa"/>
              <w:end w:w="120" w:type="dxa"/>
            </w:tcMar>
            <w:vAlign w:val="center"/>
          </w:tcPr>
          <w:p>
            <w:pPr>
              <w:spacing w:after="0" w:line="276" w:lineRule="auto"/>
            </w:pPr>
            <w:r>
              <w:rPr>
                <w:rFonts w:ascii="Calibri" w:hAnsi="Calibri"/>
                <w:b w:val="0"/>
                <w:color w:val="07090D"/>
                <w:sz w:val="19"/>
              </w:rPr>
              <w:t>Unified photo grade, crop, tag system, hover image treatment, and price hierarchy.</w:t>
            </w:r>
          </w:p>
        </w:tc>
      </w:tr>
      <w:tr>
        <w:tc>
          <w:tcPr>
            <w:tcW w:type="dxa" w:w="1650"/>
            <w:tcMar>
              <w:top w:w="80" w:type="dxa"/>
              <w:start w:w="120" w:type="dxa"/>
              <w:bottom w:w="80" w:type="dxa"/>
              <w:end w:w="120" w:type="dxa"/>
            </w:tcMar>
            <w:vAlign w:val="center"/>
            <w:shd w:fill="F7F8FA"/>
          </w:tcPr>
          <w:p>
            <w:pPr>
              <w:spacing w:after="0" w:line="276" w:lineRule="auto"/>
            </w:pPr>
            <w:r>
              <w:rPr>
                <w:rFonts w:ascii="Calibri" w:hAnsi="Calibri"/>
                <w:b/>
                <w:color w:val="07090D"/>
                <w:sz w:val="19"/>
              </w:rPr>
              <w:t>Customizer</w:t>
            </w:r>
          </w:p>
        </w:tc>
        <w:tc>
          <w:tcPr>
            <w:tcW w:type="dxa" w:w="3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Same controls, preview, upload, and quote flow.</w:t>
            </w:r>
          </w:p>
        </w:tc>
        <w:tc>
          <w:tcPr>
            <w:tcW w:type="dxa" w:w="445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Premium product stage, fabric lighting, clearer controls, precise utility labels.</w:t>
            </w:r>
          </w:p>
        </w:tc>
      </w:tr>
      <w:tr>
        <w:tc>
          <w:tcPr>
            <w:tcW w:type="dxa" w:w="1650"/>
            <w:tcMar>
              <w:top w:w="80" w:type="dxa"/>
              <w:start w:w="120" w:type="dxa"/>
              <w:bottom w:w="80" w:type="dxa"/>
              <w:end w:w="120" w:type="dxa"/>
            </w:tcMar>
            <w:vAlign w:val="center"/>
          </w:tcPr>
          <w:p>
            <w:pPr>
              <w:spacing w:after="0" w:line="276" w:lineRule="auto"/>
            </w:pPr>
            <w:r>
              <w:rPr>
                <w:rFonts w:ascii="Calibri" w:hAnsi="Calibri"/>
                <w:b/>
                <w:color w:val="07090D"/>
                <w:sz w:val="19"/>
              </w:rPr>
              <w:t>Forms/modal</w:t>
            </w:r>
          </w:p>
        </w:tc>
        <w:tc>
          <w:tcPr>
            <w:tcW w:type="dxa" w:w="3260"/>
            <w:tcMar>
              <w:top w:w="80" w:type="dxa"/>
              <w:start w:w="120" w:type="dxa"/>
              <w:bottom w:w="80" w:type="dxa"/>
              <w:end w:w="120" w:type="dxa"/>
            </w:tcMar>
            <w:vAlign w:val="center"/>
          </w:tcPr>
          <w:p>
            <w:pPr>
              <w:spacing w:after="0" w:line="276" w:lineRule="auto"/>
            </w:pPr>
            <w:r>
              <w:rPr>
                <w:rFonts w:ascii="Calibri" w:hAnsi="Calibri"/>
                <w:b w:val="0"/>
                <w:color w:val="07090D"/>
                <w:sz w:val="19"/>
              </w:rPr>
              <w:t>Same fields, order, validation, and submit action.</w:t>
            </w:r>
          </w:p>
        </w:tc>
        <w:tc>
          <w:tcPr>
            <w:tcW w:type="dxa" w:w="4450"/>
            <w:tcMar>
              <w:top w:w="80" w:type="dxa"/>
              <w:start w:w="120" w:type="dxa"/>
              <w:bottom w:w="80" w:type="dxa"/>
              <w:end w:w="120" w:type="dxa"/>
            </w:tcMar>
            <w:vAlign w:val="center"/>
          </w:tcPr>
          <w:p>
            <w:pPr>
              <w:spacing w:after="0" w:line="276" w:lineRule="auto"/>
            </w:pPr>
            <w:r>
              <w:rPr>
                <w:rFonts w:ascii="Calibri" w:hAnsi="Calibri"/>
                <w:b w:val="0"/>
                <w:color w:val="07090D"/>
                <w:sz w:val="19"/>
              </w:rPr>
              <w:t>High-contrast fields, clear focus/error states, refined upload zone, crisp panel treatment.</w:t>
            </w:r>
          </w:p>
        </w:tc>
      </w:tr>
      <w:tr>
        <w:tc>
          <w:tcPr>
            <w:tcW w:type="dxa" w:w="1650"/>
            <w:tcMar>
              <w:top w:w="80" w:type="dxa"/>
              <w:start w:w="120" w:type="dxa"/>
              <w:bottom w:w="80" w:type="dxa"/>
              <w:end w:w="120" w:type="dxa"/>
            </w:tcMar>
            <w:vAlign w:val="center"/>
            <w:shd w:fill="F7F8FA"/>
          </w:tcPr>
          <w:p>
            <w:pPr>
              <w:spacing w:after="0" w:line="276" w:lineRule="auto"/>
            </w:pPr>
            <w:r>
              <w:rPr>
                <w:rFonts w:ascii="Calibri" w:hAnsi="Calibri"/>
                <w:b/>
                <w:color w:val="07090D"/>
                <w:sz w:val="19"/>
              </w:rPr>
              <w:t>Footer</w:t>
            </w:r>
          </w:p>
        </w:tc>
        <w:tc>
          <w:tcPr>
            <w:tcW w:type="dxa" w:w="326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Same columns, links, legal content, and CTA.</w:t>
            </w:r>
          </w:p>
        </w:tc>
        <w:tc>
          <w:tcPr>
            <w:tcW w:type="dxa" w:w="4450"/>
            <w:tcMar>
              <w:top w:w="80" w:type="dxa"/>
              <w:start w:w="120" w:type="dxa"/>
              <w:bottom w:w="80" w:type="dxa"/>
              <w:end w:w="120" w:type="dxa"/>
            </w:tcMar>
            <w:vAlign w:val="center"/>
            <w:shd w:fill="F7F8FA"/>
          </w:tcPr>
          <w:p>
            <w:pPr>
              <w:spacing w:after="0" w:line="276" w:lineRule="auto"/>
            </w:pPr>
            <w:r>
              <w:rPr>
                <w:rFonts w:ascii="Calibri" w:hAnsi="Calibri"/>
                <w:b w:val="0"/>
                <w:color w:val="07090D"/>
                <w:sz w:val="19"/>
              </w:rPr>
              <w:t>Increase legibility, strengthen lockup, simplify dividers, align segment chips.</w:t>
            </w:r>
          </w:p>
        </w:tc>
      </w:tr>
    </w:tbl>
    <w:p>
      <w:pPr>
        <w:keepNext w:val="0"/>
        <w:spacing w:before="0" w:after="80" w:line="300" w:lineRule="auto"/>
        <w:jc w:val="left"/>
      </w:pPr>
      <w:r>
        <w:rPr>
          <w:rFonts w:ascii="Calibri" w:hAnsi="Calibri"/>
          <w:b w:val="0"/>
          <w:i w:val="0"/>
          <w:color w:val="07090D"/>
          <w:sz w:val="2"/>
        </w:rPr>
      </w:r>
    </w:p>
    <w:p>
      <w:pPr>
        <w:pStyle w:val="Heading1"/>
        <w:keepNext/>
      </w:pPr>
      <w:r>
        <w:rPr>
          <w:rFonts w:ascii="Calibri" w:hAnsi="Calibri"/>
          <w:b/>
          <w:color w:val="F20D3A"/>
          <w:sz w:val="32"/>
        </w:rPr>
        <w:t>8. Antigravity implementation sequence</w:t>
      </w:r>
    </w:p>
    <w:p>
      <w:pPr>
        <w:pStyle w:val="ListNumber"/>
        <w:spacing w:after="80" w:line="300" w:lineRule="auto"/>
      </w:pPr>
      <w:r>
        <w:rPr>
          <w:rFonts w:ascii="Calibri" w:hAnsi="Calibri"/>
          <w:color w:val="07090D"/>
          <w:sz w:val="22"/>
        </w:rPr>
        <w:t>Create a baseline screenshot set for every current route at 1440px, 1024px, 768px, and 390px before changing styles.</w:t>
      </w:r>
    </w:p>
    <w:p>
      <w:pPr>
        <w:pStyle w:val="ListNumber"/>
        <w:spacing w:after="80" w:line="300" w:lineRule="auto"/>
      </w:pPr>
      <w:r>
        <w:rPr>
          <w:rFonts w:ascii="Calibri" w:hAnsi="Calibri"/>
          <w:color w:val="07090D"/>
          <w:sz w:val="22"/>
        </w:rPr>
        <w:t>Inventory shared visual components and existing CSS/theme tokens. Do not refactor page structure or business logic.</w:t>
      </w:r>
    </w:p>
    <w:p>
      <w:pPr>
        <w:pStyle w:val="ListNumber"/>
        <w:spacing w:after="80" w:line="300" w:lineRule="auto"/>
      </w:pPr>
      <w:r>
        <w:rPr>
          <w:rFonts w:ascii="Calibri" w:hAnsi="Calibri"/>
          <w:color w:val="07090D"/>
          <w:sz w:val="22"/>
        </w:rPr>
        <w:t>Create the new Clarico token layer: color, typography, radii, borders, shadows, spacing rhythm, icon sizing, and motion.</w:t>
      </w:r>
    </w:p>
    <w:p>
      <w:pPr>
        <w:pStyle w:val="ListNumber"/>
        <w:spacing w:after="80" w:line="300" w:lineRule="auto"/>
      </w:pPr>
      <w:r>
        <w:rPr>
          <w:rFonts w:ascii="Calibri" w:hAnsi="Calibri"/>
          <w:color w:val="07090D"/>
          <w:sz w:val="22"/>
        </w:rPr>
        <w:t>Restyle shared primitives first: body, header, headings, buttons, tags, cards, inputs, modal, footer, and focus states.</w:t>
      </w:r>
    </w:p>
    <w:p>
      <w:pPr>
        <w:pStyle w:val="ListNumber"/>
        <w:spacing w:after="80" w:line="300" w:lineRule="auto"/>
      </w:pPr>
      <w:r>
        <w:rPr>
          <w:rFonts w:ascii="Calibri" w:hAnsi="Calibri"/>
          <w:color w:val="07090D"/>
          <w:sz w:val="22"/>
        </w:rPr>
        <w:t>Apply page-specific visual art direction to Home, Sports, Custom, and Business while retaining each existing section and grid.</w:t>
      </w:r>
    </w:p>
    <w:p>
      <w:pPr>
        <w:pStyle w:val="ListNumber"/>
        <w:spacing w:after="80" w:line="300" w:lineRule="auto"/>
      </w:pPr>
      <w:r>
        <w:rPr>
          <w:rFonts w:ascii="Calibri" w:hAnsi="Calibri"/>
          <w:color w:val="07090D"/>
          <w:sz w:val="22"/>
        </w:rPr>
        <w:t>Replace emoji/generic icon assets with the approved Clarico pictogram family without changing labels or semantics.</w:t>
      </w:r>
    </w:p>
    <w:p>
      <w:pPr>
        <w:pStyle w:val="ListNumber"/>
        <w:spacing w:after="80" w:line="300" w:lineRule="auto"/>
      </w:pPr>
      <w:r>
        <w:rPr>
          <w:rFonts w:ascii="Calibri" w:hAnsi="Calibri"/>
          <w:color w:val="07090D"/>
          <w:sz w:val="22"/>
        </w:rPr>
        <w:t>Apply consistent art direction to all product and contextual images. Do not import images or brand assets from Dirt/Housed.</w:t>
      </w:r>
    </w:p>
    <w:p>
      <w:pPr>
        <w:pStyle w:val="ListNumber"/>
        <w:spacing w:after="80" w:line="300" w:lineRule="auto"/>
      </w:pPr>
      <w:r>
        <w:rPr>
          <w:rFonts w:ascii="Calibri" w:hAnsi="Calibri"/>
          <w:color w:val="07090D"/>
          <w:sz w:val="22"/>
        </w:rPr>
        <w:t>Validate all interactions, catalog filters, quote submission, customizer behavior, uploads, and routes after styling.</w:t>
      </w:r>
    </w:p>
    <w:p>
      <w:pPr>
        <w:pStyle w:val="ListNumber"/>
        <w:spacing w:after="80" w:line="300" w:lineRule="auto"/>
      </w:pPr>
      <w:r>
        <w:rPr>
          <w:rFonts w:ascii="Calibri" w:hAnsi="Calibri"/>
          <w:color w:val="07090D"/>
          <w:sz w:val="22"/>
        </w:rPr>
        <w:t>Capture the same screenshot matrix after implementation and compare for layout regressions, overflow, and unintended structural change.</w:t>
      </w:r>
    </w:p>
    <w:p>
      <w:pPr>
        <w:pStyle w:val="Heading1"/>
        <w:keepNext/>
      </w:pPr>
      <w:r>
        <w:rPr>
          <w:rFonts w:ascii="Calibri" w:hAnsi="Calibri"/>
          <w:b/>
          <w:color w:val="F20D3A"/>
          <w:sz w:val="32"/>
        </w:rPr>
        <w:t>9. Acceptance checklist</w:t>
      </w:r>
    </w:p>
    <w:p>
      <w:pPr>
        <w:pStyle w:val="ListBullet"/>
        <w:spacing w:after="80" w:line="300" w:lineRule="auto"/>
      </w:pPr>
      <w:r>
        <w:rPr>
          <w:rFonts w:ascii="Calibri" w:hAnsi="Calibri"/>
          <w:color w:val="07090D"/>
          <w:sz w:val="22"/>
        </w:rPr>
        <w:t>No route, section, component, card, field, product, CTA, or copy block was removed, added, reordered, or repurposed.</w:t>
      </w:r>
    </w:p>
    <w:p>
      <w:pPr>
        <w:pStyle w:val="ListBullet"/>
        <w:spacing w:after="80" w:line="300" w:lineRule="auto"/>
      </w:pPr>
      <w:r>
        <w:rPr>
          <w:rFonts w:ascii="Calibri" w:hAnsi="Calibri"/>
          <w:color w:val="07090D"/>
          <w:sz w:val="22"/>
        </w:rPr>
        <w:t>Sports, Custom, and Business clearly belong to one Clarico master brand.</w:t>
      </w:r>
    </w:p>
    <w:p>
      <w:pPr>
        <w:pStyle w:val="ListBullet"/>
        <w:spacing w:after="80" w:line="300" w:lineRule="auto"/>
      </w:pPr>
      <w:r>
        <w:rPr>
          <w:rFonts w:ascii="Calibri" w:hAnsi="Calibri"/>
          <w:color w:val="07090D"/>
          <w:sz w:val="22"/>
        </w:rPr>
        <w:t>The first viewport communicates apparel and material craft, not only abstract color glows.</w:t>
      </w:r>
    </w:p>
    <w:p>
      <w:pPr>
        <w:pStyle w:val="ListBullet"/>
        <w:spacing w:after="80" w:line="300" w:lineRule="auto"/>
      </w:pPr>
      <w:r>
        <w:rPr>
          <w:rFonts w:ascii="Calibri" w:hAnsi="Calibri"/>
          <w:color w:val="07090D"/>
          <w:sz w:val="22"/>
        </w:rPr>
        <w:t>No emoji-style icons remain in customer-facing category or industry cards.</w:t>
      </w:r>
    </w:p>
    <w:p>
      <w:pPr>
        <w:pStyle w:val="ListBullet"/>
        <w:spacing w:after="80" w:line="300" w:lineRule="auto"/>
      </w:pPr>
      <w:r>
        <w:rPr>
          <w:rFonts w:ascii="Calibri" w:hAnsi="Calibri"/>
          <w:color w:val="07090D"/>
          <w:sz w:val="22"/>
        </w:rPr>
        <w:t>Body text and UI states meet WCAG AA contrast targets where applicable.</w:t>
      </w:r>
    </w:p>
    <w:p>
      <w:pPr>
        <w:pStyle w:val="ListBullet"/>
        <w:spacing w:after="80" w:line="300" w:lineRule="auto"/>
      </w:pPr>
      <w:r>
        <w:rPr>
          <w:rFonts w:ascii="Calibri" w:hAnsi="Calibri"/>
          <w:color w:val="07090D"/>
          <w:sz w:val="22"/>
        </w:rPr>
        <w:t>Focus, hover, active, disabled, loading, success, and error states are visible and consistent.</w:t>
      </w:r>
    </w:p>
    <w:p>
      <w:pPr>
        <w:pStyle w:val="ListBullet"/>
        <w:spacing w:after="80" w:line="300" w:lineRule="auto"/>
      </w:pPr>
      <w:r>
        <w:rPr>
          <w:rFonts w:ascii="Calibri" w:hAnsi="Calibri"/>
          <w:color w:val="07090D"/>
          <w:sz w:val="22"/>
        </w:rPr>
        <w:t>The quote modal and customizer retain complete original behavior.</w:t>
      </w:r>
    </w:p>
    <w:p>
      <w:pPr>
        <w:pStyle w:val="ListBullet"/>
        <w:spacing w:after="80" w:line="300" w:lineRule="auto"/>
      </w:pPr>
      <w:r>
        <w:rPr>
          <w:rFonts w:ascii="Calibri" w:hAnsi="Calibri"/>
          <w:color w:val="07090D"/>
          <w:sz w:val="22"/>
        </w:rPr>
        <w:t>No horizontal overflow or clipped headline exists at 1440px, 1024px, 768px, or 390px.</w:t>
      </w:r>
    </w:p>
    <w:p>
      <w:pPr>
        <w:pStyle w:val="ListBullet"/>
        <w:spacing w:after="80" w:line="300" w:lineRule="auto"/>
      </w:pPr>
      <w:r>
        <w:rPr>
          <w:rFonts w:ascii="Calibri" w:hAnsi="Calibri"/>
          <w:color w:val="07090D"/>
          <w:sz w:val="22"/>
        </w:rPr>
        <w:t>Animations remain smooth, short, purposeful, and reduced-motion compatible.</w:t>
      </w:r>
    </w:p>
    <w:p>
      <w:pPr>
        <w:pStyle w:val="ListBullet"/>
        <w:spacing w:after="80" w:line="300" w:lineRule="auto"/>
      </w:pPr>
      <w:r>
        <w:rPr>
          <w:rFonts w:ascii="Calibri" w:hAnsi="Calibri"/>
          <w:color w:val="07090D"/>
          <w:sz w:val="22"/>
        </w:rPr>
        <w:t>The result feels like a premium apparel studio, not a SaaS dashboard and not a copy of Dirt/Housed.</w:t>
      </w:r>
    </w:p>
    <w:p>
      <w:pPr>
        <w:pStyle w:val="Heading1"/>
        <w:keepNext/>
      </w:pPr>
      <w:r>
        <w:rPr>
          <w:rFonts w:ascii="Calibri" w:hAnsi="Calibri"/>
          <w:b/>
          <w:color w:val="F20D3A"/>
          <w:sz w:val="32"/>
        </w:rPr>
        <w:t>10. Ready-to-paste instruction for Antigravity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1F3F6"/>
          </w:tcPr>
          <w:p>
            <w:pPr>
              <w:spacing w:after="40"/>
            </w:pPr>
            <w:r>
              <w:rPr>
                <w:rFonts w:ascii="Calibri" w:hAnsi="Calibri"/>
                <w:b/>
                <w:color w:val="07090D"/>
                <w:sz w:val="18"/>
              </w:rPr>
              <w:t>USE THIS INSTRUCTION</w:t>
            </w:r>
          </w:p>
          <w:p>
            <w:pPr>
              <w:spacing w:after="0" w:line="288" w:lineRule="auto"/>
            </w:pPr>
            <w:r>
              <w:rPr>
                <w:rFonts w:ascii="Calibri" w:hAnsi="Calibri"/>
                <w:b/>
                <w:color w:val="07090D"/>
                <w:sz w:val="22"/>
              </w:rPr>
              <w:t>Treat the following as a visual-only redesign contract. Do not begin structural refactoring.</w:t>
            </w:r>
          </w:p>
        </w:tc>
      </w:tr>
    </w:tbl>
    <w:p>
      <w:pPr>
        <w:keepNext w:val="0"/>
        <w:spacing w:before="0" w:after="60" w:line="300" w:lineRule="auto"/>
        <w:jc w:val="left"/>
      </w:pPr>
      <w:r>
        <w:rPr>
          <w:rFonts w:ascii="Calibri" w:hAnsi="Calibri"/>
          <w:b w:val="0"/>
          <w:i w:val="0"/>
          <w:color w:val="07090D"/>
          <w:sz w:val="2"/>
        </w:rPr>
      </w:r>
    </w:p>
    <w:p>
      <w:pPr>
        <w:keepNext w:val="0"/>
        <w:spacing w:before="0" w:after="140" w:line="300" w:lineRule="auto"/>
        <w:jc w:val="left"/>
      </w:pPr>
      <w:r>
        <w:rPr>
          <w:rFonts w:ascii="Calibri" w:hAnsi="Calibri"/>
          <w:b w:val="0"/>
          <w:i w:val="0"/>
          <w:color w:val="07090D"/>
          <w:sz w:val="21"/>
        </w:rPr>
        <w:t>Analyze the current Clarico project and implement a complete visual-identity redesign using this brief as the source of truth.</w:t>
      </w:r>
    </w:p>
    <w:p>
      <w:pPr>
        <w:keepNext w:val="0"/>
        <w:spacing w:before="0" w:after="140" w:line="300" w:lineRule="auto"/>
        <w:jc w:val="left"/>
      </w:pPr>
      <w:r>
        <w:rPr>
          <w:rFonts w:ascii="Calibri" w:hAnsi="Calibri"/>
          <w:b w:val="0"/>
          <w:i w:val="0"/>
          <w:color w:val="07090D"/>
          <w:sz w:val="21"/>
        </w:rPr>
        <w:t>MANDATORY REFERENCE ACCESS: before changing any file, open and navigate these three references: (1) https://dirtverse.co/work/housed (primary live reference), (2) https://dirtverse.co/ (studio context), and (3) https://recent.design/i/1of4fz4-dirt (reference catalog analysis). Do not rely only on screenshots or the names of the sites. Inspect typography, image scale, material treatment, navigation, hover states, page transitions, scroll behavior, spacing rhythm, card treatment, and responsive behavior. Briefly document what was observed before implementation. If a reference is inaccessible, report that limitation and do not invent unseen behavior.</w:t>
      </w:r>
    </w:p>
    <w:p>
      <w:pPr>
        <w:keepNext w:val="0"/>
        <w:spacing w:before="0" w:after="140" w:line="300" w:lineRule="auto"/>
        <w:jc w:val="left"/>
      </w:pPr>
      <w:r>
        <w:rPr>
          <w:rFonts w:ascii="Calibri" w:hAnsi="Calibri"/>
          <w:b w:val="0"/>
          <w:i w:val="0"/>
          <w:color w:val="07090D"/>
          <w:sz w:val="21"/>
        </w:rPr>
        <w:t>Do not change the information architecture. Preserve all routes, sections, section order, content, CTAs, card count, grid structure, catalog data, quote-modal fields, customizer controls, integrations, validation, business logic, and responsive behavior. Do not add, remove, merge, or reorder components.</w:t>
      </w:r>
    </w:p>
    <w:p>
      <w:pPr>
        <w:keepNext w:val="0"/>
        <w:spacing w:before="0" w:after="140" w:line="300" w:lineRule="auto"/>
        <w:jc w:val="left"/>
      </w:pPr>
      <w:r>
        <w:rPr>
          <w:rFonts w:ascii="Calibri" w:hAnsi="Calibri"/>
          <w:b w:val="0"/>
          <w:i w:val="0"/>
          <w:color w:val="07090D"/>
          <w:sz w:val="21"/>
        </w:rPr>
        <w:t>Change only the visual and brand layer: design tokens, typography, colors, surfaces, borders, radii, shadows, icons, imagery, background treatments, product art direction, button/input states, hover/focus behavior, and CSS-only motion.</w:t>
      </w:r>
    </w:p>
    <w:p>
      <w:pPr>
        <w:keepNext w:val="0"/>
        <w:spacing w:before="0" w:after="140" w:line="300" w:lineRule="auto"/>
        <w:jc w:val="left"/>
      </w:pPr>
      <w:r>
        <w:rPr>
          <w:rFonts w:ascii="Calibri" w:hAnsi="Calibri"/>
          <w:b w:val="0"/>
          <w:i w:val="0"/>
          <w:color w:val="07090D"/>
          <w:sz w:val="21"/>
        </w:rPr>
        <w:t>Use Dirt/Housed only as a reference for visual intensity, editorial scale, material presence, restrained animation, and premium art direction. Do not copy its structure, source code, wording, logos, photography, or brand assets.</w:t>
      </w:r>
    </w:p>
    <w:p>
      <w:pPr>
        <w:keepNext w:val="0"/>
        <w:spacing w:before="0" w:after="140" w:line="300" w:lineRule="auto"/>
        <w:jc w:val="left"/>
      </w:pPr>
      <w:r>
        <w:rPr>
          <w:rFonts w:ascii="Calibri" w:hAnsi="Calibri"/>
          <w:b w:val="0"/>
          <w:i w:val="0"/>
          <w:color w:val="07090D"/>
          <w:sz w:val="21"/>
        </w:rPr>
        <w:t>The target identity is TECHNICAL STREETWEAR × MAT CULTURE × FAST STUDIO. Clarico must feel premium, fast, precise, tactile, youthful, and credible for academies, events, custom buyers, and businesses.</w:t>
      </w:r>
    </w:p>
    <w:p>
      <w:pPr>
        <w:keepNext w:val="0"/>
        <w:spacing w:before="0" w:after="140" w:line="300" w:lineRule="auto"/>
        <w:jc w:val="left"/>
      </w:pPr>
      <w:r>
        <w:rPr>
          <w:rFonts w:ascii="Calibri" w:hAnsi="Calibri"/>
          <w:b w:val="0"/>
          <w:i w:val="0"/>
          <w:color w:val="07090D"/>
          <w:sz w:val="21"/>
        </w:rPr>
        <w:t>Unify all pages under Clarico ink, paper, and red. Keep gold for Custom and blue for Business as controlled secondary orientation accents. Replace emoji-style icons with one original Clarico pictogram family. Reduce generic SaaS glows and rounded cards. Increase product, fabric, print, athlete, and uniform presence through visual assets inside existing containers.</w:t>
      </w:r>
    </w:p>
    <w:p>
      <w:pPr>
        <w:keepNext w:val="0"/>
        <w:spacing w:before="0" w:after="140" w:line="300" w:lineRule="auto"/>
        <w:jc w:val="left"/>
      </w:pPr>
      <w:r>
        <w:rPr>
          <w:rFonts w:ascii="Calibri" w:hAnsi="Calibri"/>
          <w:b w:val="0"/>
          <w:i w:val="0"/>
          <w:color w:val="07090D"/>
          <w:sz w:val="21"/>
        </w:rPr>
        <w:t>Before implementation, capture baseline screenshots for every route at 1440, 1024, 768, and 390 pixels. After implementation, repeat the screenshots and verify that no structure, behavior, or content changed. Test all routes, filters, buttons, uploads, modal states, customizer behavior, quote submission, focus states, contrast, reduced motion, console errors, clipping, and horizontal overflow.</w:t>
      </w:r>
    </w:p>
    <w:p>
      <w:pPr>
        <w:keepNext w:val="0"/>
        <w:spacing w:before="0" w:after="140" w:line="300" w:lineRule="auto"/>
        <w:jc w:val="left"/>
      </w:pPr>
      <w:r>
        <w:rPr>
          <w:rFonts w:ascii="Calibri" w:hAnsi="Calibri"/>
          <w:b w:val="0"/>
          <w:i w:val="0"/>
          <w:color w:val="07090D"/>
          <w:sz w:val="21"/>
        </w:rPr>
        <w:t>First provide a concise visual audit and list the shared style files/components that will be touched. Then implement the redesign completely without pausing for confirmation after every minor visual step.</w:t>
      </w:r>
    </w:p>
    <w:p>
      <w:pPr>
        <w:keepNext w:val="0"/>
        <w:spacing w:before="360" w:after="0" w:line="300" w:lineRule="auto"/>
        <w:jc w:val="center"/>
      </w:pPr>
      <w:r>
        <w:rPr>
          <w:rFonts w:ascii="Calibri" w:hAnsi="Calibri"/>
          <w:b/>
          <w:i w:val="0"/>
          <w:color w:val="F20D3A"/>
          <w:sz w:val="17"/>
        </w:rPr>
        <w:t>END OF BRIEF</w:t>
      </w:r>
    </w:p>
    <w:sectPr w:rsidR="00FC693F" w:rsidRPr="0006063C" w:rsidSect="00034616">
      <w:headerReference w:type="default" r:id="rId9"/>
      <w:footerReference w:type="default" r:id="rId10"/>
      <w:pgSz w:w="12240" w:h="15840"/>
      <w:pgMar w:top="1440"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6"/>
        <w:sz w:val="16"/>
      </w:rPr>
      <w:t xml:space="preserve">Clarico visual-only redesign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8DEE7"/>
      </w:pBdr>
    </w:pPr>
    <w:r>
      <w:rPr>
        <w:rFonts w:ascii="Calibri" w:hAnsi="Calibri"/>
        <w:b/>
        <w:color w:val="5C6776"/>
        <w:sz w:val="17"/>
      </w:rPr>
      <w:t>CLARICO  /  VISUAL IDENTITY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F20D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7090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F0A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rtverse.co/work/housed" TargetMode="External"/><Relationship Id="rId12" Type="http://schemas.openxmlformats.org/officeDocument/2006/relationships/hyperlink" Target="https://dirtverse.co/" TargetMode="External"/><Relationship Id="rId13" Type="http://schemas.openxmlformats.org/officeDocument/2006/relationships/hyperlink" Target="https://recent.design/i/1of4fz4-di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Clarico Visual Identity Redesign Brief — Version 2 with References</dc:title>
  <dc:subject>Visual-only brand and interface redesign guidance for Antigravity</dc:subject>
  <dc:creator>OpenAI</dc:creator>
  <cp:keywords>Clarico, visual identity, Antigravity, apparel, BJJ, DTF</cp:keywords>
  <dc:description>generated by python-docx</dc:description>
  <cp:lastModifiedBy/>
  <cp:revision>1</cp:revision>
  <dcterms:created xsi:type="dcterms:W3CDTF">2013-12-23T23:15:00Z</dcterms:created>
  <dcterms:modified xsi:type="dcterms:W3CDTF">2013-12-23T23:15:00Z</dcterms:modified>
  <cp:category/>
</cp:coreProperties>
</file>