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FE6E" w14:textId="1CD80D1E" w:rsidR="00854B53" w:rsidRDefault="00854B53" w:rsidP="00854B53">
      <w:pPr>
        <w:pStyle w:val="Ttulo"/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7C0A9F" wp14:editId="7038B7A7">
            <wp:extent cx="3048000" cy="3048000"/>
            <wp:effectExtent l="0" t="0" r="0" b="0"/>
            <wp:docPr id="72574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568" name="Imagen 72574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EEB" w14:textId="77777777" w:rsidR="00854B53" w:rsidRPr="0004386B" w:rsidRDefault="00000000" w:rsidP="00854B53">
      <w:pPr>
        <w:spacing w:after="60"/>
        <w:jc w:val="center"/>
        <w:rPr>
          <w:rFonts w:ascii="Bahnschrift" w:hAnsi="Bahnschrift" w:cs="Arial"/>
          <w:b/>
          <w:bCs/>
          <w:sz w:val="72"/>
          <w:szCs w:val="72"/>
        </w:rPr>
      </w:pPr>
      <w:proofErr w:type="spellStart"/>
      <w:r w:rsidRPr="0004386B">
        <w:rPr>
          <w:rFonts w:ascii="Bahnschrift" w:hAnsi="Bahnschrift" w:cs="Arial"/>
          <w:b/>
          <w:bCs/>
          <w:sz w:val="72"/>
          <w:szCs w:val="72"/>
        </w:rPr>
        <w:t>DiabetesRisk</w:t>
      </w:r>
      <w:proofErr w:type="spellEnd"/>
    </w:p>
    <w:p w14:paraId="5AECC9B3" w14:textId="005470D9" w:rsidR="00C86A51" w:rsidRPr="0004386B" w:rsidRDefault="00236CDE" w:rsidP="00854B53">
      <w:pPr>
        <w:spacing w:after="60"/>
        <w:jc w:val="center"/>
        <w:rPr>
          <w:rFonts w:ascii="Bahnschrift" w:hAnsi="Bahnschrift" w:cs="Arial"/>
          <w:b/>
          <w:bCs/>
          <w:sz w:val="32"/>
          <w:szCs w:val="32"/>
        </w:rPr>
      </w:pPr>
      <w:r>
        <w:rPr>
          <w:rFonts w:ascii="Bahnschrift" w:hAnsi="Bahnschrift" w:cs="Arial"/>
          <w:b/>
          <w:bCs/>
          <w:sz w:val="32"/>
          <w:szCs w:val="32"/>
        </w:rPr>
        <w:t xml:space="preserve">Manual de </w:t>
      </w:r>
      <w:r w:rsidR="006911B9">
        <w:rPr>
          <w:rFonts w:ascii="Bahnschrift" w:hAnsi="Bahnschrift" w:cs="Arial"/>
          <w:b/>
          <w:bCs/>
          <w:sz w:val="32"/>
          <w:szCs w:val="32"/>
        </w:rPr>
        <w:t>Usuario</w:t>
      </w:r>
    </w:p>
    <w:p w14:paraId="66EF8443" w14:textId="77777777" w:rsidR="00854B53" w:rsidRPr="0004386B" w:rsidRDefault="00854B53" w:rsidP="00097566">
      <w:pPr>
        <w:spacing w:after="60"/>
        <w:rPr>
          <w:rFonts w:ascii="Bahnschrift" w:hAnsi="Bahnschrift" w:cs="Arial"/>
          <w:b/>
          <w:bCs/>
          <w:sz w:val="22"/>
          <w:szCs w:val="22"/>
        </w:rPr>
      </w:pPr>
    </w:p>
    <w:p w14:paraId="4A90B6F9" w14:textId="77777777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17AD998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A6593FC" w14:textId="3EC415CE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17CC810D" w14:textId="7510D3D7" w:rsidR="00854B53" w:rsidRPr="0004386B" w:rsidRDefault="00097566" w:rsidP="00097566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  <w:r w:rsidRPr="0004386B">
        <w:rPr>
          <w:rFonts w:ascii="Bahnschrift" w:hAnsi="Bahnschrift" w:cs="Arial"/>
          <w:b/>
          <w:bCs/>
          <w:noProof/>
          <w:szCs w:val="22"/>
        </w:rPr>
        <w:drawing>
          <wp:inline distT="0" distB="0" distL="0" distR="0" wp14:anchorId="27C2E169" wp14:editId="20FA7742">
            <wp:extent cx="1149350" cy="1149350"/>
            <wp:effectExtent l="0" t="0" r="0" b="0"/>
            <wp:docPr id="2788035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B810" w14:textId="77777777" w:rsidR="00BC23A7" w:rsidRPr="0004386B" w:rsidRDefault="00BC23A7" w:rsidP="007D5395">
      <w:pPr>
        <w:spacing w:after="60"/>
        <w:rPr>
          <w:rFonts w:ascii="Bahnschrift" w:hAnsi="Bahnschrift" w:cs="Arial"/>
        </w:rPr>
      </w:pPr>
    </w:p>
    <w:p w14:paraId="0019E50C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2496C91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D8360F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FEFD3D9" w14:textId="77777777" w:rsidR="007D5395" w:rsidRPr="00E41A57" w:rsidRDefault="00000000" w:rsidP="00854B53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 w:rsidRPr="00E41A57">
        <w:rPr>
          <w:rFonts w:ascii="Bahnschrift" w:hAnsi="Bahnschrift" w:cs="Arial"/>
          <w:color w:val="5F5E5A"/>
          <w:sz w:val="22"/>
          <w:szCs w:val="22"/>
        </w:rPr>
        <w:t xml:space="preserve">Jared Foster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Orduz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Jeferson David Vargas Toca</w:t>
      </w:r>
    </w:p>
    <w:p w14:paraId="09542D78" w14:textId="66C5DE58" w:rsidR="00C86A51" w:rsidRPr="00E41A57" w:rsidRDefault="00000000" w:rsidP="00854B53">
      <w:pPr>
        <w:spacing w:after="120"/>
        <w:jc w:val="center"/>
        <w:rPr>
          <w:rFonts w:ascii="Bahnschrift" w:hAnsi="Bahnschrift" w:cs="Arial"/>
          <w:sz w:val="22"/>
          <w:szCs w:val="22"/>
        </w:rPr>
      </w:pP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Andres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Felipe </w:t>
      </w: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Florez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Garces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Oscar Enrique Morillo</w:t>
      </w:r>
    </w:p>
    <w:p w14:paraId="3C149A63" w14:textId="77777777" w:rsidR="00BC23A7" w:rsidRPr="00E41A57" w:rsidRDefault="00BC23A7" w:rsidP="00854B53">
      <w:pPr>
        <w:spacing w:after="60"/>
        <w:jc w:val="center"/>
        <w:rPr>
          <w:rFonts w:ascii="Bahnschrift" w:hAnsi="Bahnschrift" w:cs="Arial"/>
          <w:color w:val="5F5E5A"/>
          <w:sz w:val="18"/>
          <w:szCs w:val="18"/>
        </w:rPr>
      </w:pPr>
    </w:p>
    <w:p w14:paraId="2BD4D7DF" w14:textId="77777777" w:rsidR="00854B53" w:rsidRPr="00E41A57" w:rsidRDefault="00854B53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691FFD2" w14:textId="77777777" w:rsidR="007D5395" w:rsidRDefault="007D5395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2B75D20" w14:textId="77777777" w:rsidR="00E41A57" w:rsidRPr="00E41A57" w:rsidRDefault="00E41A57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6AB81A6E" w14:textId="548CE406" w:rsidR="00BC23A7" w:rsidRPr="00E41A57" w:rsidRDefault="00BC23A7" w:rsidP="00854B53">
      <w:pPr>
        <w:spacing w:after="120"/>
        <w:jc w:val="center"/>
        <w:rPr>
          <w:rFonts w:ascii="Bahnschrift" w:hAnsi="Bahnschrift" w:cs="Arial"/>
          <w:b/>
          <w:bCs/>
          <w:color w:val="5F5E5A"/>
          <w:sz w:val="22"/>
          <w:szCs w:val="22"/>
        </w:rPr>
      </w:pPr>
      <w:r w:rsidRPr="00E41A57">
        <w:rPr>
          <w:rFonts w:ascii="Bahnschrift" w:hAnsi="Bahnschrift" w:cs="Arial"/>
          <w:b/>
          <w:bCs/>
          <w:color w:val="5F5E5A"/>
          <w:sz w:val="22"/>
          <w:szCs w:val="22"/>
        </w:rPr>
        <w:t>Universidad de los Andes — Curso MAIA</w:t>
      </w:r>
    </w:p>
    <w:p w14:paraId="402DA552" w14:textId="54F22BF3" w:rsidR="00BC23A7" w:rsidRPr="00E41A57" w:rsidRDefault="00343ADC" w:rsidP="0092216E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>
        <w:rPr>
          <w:rFonts w:ascii="Bahnschrift" w:hAnsi="Bahnschrift" w:cs="Arial"/>
          <w:color w:val="5F5E5A"/>
          <w:sz w:val="22"/>
          <w:szCs w:val="22"/>
        </w:rPr>
        <w:t>Septiembre</w:t>
      </w:r>
      <w:r w:rsidR="00BC23A7" w:rsidRPr="00E41A57">
        <w:rPr>
          <w:rFonts w:ascii="Bahnschrift" w:hAnsi="Bahnschrift" w:cs="Arial"/>
          <w:color w:val="5F5E5A"/>
          <w:sz w:val="22"/>
          <w:szCs w:val="22"/>
        </w:rPr>
        <w:t xml:space="preserve"> de 202</w:t>
      </w:r>
      <w:r w:rsidR="0092216E" w:rsidRPr="00E41A57">
        <w:rPr>
          <w:rFonts w:ascii="Bahnschrift" w:hAnsi="Bahnschrift" w:cs="Arial"/>
          <w:color w:val="5F5E5A"/>
          <w:sz w:val="22"/>
          <w:szCs w:val="22"/>
        </w:rPr>
        <w:t>6</w:t>
      </w:r>
    </w:p>
    <w:p w14:paraId="0A07DD0E" w14:textId="77777777" w:rsidR="00BC23A7" w:rsidRPr="0004386B" w:rsidRDefault="00BC23A7">
      <w:pPr>
        <w:spacing w:after="60"/>
        <w:rPr>
          <w:rFonts w:ascii="Bahnschrift" w:hAnsi="Bahnschrift" w:cs="Arial"/>
          <w:color w:val="5F5E5A"/>
        </w:rPr>
      </w:pPr>
    </w:p>
    <w:p w14:paraId="0AF6DDE0" w14:textId="77777777" w:rsidR="00BC23A7" w:rsidRPr="0004386B" w:rsidRDefault="00BC23A7">
      <w:pPr>
        <w:spacing w:after="60"/>
        <w:rPr>
          <w:rFonts w:ascii="Bahnschrift" w:hAnsi="Bahnschrift" w:cs="Arial"/>
        </w:rPr>
      </w:pPr>
    </w:p>
    <w:p w14:paraId="0D8B1735" w14:textId="7699D74D" w:rsidR="00C86A51" w:rsidRPr="0004386B" w:rsidRDefault="006A5BD7" w:rsidP="00854B53">
      <w:pPr>
        <w:pStyle w:val="Ttulo1"/>
        <w:spacing w:before="160" w:after="60"/>
        <w:rPr>
          <w:rFonts w:ascii="Bahnschrift" w:hAnsi="Bahnschrift"/>
        </w:rPr>
      </w:pPr>
      <w:r>
        <w:rPr>
          <w:rFonts w:ascii="Bahnschrift" w:hAnsi="Bahnschrift"/>
          <w:sz w:val="31"/>
        </w:rPr>
        <w:lastRenderedPageBreak/>
        <w:t xml:space="preserve">1. </w:t>
      </w:r>
      <w:r w:rsidR="006911B9" w:rsidRPr="006911B9">
        <w:rPr>
          <w:rFonts w:ascii="Bahnschrift" w:hAnsi="Bahnschrift"/>
          <w:sz w:val="31"/>
        </w:rPr>
        <w:t xml:space="preserve">¿Qué es </w:t>
      </w:r>
      <w:proofErr w:type="spellStart"/>
      <w:r w:rsidR="006911B9" w:rsidRPr="006911B9">
        <w:rPr>
          <w:rFonts w:ascii="Bahnschrift" w:hAnsi="Bahnschrift"/>
          <w:sz w:val="31"/>
        </w:rPr>
        <w:t>DiabetesRisk</w:t>
      </w:r>
      <w:proofErr w:type="spellEnd"/>
      <w:r w:rsidR="006911B9" w:rsidRPr="006911B9">
        <w:rPr>
          <w:rFonts w:ascii="Bahnschrift" w:hAnsi="Bahnschrift"/>
          <w:sz w:val="31"/>
        </w:rPr>
        <w:t>?</w:t>
      </w:r>
    </w:p>
    <w:p w14:paraId="02DBD3F6" w14:textId="42398FEF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proofErr w:type="spellStart"/>
      <w:r w:rsidRPr="006911B9">
        <w:rPr>
          <w:rFonts w:ascii="Bahnschrift" w:hAnsi="Bahnschrift" w:cs="Arial"/>
          <w:szCs w:val="22"/>
        </w:rPr>
        <w:t>DiabetesRisk</w:t>
      </w:r>
      <w:proofErr w:type="spellEnd"/>
      <w:r w:rsidRPr="006911B9">
        <w:rPr>
          <w:rFonts w:ascii="Bahnschrift" w:hAnsi="Bahnschrift" w:cs="Arial"/>
          <w:szCs w:val="22"/>
        </w:rPr>
        <w:t xml:space="preserve"> es un tablero de tamizaje temprano que estima, a partir de variables demográficas y de estilo de vida fáciles de reportar (sin exámenes de laboratorio), qué tan probable es que una persona tenga diabetes o prediabetes. Está pensado para ayudar a priorizar a quién remitir a un examen confirmatorio, no para reemplazarlo.</w:t>
      </w:r>
    </w:p>
    <w:p w14:paraId="465F3DB0" w14:textId="77777777" w:rsidR="006911B9" w:rsidRPr="006911B9" w:rsidRDefault="006911B9" w:rsidP="006911B9">
      <w:pPr>
        <w:pBdr>
          <w:left w:val="single" w:sz="24" w:space="0" w:color="0C447C"/>
        </w:pBdr>
        <w:shd w:val="clear" w:color="auto" w:fill="EAF1F8"/>
        <w:spacing w:before="120" w:after="200"/>
        <w:ind w:left="12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Importante: el resultado que entrega el tablero es una estimación de un prototipo académico, no un diagnóstico médico. Ante un riesgo moderado o alto, la recomendación siempre es consultar a un profesional de la salud.</w:t>
      </w:r>
    </w:p>
    <w:p w14:paraId="39B1BEE6" w14:textId="7DAAE68F" w:rsidR="00C86A51" w:rsidRDefault="00000000" w:rsidP="006911B9">
      <w:pPr>
        <w:spacing w:after="140"/>
        <w:rPr>
          <w:rFonts w:ascii="Bahnschrift" w:hAnsi="Bahnschrift" w:cs="Arial"/>
          <w:b/>
          <w:bCs/>
          <w:sz w:val="31"/>
        </w:rPr>
      </w:pPr>
      <w:r w:rsidRPr="006911B9">
        <w:rPr>
          <w:rFonts w:ascii="Bahnschrift" w:hAnsi="Bahnschrift" w:cs="Arial"/>
          <w:b/>
          <w:bCs/>
          <w:sz w:val="31"/>
        </w:rPr>
        <w:t xml:space="preserve">2. </w:t>
      </w:r>
      <w:r w:rsidR="006911B9" w:rsidRPr="006911B9">
        <w:rPr>
          <w:rFonts w:ascii="Bahnschrift" w:hAnsi="Bahnschrift" w:cs="Arial"/>
          <w:b/>
          <w:bCs/>
          <w:sz w:val="31"/>
        </w:rPr>
        <w:t>Cómo acceder al tablero</w:t>
      </w:r>
    </w:p>
    <w:p w14:paraId="101DFF05" w14:textId="77777777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Abrir en el navegador la siguiente dirección (reemplazando por la IP pública vigente del servidor):</w:t>
      </w:r>
    </w:p>
    <w:p w14:paraId="69CD2F8A" w14:textId="77777777" w:rsidR="006911B9" w:rsidRPr="006911B9" w:rsidRDefault="006911B9" w:rsidP="006911B9">
      <w:pPr>
        <w:spacing w:after="140"/>
        <w:rPr>
          <w:rFonts w:ascii="Bahnschrift" w:hAnsi="Bahnschrift" w:cs="Arial"/>
          <w:b/>
          <w:bCs/>
          <w:szCs w:val="22"/>
        </w:rPr>
      </w:pPr>
      <w:r w:rsidRPr="006911B9">
        <w:rPr>
          <w:rFonts w:ascii="Bahnschrift" w:hAnsi="Bahnschrift" w:cs="Arial"/>
          <w:b/>
          <w:bCs/>
          <w:szCs w:val="22"/>
        </w:rPr>
        <w:t>http://&lt;IP-DEL-SERVIDOR&gt;:8501</w:t>
      </w:r>
    </w:p>
    <w:p w14:paraId="5D1F2D69" w14:textId="49E82EED" w:rsid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No se necesita usuario ni contraseña: el tablero es de acceso abierto dentro de la red donde esté publicado.</w:t>
      </w:r>
    </w:p>
    <w:p w14:paraId="65339BD6" w14:textId="5C2E9C52" w:rsidR="006911B9" w:rsidRDefault="006911B9" w:rsidP="006911B9">
      <w:pPr>
        <w:spacing w:after="140"/>
        <w:jc w:val="center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drawing>
          <wp:inline distT="0" distB="0" distL="0" distR="0" wp14:anchorId="032FD3C1" wp14:editId="6448D8DD">
            <wp:extent cx="5326966" cy="2743200"/>
            <wp:effectExtent l="0" t="0" r="7620" b="0"/>
            <wp:docPr id="1506554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571" cy="27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9C02" w14:textId="28B9E2E9" w:rsidR="006911B9" w:rsidRPr="006911B9" w:rsidRDefault="006911B9" w:rsidP="006911B9">
      <w:pPr>
        <w:spacing w:after="300"/>
        <w:jc w:val="center"/>
      </w:pPr>
      <w:r w:rsidRPr="00206AB8">
        <w:rPr>
          <w:rFonts w:ascii="Bahnschrift" w:hAnsi="Bahnschrift" w:cs="Arial"/>
          <w:szCs w:val="22"/>
        </w:rPr>
        <w:t xml:space="preserve">Figura </w:t>
      </w:r>
      <w:r>
        <w:rPr>
          <w:rFonts w:ascii="Bahnschrift" w:hAnsi="Bahnschrift" w:cs="Arial"/>
          <w:szCs w:val="22"/>
        </w:rPr>
        <w:t>1</w:t>
      </w:r>
      <w:r w:rsidRPr="00206AB8">
        <w:rPr>
          <w:rFonts w:ascii="Bahnschrift" w:hAnsi="Bahnschrift" w:cs="Arial"/>
          <w:szCs w:val="22"/>
        </w:rPr>
        <w:t xml:space="preserve">. </w:t>
      </w:r>
      <w:proofErr w:type="spellStart"/>
      <w:r>
        <w:rPr>
          <w:rFonts w:ascii="Bahnschrift" w:hAnsi="Bahnschrift" w:cs="Arial"/>
          <w:szCs w:val="22"/>
        </w:rPr>
        <w:t>Dashboard</w:t>
      </w:r>
      <w:proofErr w:type="spellEnd"/>
      <w:r>
        <w:rPr>
          <w:rFonts w:ascii="Bahnschrift" w:hAnsi="Bahnschrift" w:cs="Arial"/>
          <w:szCs w:val="22"/>
        </w:rPr>
        <w:t xml:space="preserve"> vista de inicio.</w:t>
      </w:r>
    </w:p>
    <w:p w14:paraId="49DE8716" w14:textId="47C9EDF0" w:rsidR="00C86A51" w:rsidRDefault="00300EB0" w:rsidP="00300EB0">
      <w:pPr>
        <w:pStyle w:val="Ttulo1"/>
        <w:spacing w:before="160" w:after="60"/>
        <w:rPr>
          <w:rFonts w:ascii="Bahnschrift" w:hAnsi="Bahnschrift" w:cs="Arial"/>
          <w:sz w:val="31"/>
        </w:rPr>
      </w:pPr>
      <w:r>
        <w:rPr>
          <w:rFonts w:ascii="Bahnschrift" w:hAnsi="Bahnschrift" w:cs="Arial"/>
          <w:sz w:val="31"/>
        </w:rPr>
        <w:t xml:space="preserve">3. </w:t>
      </w:r>
      <w:r w:rsidR="006911B9" w:rsidRPr="006911B9">
        <w:rPr>
          <w:rFonts w:ascii="Bahnschrift" w:hAnsi="Bahnschrift" w:cs="Arial"/>
          <w:sz w:val="31"/>
        </w:rPr>
        <w:t>Recorrido general de la interfaz</w:t>
      </w:r>
    </w:p>
    <w:p w14:paraId="23FB031A" w14:textId="7855016A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El tablero tiene un menú lateral con dos páginas — "Inicio" y "Detalle del modelamiento" — y, debajo del menú, información de contexto: la URL interna de la API, el nombre del modelo actualmente activo, y un enlace a la documentación interactiva de la API para quien quiera probarla directamente.</w:t>
      </w:r>
    </w:p>
    <w:p w14:paraId="7B3AD4C2" w14:textId="77777777" w:rsidR="006911B9" w:rsidRPr="006911B9" w:rsidRDefault="006911B9" w:rsidP="006911B9">
      <w:pPr>
        <w:pStyle w:val="Ttulo1"/>
        <w:spacing w:before="360" w:after="160"/>
        <w:rPr>
          <w:rFonts w:ascii="Bahnschrift" w:hAnsi="Bahnschrift" w:cs="Arial"/>
          <w:sz w:val="31"/>
        </w:rPr>
      </w:pPr>
      <w:r w:rsidRPr="006911B9">
        <w:rPr>
          <w:rFonts w:ascii="Bahnschrift" w:hAnsi="Bahnschrift" w:cs="Arial"/>
          <w:sz w:val="31"/>
        </w:rPr>
        <w:t>4. Página "Inicio": evaluación de riesgo</w:t>
      </w:r>
    </w:p>
    <w:p w14:paraId="1B0120A6" w14:textId="77777777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Esta es la página principal. Del lado izquierdo está el formulario de evaluación individual; del lado derecho, el contexto poblacional que ayuda a interpretar el resultado.</w:t>
      </w:r>
    </w:p>
    <w:p w14:paraId="154E31AF" w14:textId="77777777" w:rsidR="006911B9" w:rsidRPr="006911B9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6911B9">
        <w:rPr>
          <w:rFonts w:ascii="Bahnschrift" w:hAnsi="Bahnschrift"/>
        </w:rPr>
        <w:t>4.1 Completar el formulario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3816"/>
        <w:gridCol w:w="2809"/>
      </w:tblGrid>
      <w:tr w:rsidR="006911B9" w14:paraId="5F6D5E84" w14:textId="77777777" w:rsidTr="006911B9">
        <w:tblPrEx>
          <w:tblCellMar>
            <w:top w:w="0" w:type="dxa"/>
            <w:bottom w:w="0" w:type="dxa"/>
          </w:tblCellMar>
        </w:tblPrEx>
        <w:trPr>
          <w:trHeight w:val="253"/>
          <w:tblHeader/>
        </w:trPr>
        <w:tc>
          <w:tcPr>
            <w:tcW w:w="3286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4D4F2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lastRenderedPageBreak/>
              <w:t>Campo</w:t>
            </w:r>
          </w:p>
        </w:tc>
        <w:tc>
          <w:tcPr>
            <w:tcW w:w="3816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A47F7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Qué significa</w:t>
            </w:r>
          </w:p>
        </w:tc>
        <w:tc>
          <w:tcPr>
            <w:tcW w:w="2809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7B8E8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Cómo se responde</w:t>
            </w:r>
          </w:p>
        </w:tc>
      </w:tr>
      <w:tr w:rsidR="006911B9" w14:paraId="26AF4CC7" w14:textId="77777777" w:rsidTr="006911B9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DDAD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Edad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7E2A8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Rango de edad de la persona evaluada.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1255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Lista desplegable con rangos de 5 años (18-24 … 80+).</w:t>
            </w:r>
          </w:p>
        </w:tc>
      </w:tr>
      <w:tr w:rsidR="006911B9" w14:paraId="1B330A17" w14:textId="77777777" w:rsidTr="006911B9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1388C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Índice de masa corporal (IMC)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2CEC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Peso relativo a la estatura.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4051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Número con un decimal; se puede escribir o usar los botones +/-.</w:t>
            </w:r>
          </w:p>
        </w:tc>
      </w:tr>
      <w:tr w:rsidR="006911B9" w14:paraId="2CA212A0" w14:textId="77777777" w:rsidTr="006911B9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E3B6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Presión arterial alta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A6EF1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Diagnóstico previo de hipertensión.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0BBC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67A303B0" w14:textId="77777777" w:rsidTr="006911B9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14A1B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Colesterol alto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E0AD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Diagnóstico previo de colesterol alto.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11C7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5F142AFD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175A3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Salud general percibida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F456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Cómo califica la persona su propia salud.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6679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 xml:space="preserve">Deslizador de 5 niveles: Excelente </w:t>
            </w:r>
            <w:r w:rsidRPr="006911B9">
              <w:rPr>
                <w:rFonts w:ascii="Arial" w:hAnsi="Arial" w:cs="Arial"/>
                <w:szCs w:val="22"/>
              </w:rPr>
              <w:t>→</w:t>
            </w:r>
            <w:r w:rsidRPr="006911B9">
              <w:rPr>
                <w:rFonts w:ascii="Bahnschrift" w:hAnsi="Bahnschrift" w:cs="Arial"/>
                <w:szCs w:val="22"/>
              </w:rPr>
              <w:t xml:space="preserve"> Mala.</w:t>
            </w:r>
          </w:p>
        </w:tc>
      </w:tr>
      <w:tr w:rsidR="006911B9" w14:paraId="077612B7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20F7E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Actividad física en el último mes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179C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Si realizó alguna actividad física fuera del trabajo.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B9669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6696B628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89E6B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Dificultad seria para caminar o subir escaleras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4197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Limitación física relevante.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B2C13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189AB359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13E4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¿Ha fumado al menos 100 cigarrillos en su vida?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2F93A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Historial de tabaquismo.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01963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4439EEE8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F22A5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¿Ha tenido un accidente cerebrovascular?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0C817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Historial de ACV.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90462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21645950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F02CF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¿Enfermedad coronaria o infarto previo?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B8CE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Historial cardiovascular.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DAF8C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Sí / No.</w:t>
            </w:r>
          </w:p>
        </w:tc>
      </w:tr>
      <w:tr w:rsidR="006911B9" w14:paraId="684475FC" w14:textId="77777777" w:rsidTr="006911B9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2888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Nivel de ingresos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6B469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Nivel socioeconómico (1 = más bajo, 8 = más alto).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3F32A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Deslizador de 1 a 8.</w:t>
            </w:r>
          </w:p>
        </w:tc>
      </w:tr>
    </w:tbl>
    <w:p w14:paraId="256F3BAF" w14:textId="77777777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Al terminar de completar los campos, presionar el botón "Calcular riesgo".</w:t>
      </w:r>
    </w:p>
    <w:p w14:paraId="37517B12" w14:textId="77777777" w:rsidR="006911B9" w:rsidRPr="006911B9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6911B9">
        <w:rPr>
          <w:rFonts w:ascii="Bahnschrift" w:hAnsi="Bahnschrift"/>
        </w:rPr>
        <w:t>4.2 Interpretar el resultado</w:t>
      </w:r>
    </w:p>
    <w:p w14:paraId="4BEB3ADA" w14:textId="77777777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>El resultado aparece en la parte superior de la página, con un color y un ícono según el nivel de riesgo:</w:t>
      </w:r>
    </w:p>
    <w:tbl>
      <w:tblPr>
        <w:tblW w:w="9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2862"/>
        <w:gridCol w:w="2544"/>
        <w:gridCol w:w="2597"/>
      </w:tblGrid>
      <w:tr w:rsidR="006911B9" w14:paraId="67DF5575" w14:textId="77777777" w:rsidTr="006911B9">
        <w:tblPrEx>
          <w:tblCellMar>
            <w:top w:w="0" w:type="dxa"/>
            <w:bottom w:w="0" w:type="dxa"/>
          </w:tblCellMar>
        </w:tblPrEx>
        <w:trPr>
          <w:trHeight w:val="260"/>
          <w:tblHeader/>
        </w:trPr>
        <w:tc>
          <w:tcPr>
            <w:tcW w:w="1908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AAD1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Nivel</w:t>
            </w:r>
          </w:p>
        </w:tc>
        <w:tc>
          <w:tcPr>
            <w:tcW w:w="2862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EE3CD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Rango de probabilidad</w:t>
            </w:r>
          </w:p>
        </w:tc>
        <w:tc>
          <w:tcPr>
            <w:tcW w:w="2544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FB12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Color / ícono</w:t>
            </w:r>
          </w:p>
        </w:tc>
        <w:tc>
          <w:tcPr>
            <w:tcW w:w="2597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DEC4E" w14:textId="77777777" w:rsidR="006911B9" w:rsidRPr="006911B9" w:rsidRDefault="006911B9" w:rsidP="006911B9">
            <w:pPr>
              <w:jc w:val="center"/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Qué sugiere</w:t>
            </w:r>
          </w:p>
        </w:tc>
      </w:tr>
      <w:tr w:rsidR="006911B9" w14:paraId="3DF2B378" w14:textId="77777777" w:rsidTr="006911B9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E63A2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Bajo</w:t>
            </w:r>
          </w:p>
        </w:tc>
        <w:tc>
          <w:tcPr>
            <w:tcW w:w="28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140E6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menor a 20%</w:t>
            </w:r>
          </w:p>
        </w:tc>
        <w:tc>
          <w:tcPr>
            <w:tcW w:w="2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3ABEB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 xml:space="preserve">Verde — </w:t>
            </w:r>
            <w:r w:rsidRPr="006911B9">
              <w:rPr>
                <w:rFonts w:ascii="Segoe UI Emoji" w:hAnsi="Segoe UI Emoji" w:cs="Segoe UI Emoji"/>
                <w:szCs w:val="22"/>
              </w:rPr>
              <w:t>✅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73396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Perfil dentro del rango de menor riesgo estimado.</w:t>
            </w:r>
          </w:p>
        </w:tc>
      </w:tr>
      <w:tr w:rsidR="006911B9" w14:paraId="44866478" w14:textId="77777777" w:rsidTr="006911B9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BE25B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Moderado</w:t>
            </w:r>
          </w:p>
        </w:tc>
        <w:tc>
          <w:tcPr>
            <w:tcW w:w="28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775C7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20% a 45%</w:t>
            </w:r>
          </w:p>
        </w:tc>
        <w:tc>
          <w:tcPr>
            <w:tcW w:w="2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E4064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 xml:space="preserve">Amarillo — </w:t>
            </w:r>
            <w:r w:rsidRPr="006911B9">
              <w:rPr>
                <w:rFonts w:ascii="Segoe UI Emoji" w:hAnsi="Segoe UI Emoji" w:cs="Segoe UI Emoji"/>
                <w:szCs w:val="22"/>
              </w:rPr>
              <w:t>⚠️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901CA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Riesgo intermedio; vale la pena prestarle atención.</w:t>
            </w:r>
          </w:p>
        </w:tc>
      </w:tr>
      <w:tr w:rsidR="006911B9" w14:paraId="5233F86F" w14:textId="77777777" w:rsidTr="006911B9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9315F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Alto</w:t>
            </w:r>
          </w:p>
        </w:tc>
        <w:tc>
          <w:tcPr>
            <w:tcW w:w="28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80B4A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mayor a 45%</w:t>
            </w:r>
          </w:p>
        </w:tc>
        <w:tc>
          <w:tcPr>
            <w:tcW w:w="2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5E070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 xml:space="preserve">Naranja/rojo — </w:t>
            </w:r>
            <w:r w:rsidRPr="006911B9">
              <w:rPr>
                <w:rFonts w:ascii="Segoe UI Emoji" w:hAnsi="Segoe UI Emoji" w:cs="Segoe UI Emoji"/>
                <w:szCs w:val="22"/>
              </w:rPr>
              <w:t>🚨</w:t>
            </w:r>
          </w:p>
        </w:tc>
        <w:tc>
          <w:tcPr>
            <w:tcW w:w="25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F842" w14:textId="77777777" w:rsidR="006911B9" w:rsidRPr="006911B9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6911B9">
              <w:rPr>
                <w:rFonts w:ascii="Bahnschrift" w:hAnsi="Bahnschrift" w:cs="Arial"/>
                <w:szCs w:val="22"/>
              </w:rPr>
              <w:t>Perfil coincide con el patrón de mayor riesgo detectado por el modelo.</w:t>
            </w:r>
          </w:p>
        </w:tc>
      </w:tr>
    </w:tbl>
    <w:p w14:paraId="2ECE88ED" w14:textId="77777777" w:rsidR="006911B9" w:rsidRPr="006911B9" w:rsidRDefault="006911B9" w:rsidP="006911B9">
      <w:pPr>
        <w:spacing w:after="140"/>
        <w:rPr>
          <w:rFonts w:ascii="Bahnschrift" w:hAnsi="Bahnschrift" w:cs="Arial"/>
          <w:szCs w:val="22"/>
        </w:rPr>
      </w:pPr>
      <w:r w:rsidRPr="006911B9">
        <w:rPr>
          <w:rFonts w:ascii="Bahnschrift" w:hAnsi="Bahnschrift" w:cs="Arial"/>
          <w:szCs w:val="22"/>
        </w:rPr>
        <w:t xml:space="preserve">Debajo del resultado, una barra de progreso visualiza el porcentaje, y un texto compara ese porcentaje contra el promedio de la población analizada (13.9% con diabetes/prediabetes en el </w:t>
      </w:r>
      <w:proofErr w:type="spellStart"/>
      <w:r w:rsidRPr="006911B9">
        <w:rPr>
          <w:rFonts w:ascii="Bahnschrift" w:hAnsi="Bahnschrift" w:cs="Arial"/>
          <w:szCs w:val="22"/>
        </w:rPr>
        <w:t>dataset</w:t>
      </w:r>
      <w:proofErr w:type="spellEnd"/>
      <w:r w:rsidRPr="006911B9">
        <w:rPr>
          <w:rFonts w:ascii="Bahnschrift" w:hAnsi="Bahnschrift" w:cs="Arial"/>
          <w:szCs w:val="22"/>
        </w:rPr>
        <w:t xml:space="preserve"> usado).</w:t>
      </w:r>
    </w:p>
    <w:p w14:paraId="4467B454" w14:textId="77777777" w:rsidR="006911B9" w:rsidRDefault="006911B9" w:rsidP="006911B9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0BA9B12" wp14:editId="21DBEE56">
            <wp:extent cx="5334000" cy="2371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D840" w14:textId="0CF831E6" w:rsidR="006911B9" w:rsidRPr="00182724" w:rsidRDefault="006911B9" w:rsidP="006911B9">
      <w:pPr>
        <w:spacing w:after="300"/>
        <w:jc w:val="center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 xml:space="preserve">Figura </w:t>
      </w:r>
      <w:r w:rsidR="00182724" w:rsidRPr="00182724">
        <w:rPr>
          <w:rFonts w:ascii="Bahnschrift" w:hAnsi="Bahnschrift" w:cs="Arial"/>
          <w:szCs w:val="22"/>
        </w:rPr>
        <w:t>2</w:t>
      </w:r>
      <w:r w:rsidRPr="00182724">
        <w:rPr>
          <w:rFonts w:ascii="Bahnschrift" w:hAnsi="Bahnschrift" w:cs="Arial"/>
          <w:szCs w:val="22"/>
        </w:rPr>
        <w:t>. Ejemplo de un resultado de "Riesgo Bajo" (12.4%).</w:t>
      </w:r>
    </w:p>
    <w:p w14:paraId="4BDDF201" w14:textId="77777777" w:rsidR="006911B9" w:rsidRPr="00182724" w:rsidRDefault="006911B9" w:rsidP="006911B9">
      <w:pPr>
        <w:spacing w:before="160" w:after="40"/>
        <w:jc w:val="center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drawing>
          <wp:inline distT="0" distB="0" distL="0" distR="0" wp14:anchorId="0D532932" wp14:editId="4A600F5F">
            <wp:extent cx="5334000" cy="2476500"/>
            <wp:effectExtent l="0" t="0" r="0" b="0"/>
            <wp:docPr id="573914349" name="Imagen 57391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F9A4" w14:textId="78A91987" w:rsidR="006911B9" w:rsidRPr="00182724" w:rsidRDefault="006911B9" w:rsidP="006911B9">
      <w:pPr>
        <w:spacing w:after="300"/>
        <w:jc w:val="center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 xml:space="preserve">Figura </w:t>
      </w:r>
      <w:r w:rsidR="00182724" w:rsidRPr="00182724">
        <w:rPr>
          <w:rFonts w:ascii="Bahnschrift" w:hAnsi="Bahnschrift" w:cs="Arial"/>
          <w:szCs w:val="22"/>
        </w:rPr>
        <w:t>3</w:t>
      </w:r>
      <w:r w:rsidRPr="00182724">
        <w:rPr>
          <w:rFonts w:ascii="Bahnschrift" w:hAnsi="Bahnschrift" w:cs="Arial"/>
          <w:szCs w:val="22"/>
        </w:rPr>
        <w:t>. Ejemplo de un resultado de "Riesgo Alto" (68.9%), con varios factores de riesgo marcados.</w:t>
      </w:r>
    </w:p>
    <w:p w14:paraId="5A0AC3EC" w14:textId="77777777" w:rsidR="006911B9" w:rsidRPr="00182724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182724">
        <w:rPr>
          <w:rFonts w:ascii="Bahnschrift" w:hAnsi="Bahnschrift"/>
        </w:rPr>
        <w:t>4.3 Panel derecho: perfil frente a la población</w:t>
      </w:r>
    </w:p>
    <w:p w14:paraId="6A0B092D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Del lado derecho se muestran tres indicadores generales — registros analizados, prevalencia general de diabetes/prediabetes en la población, y el nombre del modelo activo — seguidos de dos gráficas que se actualizan con los valores que la persona ingresó en el formulario:</w:t>
      </w:r>
    </w:p>
    <w:p w14:paraId="446BF863" w14:textId="77777777" w:rsidR="006911B9" w:rsidRPr="00182724" w:rsidRDefault="006911B9" w:rsidP="006911B9">
      <w:pPr>
        <w:pStyle w:val="Prrafodelista"/>
        <w:numPr>
          <w:ilvl w:val="0"/>
          <w:numId w:val="12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Prevalencia por rango de IMC: agrupa a toda la población en 6 rangos de IMC y resalta en naranja el rango donde cae el IMC ingresado en el formulario.</w:t>
      </w:r>
    </w:p>
    <w:p w14:paraId="7D24BD29" w14:textId="77777777" w:rsidR="006911B9" w:rsidRPr="00182724" w:rsidRDefault="006911B9" w:rsidP="006911B9">
      <w:pPr>
        <w:pStyle w:val="Prrafodelista"/>
        <w:numPr>
          <w:ilvl w:val="0"/>
          <w:numId w:val="12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Prevalencia por grupo de edad: muestra cómo aumenta la prevalencia con la edad, y marca con un punto naranja el grupo de edad seleccionado.</w:t>
      </w:r>
    </w:p>
    <w:p w14:paraId="0579CDE0" w14:textId="77777777" w:rsidR="006911B9" w:rsidRPr="00182724" w:rsidRDefault="006911B9" w:rsidP="006911B9">
      <w:pPr>
        <w:pBdr>
          <w:left w:val="single" w:sz="24" w:space="0" w:color="0C447C"/>
        </w:pBdr>
        <w:shd w:val="clear" w:color="auto" w:fill="EAF1F8"/>
        <w:spacing w:before="120" w:after="200"/>
        <w:ind w:left="12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Estas dos gráficas son independientes entre sí: la barra resaltada en la de IMC no tiene que coincidir con el punto resaltado en la de edad, porque cada una agrupa la población por una variable distinta.</w:t>
      </w:r>
    </w:p>
    <w:p w14:paraId="2CDBC725" w14:textId="77777777" w:rsidR="006911B9" w:rsidRPr="00182724" w:rsidRDefault="006911B9" w:rsidP="006911B9">
      <w:pPr>
        <w:pStyle w:val="Ttulo1"/>
        <w:spacing w:before="360" w:after="160"/>
        <w:rPr>
          <w:rFonts w:ascii="Bahnschrift" w:hAnsi="Bahnschrift"/>
        </w:rPr>
      </w:pPr>
      <w:r w:rsidRPr="00182724">
        <w:rPr>
          <w:rFonts w:ascii="Bahnschrift" w:hAnsi="Bahnschrift"/>
        </w:rPr>
        <w:t>5. Página "Detalle del modelamiento"</w:t>
      </w:r>
    </w:p>
    <w:p w14:paraId="067395D6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lastRenderedPageBreak/>
        <w:t>Esta página explica, en lenguaje sencillo, cómo se construyó y evaluó el modelo que hace las predicciones. Toda la información se trae en vivo desde la API (no está escrita a mano en el tablero), así que siempre refleja el modelo que está activo en ese momento.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50"/>
        <w:gridCol w:w="2900"/>
      </w:tblGrid>
      <w:tr w:rsidR="006911B9" w14:paraId="39EB3839" w14:textId="77777777" w:rsidTr="001827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7D97C" w14:textId="77777777" w:rsidR="006911B9" w:rsidRPr="00182724" w:rsidRDefault="006911B9" w:rsidP="00182724">
            <w:pPr>
              <w:jc w:val="center"/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Sección de la página</w:t>
            </w:r>
          </w:p>
        </w:tc>
        <w:tc>
          <w:tcPr>
            <w:tcW w:w="3850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1A01" w14:textId="77777777" w:rsidR="006911B9" w:rsidRPr="00182724" w:rsidRDefault="006911B9" w:rsidP="00182724">
            <w:pPr>
              <w:jc w:val="center"/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Qué muestra</w:t>
            </w:r>
          </w:p>
        </w:tc>
        <w:tc>
          <w:tcPr>
            <w:tcW w:w="2900" w:type="dxa"/>
            <w:shd w:val="clear" w:color="auto" w:fill="222A35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5556D" w14:textId="77777777" w:rsidR="006911B9" w:rsidRPr="00182724" w:rsidRDefault="006911B9" w:rsidP="00182724">
            <w:pPr>
              <w:jc w:val="center"/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Para qué sirve</w:t>
            </w:r>
          </w:p>
        </w:tc>
      </w:tr>
      <w:tr w:rsidR="006911B9" w14:paraId="0911237B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8C5D7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¿Cómo se entrenó el modelo?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A8880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 xml:space="preserve">Resumen de los 5 modelos probados y por qué se eligió el ganador (mayor </w:t>
            </w:r>
            <w:proofErr w:type="spellStart"/>
            <w:r w:rsidRPr="00182724">
              <w:rPr>
                <w:rFonts w:ascii="Bahnschrift" w:hAnsi="Bahnschrift" w:cs="Arial"/>
                <w:szCs w:val="22"/>
              </w:rPr>
              <w:t>recall</w:t>
            </w:r>
            <w:proofErr w:type="spellEnd"/>
            <w:r w:rsidRPr="00182724">
              <w:rPr>
                <w:rFonts w:ascii="Bahnschrift" w:hAnsi="Bahnschrift" w:cs="Arial"/>
                <w:szCs w:val="22"/>
              </w:rPr>
              <w:t>).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3D3E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Entender en una frase por qué el tablero prioriza detectar más casos reales, aunque genere más falsos positivos.</w:t>
            </w:r>
          </w:p>
        </w:tc>
      </w:tr>
      <w:tr w:rsidR="006911B9" w14:paraId="16845B2D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AE2BF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Comparación de los 5 modelos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9BB02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 xml:space="preserve">Tabla y gráfico de barras con </w:t>
            </w:r>
            <w:proofErr w:type="spellStart"/>
            <w:r w:rsidRPr="00182724">
              <w:rPr>
                <w:rFonts w:ascii="Bahnschrift" w:hAnsi="Bahnschrift" w:cs="Arial"/>
                <w:szCs w:val="22"/>
              </w:rPr>
              <w:t>accuracy</w:t>
            </w:r>
            <w:proofErr w:type="spellEnd"/>
            <w:r w:rsidRPr="00182724">
              <w:rPr>
                <w:rFonts w:ascii="Bahnschrift" w:hAnsi="Bahnschrift" w:cs="Arial"/>
                <w:szCs w:val="22"/>
              </w:rPr>
              <w:t xml:space="preserve">, </w:t>
            </w:r>
            <w:proofErr w:type="spellStart"/>
            <w:r w:rsidRPr="00182724">
              <w:rPr>
                <w:rFonts w:ascii="Bahnschrift" w:hAnsi="Bahnschrift" w:cs="Arial"/>
                <w:szCs w:val="22"/>
              </w:rPr>
              <w:t>precision</w:t>
            </w:r>
            <w:proofErr w:type="spellEnd"/>
            <w:r w:rsidRPr="00182724">
              <w:rPr>
                <w:rFonts w:ascii="Bahnschrift" w:hAnsi="Bahnschrift" w:cs="Arial"/>
                <w:szCs w:val="22"/>
              </w:rPr>
              <w:t xml:space="preserve">, </w:t>
            </w:r>
            <w:proofErr w:type="spellStart"/>
            <w:r w:rsidRPr="00182724">
              <w:rPr>
                <w:rFonts w:ascii="Bahnschrift" w:hAnsi="Bahnschrift" w:cs="Arial"/>
                <w:szCs w:val="22"/>
              </w:rPr>
              <w:t>recall</w:t>
            </w:r>
            <w:proofErr w:type="spellEnd"/>
            <w:r w:rsidRPr="00182724">
              <w:rPr>
                <w:rFonts w:ascii="Bahnschrift" w:hAnsi="Bahnschrift" w:cs="Arial"/>
                <w:szCs w:val="22"/>
              </w:rPr>
              <w:t>, F1, F2, ROC-AUC y PR-AUC de cada modelo.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84538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Comparar alternativas y confirmar por qué el modelo activo es el más adecuado para tamizaje.</w:t>
            </w:r>
          </w:p>
        </w:tc>
      </w:tr>
      <w:tr w:rsidR="006911B9" w14:paraId="4B6D880D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7B20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Matriz de confusión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27A28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Aciertos y errores del modelo ganador sobre el conjunto de prueba, con una explicación de qué es un falso negativo.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50A01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Dimensionar cuántos casos reales detecta el modelo y cuántos deja pasar.</w:t>
            </w:r>
          </w:p>
        </w:tc>
      </w:tr>
      <w:tr w:rsidR="006911B9" w14:paraId="08530B60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43B3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proofErr w:type="spellStart"/>
            <w:r w:rsidRPr="00182724">
              <w:rPr>
                <w:rFonts w:ascii="Bahnschrift" w:hAnsi="Bahnschrift" w:cs="Arial"/>
                <w:szCs w:val="22"/>
              </w:rPr>
              <w:t>Hiperparámetros</w:t>
            </w:r>
            <w:proofErr w:type="spellEnd"/>
            <w:r w:rsidRPr="00182724">
              <w:rPr>
                <w:rFonts w:ascii="Bahnschrift" w:hAnsi="Bahnschrift" w:cs="Arial"/>
                <w:szCs w:val="22"/>
              </w:rPr>
              <w:t xml:space="preserve"> del modelo ganador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6EFDD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Tabla con los parámetros del modelo (número de árboles, profundidad máxima, etc.) y una breve descripción de cada uno.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CAFDA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Transparencia sobre cómo está configurado el modelo activo.</w:t>
            </w:r>
          </w:p>
        </w:tc>
      </w:tr>
      <w:tr w:rsidR="006911B9" w14:paraId="58485FAF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818CB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Importancia de variables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C296C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Gráfico de barras con el peso de cada variable en la predicción, según el propio modelo.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C981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Saber qué variables influyen más en el resultado (salud general, presión arterial e IMC, en este caso).</w:t>
            </w:r>
          </w:p>
        </w:tc>
      </w:tr>
      <w:tr w:rsidR="006911B9" w14:paraId="2A002666" w14:textId="77777777" w:rsidTr="001520F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BA64C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Exploración de los datos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96C3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Correlación de cada variable original con el diagnóstico de diabetes, resaltando las que finalmente se usaron.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9911" w14:textId="77777777" w:rsidR="006911B9" w:rsidRPr="00182724" w:rsidRDefault="006911B9" w:rsidP="001520F0">
            <w:pPr>
              <w:rPr>
                <w:rFonts w:ascii="Bahnschrift" w:hAnsi="Bahnschrift" w:cs="Arial"/>
                <w:szCs w:val="22"/>
              </w:rPr>
            </w:pPr>
            <w:r w:rsidRPr="00182724">
              <w:rPr>
                <w:rFonts w:ascii="Bahnschrift" w:hAnsi="Bahnschrift" w:cs="Arial"/>
                <w:szCs w:val="22"/>
              </w:rPr>
              <w:t>Justificar por qué se eligieron esas 11 variables para el formulario.</w:t>
            </w:r>
          </w:p>
        </w:tc>
      </w:tr>
    </w:tbl>
    <w:p w14:paraId="62CDEF65" w14:textId="77777777" w:rsidR="006911B9" w:rsidRPr="00182724" w:rsidRDefault="006911B9" w:rsidP="006911B9">
      <w:pPr>
        <w:pStyle w:val="Ttulo1"/>
        <w:spacing w:before="360" w:after="160"/>
        <w:rPr>
          <w:rFonts w:ascii="Bahnschrift" w:hAnsi="Bahnschrift"/>
        </w:rPr>
      </w:pPr>
      <w:r w:rsidRPr="00182724">
        <w:rPr>
          <w:rFonts w:ascii="Bahnschrift" w:hAnsi="Bahnschrift"/>
        </w:rPr>
        <w:t>6. Buen uso y limitaciones</w:t>
      </w:r>
    </w:p>
    <w:p w14:paraId="1165D574" w14:textId="77777777" w:rsidR="006911B9" w:rsidRPr="00182724" w:rsidRDefault="006911B9" w:rsidP="00182724">
      <w:pPr>
        <w:pStyle w:val="Prrafodelista"/>
        <w:numPr>
          <w:ilvl w:val="0"/>
          <w:numId w:val="13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El resultado es una estimación estadística, no un diagnóstico. No reemplaza una consulta médica ni exámenes de laboratorio.</w:t>
      </w:r>
    </w:p>
    <w:p w14:paraId="0ABA7BDD" w14:textId="77777777" w:rsidR="006911B9" w:rsidRPr="00182724" w:rsidRDefault="006911B9" w:rsidP="00182724">
      <w:pPr>
        <w:pStyle w:val="Prrafodelista"/>
        <w:numPr>
          <w:ilvl w:val="0"/>
          <w:numId w:val="13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El modelo fue entrenado con datos de la encuesta BRFSS 2015 (Estados Unidos); su desempeño puede variar en otras poblaciones.</w:t>
      </w:r>
    </w:p>
    <w:p w14:paraId="2F2E9405" w14:textId="77777777" w:rsidR="006911B9" w:rsidRPr="00182724" w:rsidRDefault="006911B9" w:rsidP="00182724">
      <w:pPr>
        <w:pStyle w:val="Prrafodelista"/>
        <w:numPr>
          <w:ilvl w:val="0"/>
          <w:numId w:val="13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Ante un resultado de riesgo moderado o alto, la recomendación del propio tablero es consultar a un profesional de la salud.</w:t>
      </w:r>
    </w:p>
    <w:p w14:paraId="28F14947" w14:textId="77777777" w:rsidR="006911B9" w:rsidRPr="00182724" w:rsidRDefault="006911B9" w:rsidP="00182724">
      <w:pPr>
        <w:pStyle w:val="Prrafodelista"/>
        <w:numPr>
          <w:ilvl w:val="0"/>
          <w:numId w:val="13"/>
        </w:numPr>
        <w:spacing w:after="6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Los datos ingresados en el formulario no se guardan ni se envían a ningún lado fuera de la evaluación: cada cálculo es independiente y no queda historial.</w:t>
      </w:r>
    </w:p>
    <w:p w14:paraId="4B94EAE1" w14:textId="77777777" w:rsidR="006911B9" w:rsidRPr="00182724" w:rsidRDefault="006911B9" w:rsidP="006911B9">
      <w:pPr>
        <w:pStyle w:val="Ttulo1"/>
        <w:spacing w:before="360" w:after="160"/>
        <w:rPr>
          <w:rFonts w:ascii="Bahnschrift" w:hAnsi="Bahnschrift"/>
        </w:rPr>
      </w:pPr>
      <w:r w:rsidRPr="00182724">
        <w:rPr>
          <w:rFonts w:ascii="Bahnschrift" w:hAnsi="Bahnschrift"/>
        </w:rPr>
        <w:t>7. Preguntas frecuentes</w:t>
      </w:r>
    </w:p>
    <w:p w14:paraId="2B039B85" w14:textId="77777777" w:rsidR="006911B9" w:rsidRPr="00182724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182724">
        <w:rPr>
          <w:rFonts w:ascii="Bahnschrift" w:hAnsi="Bahnschrift"/>
        </w:rPr>
        <w:t>¿Por qué cambia el resultado si solo modifico un campo?</w:t>
      </w:r>
    </w:p>
    <w:p w14:paraId="447218BB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Cada vez que se presiona "Calcular riesgo", el tablero envía todos los valores del formulario a la API y recalcula la probabilidad desde cero; no hay memoria de cálculos anteriores.</w:t>
      </w:r>
    </w:p>
    <w:p w14:paraId="682B887C" w14:textId="77777777" w:rsidR="006911B9" w:rsidRPr="00182724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182724">
        <w:rPr>
          <w:rFonts w:ascii="Bahnschrift" w:hAnsi="Bahnschrift"/>
        </w:rPr>
        <w:lastRenderedPageBreak/>
        <w:t>¿Qué significa exactamente el porcentaje que aparece?</w:t>
      </w:r>
    </w:p>
    <w:p w14:paraId="691FF2FB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Es la probabilidad que el modelo asigna a que la persona tenga diabetes o prediabetes, según los patrones aprendidos de la población de referencia (BRFSS 2015), no una medición clínica directa.</w:t>
      </w:r>
    </w:p>
    <w:p w14:paraId="09B983A5" w14:textId="77777777" w:rsidR="006911B9" w:rsidRPr="00182724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182724">
        <w:rPr>
          <w:rFonts w:ascii="Bahnschrift" w:hAnsi="Bahnschrift"/>
        </w:rPr>
        <w:t>¿Puedo confiar en el porcentaje exacto (por ejemplo, 35% en vez de 30%)?</w:t>
      </w:r>
    </w:p>
    <w:p w14:paraId="2CFBF91B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El valor exacto debe tomarse con cautela: el modelo no garantiza que ese número refleje una frecuencia real observada. Lo más confiable es el nivel general (bajo / moderado / alto), no el decimal preciso.</w:t>
      </w:r>
    </w:p>
    <w:p w14:paraId="59904212" w14:textId="77777777" w:rsidR="006911B9" w:rsidRPr="00182724" w:rsidRDefault="006911B9" w:rsidP="006911B9">
      <w:pPr>
        <w:pStyle w:val="Ttulo2"/>
        <w:spacing w:before="260" w:after="120"/>
        <w:rPr>
          <w:rFonts w:ascii="Bahnschrift" w:hAnsi="Bahnschrift"/>
        </w:rPr>
      </w:pPr>
      <w:r w:rsidRPr="00182724">
        <w:rPr>
          <w:rFonts w:ascii="Bahnschrift" w:hAnsi="Bahnschrift"/>
        </w:rPr>
        <w:t>¿Qué pasa si la API no está disponible?</w:t>
      </w:r>
    </w:p>
    <w:p w14:paraId="0E438E66" w14:textId="77777777" w:rsidR="006911B9" w:rsidRPr="00182724" w:rsidRDefault="006911B9" w:rsidP="006911B9">
      <w:pPr>
        <w:spacing w:after="140"/>
        <w:rPr>
          <w:rFonts w:ascii="Bahnschrift" w:hAnsi="Bahnschrift" w:cs="Arial"/>
          <w:szCs w:val="22"/>
        </w:rPr>
      </w:pPr>
      <w:r w:rsidRPr="00182724">
        <w:rPr>
          <w:rFonts w:ascii="Bahnschrift" w:hAnsi="Bahnschrift" w:cs="Arial"/>
          <w:szCs w:val="22"/>
        </w:rPr>
        <w:t>El tablero muestra un mensaje de error indicando que no pudo conectarse a la API, y no permite calcular el riesgo hasta que el servicio esté disponible nuevamente.</w:t>
      </w:r>
    </w:p>
    <w:p w14:paraId="73D5950D" w14:textId="08B0A1C6" w:rsidR="00C86A51" w:rsidRPr="006911B9" w:rsidRDefault="00C86A51" w:rsidP="006911B9">
      <w:pPr>
        <w:pStyle w:val="Ttulo1"/>
        <w:rPr>
          <w:rFonts w:ascii="Bahnschrift" w:hAnsi="Bahnschrift" w:cs="Arial"/>
          <w:sz w:val="31"/>
        </w:rPr>
      </w:pPr>
    </w:p>
    <w:sectPr w:rsidR="00C86A51" w:rsidRPr="006911B9" w:rsidSect="00BC23A7">
      <w:headerReference w:type="default" r:id="rId12"/>
      <w:pgSz w:w="12240" w:h="15840"/>
      <w:pgMar w:top="835" w:right="1008" w:bottom="835" w:left="100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1017" w14:textId="77777777" w:rsidR="003C3FF7" w:rsidRDefault="003C3FF7" w:rsidP="00BC23A7">
      <w:r>
        <w:separator/>
      </w:r>
    </w:p>
  </w:endnote>
  <w:endnote w:type="continuationSeparator" w:id="0">
    <w:p w14:paraId="75750FE6" w14:textId="77777777" w:rsidR="003C3FF7" w:rsidRDefault="003C3FF7" w:rsidP="00BC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624E7" w14:textId="77777777" w:rsidR="003C3FF7" w:rsidRDefault="003C3FF7" w:rsidP="00BC23A7">
      <w:r>
        <w:separator/>
      </w:r>
    </w:p>
  </w:footnote>
  <w:footnote w:type="continuationSeparator" w:id="0">
    <w:p w14:paraId="57AC3160" w14:textId="77777777" w:rsidR="003C3FF7" w:rsidRDefault="003C3FF7" w:rsidP="00BC2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FD06" w14:textId="52CF9E66" w:rsidR="00BC23A7" w:rsidRDefault="00BC23A7">
    <w:pPr>
      <w:pStyle w:val="Encabezado"/>
    </w:pPr>
    <w:r>
      <w:rPr>
        <w:noProof/>
      </w:rPr>
      <w:drawing>
        <wp:inline distT="0" distB="0" distL="0" distR="0" wp14:anchorId="4A544853" wp14:editId="487F9E00">
          <wp:extent cx="1830740" cy="679450"/>
          <wp:effectExtent l="0" t="0" r="0" b="0"/>
          <wp:docPr id="74510143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101432" name="Imagen 7451014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58" b="30928"/>
                  <a:stretch>
                    <a:fillRect/>
                  </a:stretch>
                </pic:blipFill>
                <pic:spPr bwMode="auto">
                  <a:xfrm>
                    <a:off x="0" y="0"/>
                    <a:ext cx="1835165" cy="6810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</w:t>
    </w:r>
    <w:r>
      <w:tab/>
    </w:r>
    <w:r>
      <w:tab/>
      <w:t xml:space="preserve">     </w:t>
    </w:r>
    <w:r>
      <w:rPr>
        <w:noProof/>
      </w:rPr>
      <w:drawing>
        <wp:inline distT="0" distB="0" distL="0" distR="0" wp14:anchorId="56B82D71" wp14:editId="6E88F924">
          <wp:extent cx="971550" cy="645689"/>
          <wp:effectExtent l="0" t="0" r="0" b="2540"/>
          <wp:docPr id="186835109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913" cy="657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F58"/>
    <w:multiLevelType w:val="hybridMultilevel"/>
    <w:tmpl w:val="0BCE50A8"/>
    <w:lvl w:ilvl="0" w:tplc="C3A64C9C">
      <w:start w:val="1"/>
      <w:numFmt w:val="bullet"/>
      <w:lvlText w:val="•"/>
      <w:lvlJc w:val="left"/>
      <w:pPr>
        <w:ind w:left="420" w:hanging="260"/>
      </w:pPr>
    </w:lvl>
    <w:lvl w:ilvl="1" w:tplc="4EA8E996">
      <w:start w:val="1"/>
      <w:numFmt w:val="bullet"/>
      <w:lvlText w:val="◦"/>
      <w:lvlJc w:val="left"/>
      <w:pPr>
        <w:ind w:left="820" w:hanging="260"/>
      </w:pPr>
    </w:lvl>
    <w:lvl w:ilvl="2" w:tplc="B14E974C">
      <w:numFmt w:val="decimal"/>
      <w:lvlText w:val=""/>
      <w:lvlJc w:val="left"/>
    </w:lvl>
    <w:lvl w:ilvl="3" w:tplc="E0B2B6B8">
      <w:numFmt w:val="decimal"/>
      <w:lvlText w:val=""/>
      <w:lvlJc w:val="left"/>
    </w:lvl>
    <w:lvl w:ilvl="4" w:tplc="2DB0192C">
      <w:numFmt w:val="decimal"/>
      <w:lvlText w:val=""/>
      <w:lvlJc w:val="left"/>
    </w:lvl>
    <w:lvl w:ilvl="5" w:tplc="31E8E7C0">
      <w:numFmt w:val="decimal"/>
      <w:lvlText w:val=""/>
      <w:lvlJc w:val="left"/>
    </w:lvl>
    <w:lvl w:ilvl="6" w:tplc="4BF45F1A">
      <w:numFmt w:val="decimal"/>
      <w:lvlText w:val=""/>
      <w:lvlJc w:val="left"/>
    </w:lvl>
    <w:lvl w:ilvl="7" w:tplc="FE3E4ED8">
      <w:numFmt w:val="decimal"/>
      <w:lvlText w:val=""/>
      <w:lvlJc w:val="left"/>
    </w:lvl>
    <w:lvl w:ilvl="8" w:tplc="20CCB03C">
      <w:numFmt w:val="decimal"/>
      <w:lvlText w:val=""/>
      <w:lvlJc w:val="left"/>
    </w:lvl>
  </w:abstractNum>
  <w:abstractNum w:abstractNumId="1" w15:restartNumberingAfterBreak="0">
    <w:nsid w:val="0918151B"/>
    <w:multiLevelType w:val="multilevel"/>
    <w:tmpl w:val="B6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4AA5"/>
    <w:multiLevelType w:val="hybridMultilevel"/>
    <w:tmpl w:val="CBECB6A0"/>
    <w:lvl w:ilvl="0" w:tplc="C152EA68">
      <w:start w:val="1"/>
      <w:numFmt w:val="bullet"/>
      <w:lvlText w:val="•"/>
      <w:lvlJc w:val="left"/>
      <w:pPr>
        <w:ind w:left="420" w:hanging="260"/>
      </w:pPr>
    </w:lvl>
    <w:lvl w:ilvl="1" w:tplc="5498D826">
      <w:numFmt w:val="decimal"/>
      <w:lvlText w:val=""/>
      <w:lvlJc w:val="left"/>
    </w:lvl>
    <w:lvl w:ilvl="2" w:tplc="C55E330E">
      <w:numFmt w:val="decimal"/>
      <w:lvlText w:val=""/>
      <w:lvlJc w:val="left"/>
    </w:lvl>
    <w:lvl w:ilvl="3" w:tplc="EDBCECAA">
      <w:numFmt w:val="decimal"/>
      <w:lvlText w:val=""/>
      <w:lvlJc w:val="left"/>
    </w:lvl>
    <w:lvl w:ilvl="4" w:tplc="E1FE6164">
      <w:numFmt w:val="decimal"/>
      <w:lvlText w:val=""/>
      <w:lvlJc w:val="left"/>
    </w:lvl>
    <w:lvl w:ilvl="5" w:tplc="BA12CBAE">
      <w:numFmt w:val="decimal"/>
      <w:lvlText w:val=""/>
      <w:lvlJc w:val="left"/>
    </w:lvl>
    <w:lvl w:ilvl="6" w:tplc="4BDCCA86">
      <w:numFmt w:val="decimal"/>
      <w:lvlText w:val=""/>
      <w:lvlJc w:val="left"/>
    </w:lvl>
    <w:lvl w:ilvl="7" w:tplc="23FE3E22">
      <w:numFmt w:val="decimal"/>
      <w:lvlText w:val=""/>
      <w:lvlJc w:val="left"/>
    </w:lvl>
    <w:lvl w:ilvl="8" w:tplc="1CD6A0AC">
      <w:numFmt w:val="decimal"/>
      <w:lvlText w:val=""/>
      <w:lvlJc w:val="left"/>
    </w:lvl>
  </w:abstractNum>
  <w:abstractNum w:abstractNumId="3" w15:restartNumberingAfterBreak="0">
    <w:nsid w:val="10A7134A"/>
    <w:multiLevelType w:val="hybridMultilevel"/>
    <w:tmpl w:val="65C47F32"/>
    <w:lvl w:ilvl="0" w:tplc="0AC0EB14">
      <w:start w:val="1"/>
      <w:numFmt w:val="bullet"/>
      <w:lvlText w:val="●"/>
      <w:lvlJc w:val="left"/>
      <w:pPr>
        <w:ind w:left="720" w:hanging="360"/>
      </w:pPr>
    </w:lvl>
    <w:lvl w:ilvl="1" w:tplc="02F266C4">
      <w:start w:val="1"/>
      <w:numFmt w:val="bullet"/>
      <w:lvlText w:val="○"/>
      <w:lvlJc w:val="left"/>
      <w:pPr>
        <w:ind w:left="1440" w:hanging="360"/>
      </w:pPr>
    </w:lvl>
    <w:lvl w:ilvl="2" w:tplc="0B90FF42">
      <w:start w:val="1"/>
      <w:numFmt w:val="bullet"/>
      <w:lvlText w:val="■"/>
      <w:lvlJc w:val="left"/>
      <w:pPr>
        <w:ind w:left="2160" w:hanging="360"/>
      </w:pPr>
    </w:lvl>
    <w:lvl w:ilvl="3" w:tplc="1660C586">
      <w:start w:val="1"/>
      <w:numFmt w:val="bullet"/>
      <w:lvlText w:val="●"/>
      <w:lvlJc w:val="left"/>
      <w:pPr>
        <w:ind w:left="2880" w:hanging="360"/>
      </w:pPr>
    </w:lvl>
    <w:lvl w:ilvl="4" w:tplc="45682A1C">
      <w:start w:val="1"/>
      <w:numFmt w:val="bullet"/>
      <w:lvlText w:val="○"/>
      <w:lvlJc w:val="left"/>
      <w:pPr>
        <w:ind w:left="3600" w:hanging="360"/>
      </w:pPr>
    </w:lvl>
    <w:lvl w:ilvl="5" w:tplc="C0D09FA2">
      <w:start w:val="1"/>
      <w:numFmt w:val="bullet"/>
      <w:lvlText w:val="■"/>
      <w:lvlJc w:val="left"/>
      <w:pPr>
        <w:ind w:left="4320" w:hanging="360"/>
      </w:pPr>
    </w:lvl>
    <w:lvl w:ilvl="6" w:tplc="8594F5EC">
      <w:start w:val="1"/>
      <w:numFmt w:val="bullet"/>
      <w:lvlText w:val="●"/>
      <w:lvlJc w:val="left"/>
      <w:pPr>
        <w:ind w:left="5040" w:hanging="360"/>
      </w:pPr>
    </w:lvl>
    <w:lvl w:ilvl="7" w:tplc="0464B8DE">
      <w:start w:val="1"/>
      <w:numFmt w:val="bullet"/>
      <w:lvlText w:val="●"/>
      <w:lvlJc w:val="left"/>
      <w:pPr>
        <w:ind w:left="5760" w:hanging="360"/>
      </w:pPr>
    </w:lvl>
    <w:lvl w:ilvl="8" w:tplc="92ECDCC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7EE7ECE"/>
    <w:multiLevelType w:val="multilevel"/>
    <w:tmpl w:val="00F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4B6C"/>
    <w:multiLevelType w:val="hybridMultilevel"/>
    <w:tmpl w:val="60202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26346"/>
    <w:multiLevelType w:val="multilevel"/>
    <w:tmpl w:val="814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40407"/>
    <w:multiLevelType w:val="hybridMultilevel"/>
    <w:tmpl w:val="D23C06B0"/>
    <w:lvl w:ilvl="0" w:tplc="F8DA60B0">
      <w:start w:val="1"/>
      <w:numFmt w:val="bullet"/>
      <w:lvlText w:val="●"/>
      <w:lvlJc w:val="left"/>
      <w:pPr>
        <w:ind w:left="720" w:hanging="360"/>
      </w:pPr>
    </w:lvl>
    <w:lvl w:ilvl="1" w:tplc="C7406BEE">
      <w:start w:val="1"/>
      <w:numFmt w:val="bullet"/>
      <w:lvlText w:val="○"/>
      <w:lvlJc w:val="left"/>
      <w:pPr>
        <w:ind w:left="1440" w:hanging="360"/>
      </w:pPr>
    </w:lvl>
    <w:lvl w:ilvl="2" w:tplc="0D26DDDC">
      <w:start w:val="1"/>
      <w:numFmt w:val="bullet"/>
      <w:lvlText w:val="■"/>
      <w:lvlJc w:val="left"/>
      <w:pPr>
        <w:ind w:left="2160" w:hanging="360"/>
      </w:pPr>
    </w:lvl>
    <w:lvl w:ilvl="3" w:tplc="CDE07F46">
      <w:start w:val="1"/>
      <w:numFmt w:val="bullet"/>
      <w:lvlText w:val="●"/>
      <w:lvlJc w:val="left"/>
      <w:pPr>
        <w:ind w:left="2880" w:hanging="360"/>
      </w:pPr>
    </w:lvl>
    <w:lvl w:ilvl="4" w:tplc="14B6F320">
      <w:start w:val="1"/>
      <w:numFmt w:val="bullet"/>
      <w:lvlText w:val="○"/>
      <w:lvlJc w:val="left"/>
      <w:pPr>
        <w:ind w:left="3600" w:hanging="360"/>
      </w:pPr>
    </w:lvl>
    <w:lvl w:ilvl="5" w:tplc="DA2A26DE">
      <w:start w:val="1"/>
      <w:numFmt w:val="bullet"/>
      <w:lvlText w:val="■"/>
      <w:lvlJc w:val="left"/>
      <w:pPr>
        <w:ind w:left="4320" w:hanging="360"/>
      </w:pPr>
    </w:lvl>
    <w:lvl w:ilvl="6" w:tplc="5CBE5A3C">
      <w:start w:val="1"/>
      <w:numFmt w:val="bullet"/>
      <w:lvlText w:val="●"/>
      <w:lvlJc w:val="left"/>
      <w:pPr>
        <w:ind w:left="5040" w:hanging="360"/>
      </w:pPr>
    </w:lvl>
    <w:lvl w:ilvl="7" w:tplc="025E5384">
      <w:start w:val="1"/>
      <w:numFmt w:val="bullet"/>
      <w:lvlText w:val="●"/>
      <w:lvlJc w:val="left"/>
      <w:pPr>
        <w:ind w:left="5760" w:hanging="360"/>
      </w:pPr>
    </w:lvl>
    <w:lvl w:ilvl="8" w:tplc="7944A88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455214B"/>
    <w:multiLevelType w:val="multilevel"/>
    <w:tmpl w:val="F89CFC9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A207C32"/>
    <w:multiLevelType w:val="hybridMultilevel"/>
    <w:tmpl w:val="55A05592"/>
    <w:lvl w:ilvl="0" w:tplc="5144EEB8">
      <w:start w:val="1"/>
      <w:numFmt w:val="bullet"/>
      <w:lvlText w:val="●"/>
      <w:lvlJc w:val="left"/>
      <w:pPr>
        <w:ind w:left="720" w:hanging="360"/>
      </w:pPr>
    </w:lvl>
    <w:lvl w:ilvl="1" w:tplc="9D229F92">
      <w:start w:val="1"/>
      <w:numFmt w:val="bullet"/>
      <w:lvlText w:val="○"/>
      <w:lvlJc w:val="left"/>
      <w:pPr>
        <w:ind w:left="1440" w:hanging="360"/>
      </w:pPr>
    </w:lvl>
    <w:lvl w:ilvl="2" w:tplc="4E7C3AAE">
      <w:start w:val="1"/>
      <w:numFmt w:val="bullet"/>
      <w:lvlText w:val="■"/>
      <w:lvlJc w:val="left"/>
      <w:pPr>
        <w:ind w:left="2160" w:hanging="360"/>
      </w:pPr>
    </w:lvl>
    <w:lvl w:ilvl="3" w:tplc="B2DC1884">
      <w:start w:val="1"/>
      <w:numFmt w:val="bullet"/>
      <w:lvlText w:val="●"/>
      <w:lvlJc w:val="left"/>
      <w:pPr>
        <w:ind w:left="2880" w:hanging="360"/>
      </w:pPr>
    </w:lvl>
    <w:lvl w:ilvl="4" w:tplc="05584950">
      <w:start w:val="1"/>
      <w:numFmt w:val="bullet"/>
      <w:lvlText w:val="○"/>
      <w:lvlJc w:val="left"/>
      <w:pPr>
        <w:ind w:left="3600" w:hanging="360"/>
      </w:pPr>
    </w:lvl>
    <w:lvl w:ilvl="5" w:tplc="144C0B10">
      <w:start w:val="1"/>
      <w:numFmt w:val="bullet"/>
      <w:lvlText w:val="■"/>
      <w:lvlJc w:val="left"/>
      <w:pPr>
        <w:ind w:left="4320" w:hanging="360"/>
      </w:pPr>
    </w:lvl>
    <w:lvl w:ilvl="6" w:tplc="DF8C9700">
      <w:start w:val="1"/>
      <w:numFmt w:val="bullet"/>
      <w:lvlText w:val="●"/>
      <w:lvlJc w:val="left"/>
      <w:pPr>
        <w:ind w:left="5040" w:hanging="360"/>
      </w:pPr>
    </w:lvl>
    <w:lvl w:ilvl="7" w:tplc="72386CD0">
      <w:start w:val="1"/>
      <w:numFmt w:val="bullet"/>
      <w:lvlText w:val="●"/>
      <w:lvlJc w:val="left"/>
      <w:pPr>
        <w:ind w:left="5760" w:hanging="360"/>
      </w:pPr>
    </w:lvl>
    <w:lvl w:ilvl="8" w:tplc="E40669C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1A86846"/>
    <w:multiLevelType w:val="hybridMultilevel"/>
    <w:tmpl w:val="2894F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F2B60"/>
    <w:multiLevelType w:val="hybridMultilevel"/>
    <w:tmpl w:val="8F1A5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C2A28"/>
    <w:multiLevelType w:val="hybridMultilevel"/>
    <w:tmpl w:val="14242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764160">
    <w:abstractNumId w:val="9"/>
    <w:lvlOverride w:ilvl="0">
      <w:startOverride w:val="1"/>
    </w:lvlOverride>
  </w:num>
  <w:num w:numId="2" w16cid:durableId="1889492085">
    <w:abstractNumId w:val="7"/>
  </w:num>
  <w:num w:numId="3" w16cid:durableId="1256013687">
    <w:abstractNumId w:val="12"/>
  </w:num>
  <w:num w:numId="4" w16cid:durableId="866068799">
    <w:abstractNumId w:val="3"/>
    <w:lvlOverride w:ilvl="0">
      <w:startOverride w:val="1"/>
    </w:lvlOverride>
  </w:num>
  <w:num w:numId="5" w16cid:durableId="1236890526">
    <w:abstractNumId w:val="1"/>
  </w:num>
  <w:num w:numId="6" w16cid:durableId="1423603606">
    <w:abstractNumId w:val="4"/>
  </w:num>
  <w:num w:numId="7" w16cid:durableId="1791706722">
    <w:abstractNumId w:val="6"/>
  </w:num>
  <w:num w:numId="8" w16cid:durableId="927274187">
    <w:abstractNumId w:val="8"/>
  </w:num>
  <w:num w:numId="9" w16cid:durableId="868297761">
    <w:abstractNumId w:val="0"/>
    <w:lvlOverride w:ilvl="0">
      <w:startOverride w:val="1"/>
    </w:lvlOverride>
  </w:num>
  <w:num w:numId="10" w16cid:durableId="1443525725">
    <w:abstractNumId w:val="11"/>
  </w:num>
  <w:num w:numId="11" w16cid:durableId="968438861">
    <w:abstractNumId w:val="5"/>
  </w:num>
  <w:num w:numId="12" w16cid:durableId="1516263472">
    <w:abstractNumId w:val="2"/>
    <w:lvlOverride w:ilvl="0">
      <w:startOverride w:val="1"/>
    </w:lvlOverride>
  </w:num>
  <w:num w:numId="13" w16cid:durableId="1952667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51"/>
    <w:rsid w:val="000120A5"/>
    <w:rsid w:val="000150E0"/>
    <w:rsid w:val="000317AB"/>
    <w:rsid w:val="0004386B"/>
    <w:rsid w:val="00067DD6"/>
    <w:rsid w:val="00071C6C"/>
    <w:rsid w:val="00097566"/>
    <w:rsid w:val="000A01A0"/>
    <w:rsid w:val="000B5282"/>
    <w:rsid w:val="00120B3F"/>
    <w:rsid w:val="0014049A"/>
    <w:rsid w:val="001665C5"/>
    <w:rsid w:val="00171D3B"/>
    <w:rsid w:val="00182724"/>
    <w:rsid w:val="001A76E0"/>
    <w:rsid w:val="001B3081"/>
    <w:rsid w:val="001D23E8"/>
    <w:rsid w:val="001D6331"/>
    <w:rsid w:val="00206AB8"/>
    <w:rsid w:val="00224F0B"/>
    <w:rsid w:val="00236CDE"/>
    <w:rsid w:val="002528BA"/>
    <w:rsid w:val="00270CD9"/>
    <w:rsid w:val="00284532"/>
    <w:rsid w:val="002967F9"/>
    <w:rsid w:val="002D4FEB"/>
    <w:rsid w:val="00300EB0"/>
    <w:rsid w:val="00343ADC"/>
    <w:rsid w:val="003649A9"/>
    <w:rsid w:val="00371960"/>
    <w:rsid w:val="003866D4"/>
    <w:rsid w:val="00391CBE"/>
    <w:rsid w:val="003C3FF7"/>
    <w:rsid w:val="003E6CC6"/>
    <w:rsid w:val="003F06CB"/>
    <w:rsid w:val="004A5EC0"/>
    <w:rsid w:val="004F1D54"/>
    <w:rsid w:val="004F74C2"/>
    <w:rsid w:val="0059369C"/>
    <w:rsid w:val="005D2C64"/>
    <w:rsid w:val="006406B2"/>
    <w:rsid w:val="00656D5F"/>
    <w:rsid w:val="006911B9"/>
    <w:rsid w:val="006A5BD7"/>
    <w:rsid w:val="006A6703"/>
    <w:rsid w:val="006C2789"/>
    <w:rsid w:val="00757F03"/>
    <w:rsid w:val="007732FF"/>
    <w:rsid w:val="007A7BDA"/>
    <w:rsid w:val="007C2F6D"/>
    <w:rsid w:val="007D5395"/>
    <w:rsid w:val="00832A0C"/>
    <w:rsid w:val="00851C9E"/>
    <w:rsid w:val="00852987"/>
    <w:rsid w:val="00854B53"/>
    <w:rsid w:val="00882EE9"/>
    <w:rsid w:val="008D3557"/>
    <w:rsid w:val="008D54EC"/>
    <w:rsid w:val="0092216E"/>
    <w:rsid w:val="00A05E5B"/>
    <w:rsid w:val="00A12BED"/>
    <w:rsid w:val="00A9500A"/>
    <w:rsid w:val="00A964CA"/>
    <w:rsid w:val="00AC7857"/>
    <w:rsid w:val="00AD461B"/>
    <w:rsid w:val="00B447C5"/>
    <w:rsid w:val="00B5783D"/>
    <w:rsid w:val="00B71ABC"/>
    <w:rsid w:val="00BA4A31"/>
    <w:rsid w:val="00BA5FA2"/>
    <w:rsid w:val="00BC23A7"/>
    <w:rsid w:val="00BD1B3E"/>
    <w:rsid w:val="00BE4F0C"/>
    <w:rsid w:val="00BF092F"/>
    <w:rsid w:val="00C35C2F"/>
    <w:rsid w:val="00C52084"/>
    <w:rsid w:val="00C86A51"/>
    <w:rsid w:val="00C87F5B"/>
    <w:rsid w:val="00CA3A44"/>
    <w:rsid w:val="00CD6DA0"/>
    <w:rsid w:val="00CE6D45"/>
    <w:rsid w:val="00CE75CA"/>
    <w:rsid w:val="00CF243C"/>
    <w:rsid w:val="00D21CC8"/>
    <w:rsid w:val="00D961FF"/>
    <w:rsid w:val="00DB601C"/>
    <w:rsid w:val="00E17021"/>
    <w:rsid w:val="00E33F59"/>
    <w:rsid w:val="00E41A57"/>
    <w:rsid w:val="00EA140C"/>
    <w:rsid w:val="00EA579E"/>
    <w:rsid w:val="00ED2B6C"/>
    <w:rsid w:val="00ED5123"/>
    <w:rsid w:val="00ED584D"/>
    <w:rsid w:val="00F002F8"/>
    <w:rsid w:val="00F2087E"/>
    <w:rsid w:val="00F36114"/>
    <w:rsid w:val="00F3616D"/>
    <w:rsid w:val="00F8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B47EF"/>
  <w15:docId w15:val="{901EFCD1-73C3-4C47-82F0-F593D2CB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BC23A7"/>
    <w:pPr>
      <w:outlineLvl w:val="0"/>
    </w:pPr>
    <w:rPr>
      <w:b/>
      <w:sz w:val="32"/>
      <w:szCs w:val="32"/>
    </w:rPr>
  </w:style>
  <w:style w:type="paragraph" w:styleId="Ttulo2">
    <w:name w:val="heading 2"/>
    <w:uiPriority w:val="9"/>
    <w:unhideWhenUsed/>
    <w:qFormat/>
    <w:rsid w:val="00BC23A7"/>
    <w:pPr>
      <w:outlineLvl w:val="1"/>
    </w:pPr>
    <w:rPr>
      <w:b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23A7"/>
  </w:style>
  <w:style w:type="paragraph" w:styleId="Piedepgina">
    <w:name w:val="footer"/>
    <w:basedOn w:val="Normal"/>
    <w:link w:val="Piedepgina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3A7"/>
  </w:style>
  <w:style w:type="character" w:styleId="Mencinsinresolver">
    <w:name w:val="Unresolved Mention"/>
    <w:basedOn w:val="Fuentedeprrafopredeter"/>
    <w:uiPriority w:val="99"/>
    <w:semiHidden/>
    <w:unhideWhenUsed/>
    <w:rsid w:val="004F1D54"/>
    <w:rPr>
      <w:color w:val="605E5C"/>
      <w:shd w:val="clear" w:color="auto" w:fill="E1DFDD"/>
    </w:rPr>
  </w:style>
  <w:style w:type="table" w:styleId="Tablanormal3">
    <w:name w:val="Plain Table 3"/>
    <w:basedOn w:val="Tablanormal"/>
    <w:uiPriority w:val="43"/>
    <w:rsid w:val="00F361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F361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BA4A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1167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Foster Orduz</cp:lastModifiedBy>
  <cp:revision>15</cp:revision>
  <cp:lastPrinted>2026-09-05T14:04:00Z</cp:lastPrinted>
  <dcterms:created xsi:type="dcterms:W3CDTF">2026-09-06T14:56:00Z</dcterms:created>
  <dcterms:modified xsi:type="dcterms:W3CDTF">2026-09-13T23:28:00Z</dcterms:modified>
</cp:coreProperties>
</file>