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13th May 2025</w:t>
      </w:r>
    </w:p>
    <w:p w14:paraId="35A4E3EF" w14:textId="24058F0B" w:rsidR="004C26B6" w:rsidRPr="004C26B6" w:rsidRDefault="00FC6AB7" w:rsidP="004C26B6">
      <w:pPr>
        <w:spacing w:line="240" w:lineRule="auto"/>
        <w:jc w:val="both"/>
        <w:rPr>
          <w:rFonts w:ascii="Arial" w:hAnsi="Arial" w:cs="Arial"/>
          <w:sz w:val="24"/>
          <w:szCs w:val="24"/>
        </w:rPr>
      </w:pPr>
      <w:r>
        <w:t>Mr. Gaurab Pal</w:t>
      </w:r>
    </w:p>
    <w:p w14:paraId="11C90F9C" w14:textId="5E47BF27" w:rsidR="004C26B6" w:rsidRPr="004C26B6" w:rsidRDefault="004C26B6" w:rsidP="004C26B6">
      <w:pPr>
        <w:spacing w:line="240" w:lineRule="auto"/>
        <w:jc w:val="both"/>
        <w:rPr>
          <w:rFonts w:ascii="Arial" w:hAnsi="Arial" w:cs="Arial"/>
          <w:sz w:val="24"/>
          <w:szCs w:val="24"/>
        </w:rPr>
      </w:pPr>
      <w:r>
        <w:t>Employee code: PCS0007</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Gaurab,</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