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Gaurab Pal</w:t>
      </w:r>
    </w:p>
    <w:p w14:paraId="151AC1C1" w14:textId="77777777" w:rsidR="00780D35" w:rsidRPr="004C26B6" w:rsidRDefault="00780D35" w:rsidP="00780D35">
      <w:pPr>
        <w:spacing w:line="240" w:lineRule="auto"/>
        <w:jc w:val="both"/>
        <w:rPr>
          <w:rFonts w:ascii="Arial" w:hAnsi="Arial" w:cs="Arial"/>
          <w:sz w:val="24"/>
          <w:szCs w:val="24"/>
        </w:rPr>
      </w:pPr>
      <w:r>
        <w:t>Employee code: PCS0007</w:t>
      </w:r>
    </w:p>
    <w:p w14:paraId="3E87CDD3" w14:textId="77777777"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Gaurab,</w:t>
      </w:r>
    </w:p>
    <w:p w14:paraId="6F4CF72B" w14:textId="77777777" w:rsidR="00780D35" w:rsidRPr="004C26B6" w:rsidRDefault="00780D35" w:rsidP="00780D35">
      <w:pPr>
        <w:jc w:val="both"/>
        <w:rPr>
          <w:rFonts w:ascii="Arial" w:hAnsi="Arial" w:cs="Arial"/>
          <w:sz w:val="24"/>
          <w:szCs w:val="24"/>
        </w:rPr>
      </w:pPr>
      <w:r/>
    </w:p>
    <w:p w14:paraId="76B316B7" w14:textId="7777777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below mentioned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7A7F3970" w:rsidR="00780D35" w:rsidRDefault="005C585E"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3D51C" w14:textId="77777777" w:rsidR="0086222E" w:rsidRDefault="0086222E">
      <w:pPr>
        <w:spacing w:after="0" w:line="240" w:lineRule="auto"/>
      </w:pPr>
      <w:r>
        <w:separator/>
      </w:r>
    </w:p>
  </w:endnote>
  <w:endnote w:type="continuationSeparator" w:id="0">
    <w:p w14:paraId="07BB2BCB" w14:textId="77777777" w:rsidR="0086222E" w:rsidRDefault="0086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A4321" w14:textId="77777777" w:rsidR="0086222E" w:rsidRDefault="0086222E">
      <w:pPr>
        <w:spacing w:after="0" w:line="240" w:lineRule="auto"/>
      </w:pPr>
      <w:r>
        <w:separator/>
      </w:r>
    </w:p>
  </w:footnote>
  <w:footnote w:type="continuationSeparator" w:id="0">
    <w:p w14:paraId="098EFF3B" w14:textId="77777777" w:rsidR="0086222E" w:rsidRDefault="00862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F5C65"/>
    <w:rsid w:val="005C585E"/>
    <w:rsid w:val="0062152E"/>
    <w:rsid w:val="00780D35"/>
    <w:rsid w:val="0086222E"/>
    <w:rsid w:val="00AD3508"/>
    <w:rsid w:val="00E44B0C"/>
    <w:rsid w:val="00F6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242</Words>
  <Characters>1408</Characters>
  <Application>Microsoft Office Word</Application>
  <DocSecurity>0</DocSecurity>
  <Lines>44</Lines>
  <Paragraphs>21</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3</cp:revision>
  <dcterms:created xsi:type="dcterms:W3CDTF">2025-05-13T07:32:00Z</dcterms:created>
  <dcterms:modified xsi:type="dcterms:W3CDTF">2025-05-13T07:59:00Z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