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mandats immobiliers : gestion publicitaire, préqualification de leads et CRM</w:t>
      </w:r>
    </w:p>
    <w:p>
      <w:pPr>
        <w:pStyle w:val="Heading2"/>
      </w:pPr>
      <w:r>
        <w:t>Entre les soussignés</w:t>
      </w:r>
    </w:p>
    <w:p>
      <w:r>
        <w:t>JSQUARE, [forme juridique / entreprise individuelle], immatriculée sous le numéro SIRET [SIRET], dont le siège est situé [ADRESSE], représentée par Jadi Bayam Dipanda, ci-après « le Prestataire » ;</w:t>
      </w:r>
    </w:p>
    <w:p>
      <w:r>
        <w:t>Et</w:t>
      </w:r>
    </w:p>
    <w:p>
      <w:r>
        <w:t>Monsieur Jérôme Gourod, agent commercial immobilier mandataire du réseau SAFTI, immatriculé au RSAC de [VILLE] sous le numéro [NUMÉRO RSAC / SIRET], demeurant professionnellement [ADRESSE],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Lead Flow : mise à disposition d’un accès au CRM permettant la centralisation et le suivi de l’ensemble des prospects pendant la durée de la mission.</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du [DATE DE DÉBUT]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maintien du budget publicitaire convenu entre les Parties à l’issue de l’audit du compte publicitaire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[HT / TTC – TVA non applicable, art. 293 B du CGI] par mois d’activité, soit 900 € pour les trois (3) mois.</w:t>
      </w:r>
    </w:p>
    <w:p>
      <w:pPr>
        <w:pStyle w:val="ListBullet"/>
      </w:pPr>
      <w:r>
        <w:t>Forfait montage vidéo : 100 € [HT / TTC], payable une seule fois avec la première mensualité.</w:t>
      </w:r>
    </w:p>
    <w:p>
      <w:r>
        <w:t>Échéancier : 1re mensualité + forfait vidéo (400 €) à la signature ; 2e mensualité le [DATE] ; 3e mensualité le [15 janvier 2027]. Paiement par lien de paiement en ligne ou virement.</w:t>
      </w:r>
    </w:p>
    <w:p>
      <w:r>
        <w:t>Le budget publicitaire n’est pas inclus dans le prix. Il est réglé directement par le Client à Meta. Son montant sera défini d’un commun accord après audit de l’historique du compte publicitaire.</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l’ensemble des données au Client (export du CRM) puis les supprimer au terme de la mission, sauf obligation légale de conservation.</w:t>
      </w:r>
    </w:p>
    <w:p>
      <w:r>
        <w:t>Les données des prospects restent la propriété du Client. Chaque Partie s’engage à garder confidentielles les informations de l’autre Partie dont elle a connaissance dans le cadre de la mission.</w:t>
      </w:r>
    </w:p>
    <w:p>
      <w:pPr>
        <w:pStyle w:val="Heading2"/>
      </w:pPr>
      <w:r>
        <w:t>Article 8 – Résiliation</w:t>
      </w:r>
    </w:p>
    <w:p>
      <w:r>
        <w:t>Chaque Partie peut résilier la mission par écrit (e-mail ou courrier) moyennant un préavis de quinze (15) jours. Les sommes correspondant aux prestations réalisées jusqu’à la fin du préavis restent dues. En cas de résiliation anticipée à l’initiative du Client, la garantie prévue à l’article 4 cesse de s’appliquer.</w:t>
      </w:r>
    </w:p>
    <w:p>
      <w:r>
        <w:t>En cas de manquement grave de l’une des Parties non réparé dans les huit (8) jours suivant une mise en demeure, l’autre Partie peut résilier la mission sans préavis.</w:t>
      </w:r>
    </w:p>
    <w:p>
      <w:pPr>
        <w:pStyle w:val="Heading2"/>
      </w:pPr>
      <w:r>
        <w:t>Article 9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10 – Droit applicable et litiges</w:t>
      </w:r>
    </w:p>
    <w:p>
      <w:r>
        <w:t>La présente lettre de mission est soumise au droit français. En cas de différend, les Parties rechercheront une solution amiable avant toute action. À défaut, le litige sera porté devant les tribunaux compétents de [VILLE].</w:t>
      </w:r>
    </w:p>
    <w:p>
      <w:r>
        <w:br/>
        <w:t>Fait en deux exemplaires électroniques, le [DATE].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