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LETTRE DE MISSION</w:t>
      </w:r>
    </w:p>
    <w:p>
      <w:pPr>
        <w:jc w:val="center"/>
      </w:pPr>
      <w:r>
        <w:t>Prestation d’acquisition de mandats immobiliers : gestion publicitaire, préqualification de leads et CRM</w:t>
      </w:r>
    </w:p>
    <w:p>
      <w:pPr>
        <w:pStyle w:val="Heading2"/>
      </w:pPr>
      <w:r>
        <w:t>Entre les soussignés</w:t>
      </w:r>
    </w:p>
    <w:p>
      <w:r>
        <w:t>JSQUARE, [forme juridique / entreprise individuelle], immatriculée sous le numéro SIRET [SIRET], dont le siège est situé [ADRESSE], représentée par Jadi Bayam Dipanda, ci-après « le Prestataire » ;</w:t>
      </w:r>
    </w:p>
    <w:p>
      <w:r>
        <w:t>Et</w:t>
      </w:r>
    </w:p>
    <w:p>
      <w:r>
        <w:t>Monsieur Jérôme Gourod, agent commercial immobilier mandataire du réseau SAFTI, immatriculé au RSAC de [VILLE] sous le numéro [NUMÉRO RSAC / SIRET], demeurant professionnellement [ADRESSE], ci-après « le Client ».</w:t>
      </w:r>
    </w:p>
    <w:p>
      <w:r>
        <w:t>Ci-après désignés ensemble « les Parties ».</w:t>
      </w:r>
    </w:p>
    <w:p>
      <w:pPr>
        <w:pStyle w:val="Heading2"/>
      </w:pPr>
      <w:r>
        <w:t>Article 1 – Objet</w:t>
      </w:r>
    </w:p>
    <w:p>
      <w:r>
        <w:t>La présente lettre de mission définit les conditions dans lesquelles le Prestataire accompagne le Client dans la génération et la qualification de prospects vendeurs sur sa zone d’intervention.</w:t>
      </w:r>
    </w:p>
    <w:p>
      <w:pPr>
        <w:pStyle w:val="Heading2"/>
      </w:pPr>
      <w:r>
        <w:t>Article 2 – Prestations</w:t>
      </w:r>
    </w:p>
    <w:p>
      <w:r>
        <w:t>Le Prestataire s’engage à réaliser les prestations suivantes :</w:t>
      </w:r>
    </w:p>
    <w:p>
      <w:pPr>
        <w:pStyle w:val="ListBullet"/>
      </w:pPr>
      <w:r>
        <w:t>Gestion des publicités Meta (Facebook / Instagram) : reprise et optimisation des campagnes existantes, création et test de visuels et de messages, ciblage sur la zone d’intervention du Client, suivi et ajustement des performances.</w:t>
      </w:r>
    </w:p>
    <w:p>
      <w:pPr>
        <w:pStyle w:val="ListBullet"/>
      </w:pPr>
      <w:r>
        <w:t>Rappel et préqualification des leads : prise de contact rapide avec chaque nouveau prospect, appel de préqualification (motivation, calendrier, nature du projet), transmission au Client des leads qualifiés et des créneaux de rendez-vous adaptés.</w:t>
      </w:r>
    </w:p>
    <w:p>
      <w:pPr>
        <w:pStyle w:val="ListBullet"/>
      </w:pPr>
      <w:r>
        <w:t>Relances : mise en place de relances automatisées pour les prospects ayant un projet de vente à moyen terme.</w:t>
      </w:r>
    </w:p>
    <w:p>
      <w:pPr>
        <w:pStyle w:val="ListBullet"/>
      </w:pPr>
      <w:r>
        <w:t>CRM Lead Flow : mise à disposition d’un accès au CRM permettant la centralisation et le suivi de l’ensemble des prospects pendant la durée de la mission.</w:t>
      </w:r>
    </w:p>
    <w:p>
      <w:pPr>
        <w:pStyle w:val="ListBullet"/>
      </w:pPr>
      <w:r>
        <w:t>Montage vidéo : montage de vidéos (présentation de biens ou de l’activité du Client) au format court et sous-titré, dans le cadre du forfait prévu à l’article 5.</w:t>
      </w:r>
    </w:p>
    <w:p>
      <w:r>
        <w:t>Zone d’intervention : Paris 14e et abords (Montrouge, Paris 5e, 6e, 13e), dans un rayon d’environ 30 minutes de transport.</w:t>
      </w:r>
    </w:p>
    <w:p>
      <w:pPr>
        <w:pStyle w:val="Heading2"/>
      </w:pPr>
      <w:r>
        <w:t>Article 3 – Durée</w:t>
      </w:r>
    </w:p>
    <w:p>
      <w:r>
        <w:t>La mission est conclue pour une durée totale de trois (3) mois d’activité, répartis comme suit :</w:t>
      </w:r>
    </w:p>
    <w:p>
      <w:pPr>
        <w:pStyle w:val="ListBullet"/>
      </w:pPr>
      <w:r>
        <w:t>Période 1 : du [DATE DE DÉBUT] au [15 décembre 2026] ;</w:t>
      </w:r>
    </w:p>
    <w:p>
      <w:pPr>
        <w:pStyle w:val="ListBullet"/>
      </w:pPr>
      <w:r>
        <w:t>Suspension pendant les fêtes de fin d’année, du [16 décembre 2026] au [14 janvier 2027] ;</w:t>
      </w:r>
    </w:p>
    <w:p>
      <w:pPr>
        <w:pStyle w:val="ListBullet"/>
      </w:pPr>
      <w:r>
        <w:t>Période 2 : du [15 janvier 2027] au [15 février 2027].</w:t>
      </w:r>
    </w:p>
    <w:p>
      <w:r>
        <w:t>La mission débute à la date de signature des présentes et à réception du premier paiement.</w:t>
      </w:r>
    </w:p>
    <w:p>
      <w:pPr>
        <w:pStyle w:val="Heading2"/>
      </w:pPr>
      <w:r>
        <w:t>Article 4 – Garantie de résultats</w:t>
      </w:r>
    </w:p>
    <w:p>
      <w:r>
        <w:t>4.1 Définition. Est considéré comme « lead qualifié » tout prospect remplissant cumulativement les conditions suivantes : (i) être propriétaire ou décisionnaire de la vente du bien ; (ii) bien situé dans la zone d’intervention définie à l’article 2 ; (iii) projet de vente déclaré dans un délai de six (6) mois ; (iv) avoir été joint par téléphone et avoir répondu aux questions de préqualification ; (v) accepter un rendez-vous ou une estimation avec le Client ; (vi) ne pas figurer déjà dans les contacts du Client à la date de sa transmission.</w:t>
      </w:r>
    </w:p>
    <w:p>
      <w:r>
        <w:t>4.2 Engagement. Le Prestataire garantit la génération de [10] leads qualifiés sur la durée de la mission.</w:t>
      </w:r>
    </w:p>
    <w:p>
      <w:r>
        <w:t>4.3 Conditions. Cette garantie est subordonnée au respect par le Client des conditions suivantes : maintien du budget publicitaire convenu entre les Parties à l’issue de l’audit du compte publicitaire ; transmission des accès nécessaires dans les sept (7) jours suivant la signature ; absence de modification ou de suspension des campagnes sans accord préalable du Prestataire ; prise de contact avec les leads transmis dans un délai de quarante-huit (48) heures.</w:t>
      </w:r>
    </w:p>
    <w:p>
      <w:r>
        <w:t>4.4 Mise en œuvre. Si l’objectif n’est pas atteint au terme de la mission alors que les conditions ci-dessus ont été respectées, le Prestataire poursuit gratuitement la gestion des campagnes et la préqualification jusqu’à l’atteinte de l’objectif, dans la limite de deux (2) mois supplémentaires.</w:t>
      </w:r>
    </w:p>
    <w:p>
      <w:r>
        <w:t>4.5 Limites. La garantie porte exclusivement sur le nombre de leads qualifiés. Le Prestataire ne garantit ni un nombre de mandats, ni un nombre de ventes, qui dépendent notamment de l’intervention du Client. Pour le surplus, le Prestataire est tenu d’une obligation de moyens.</w:t>
      </w:r>
    </w:p>
    <w:p>
      <w:pPr>
        <w:pStyle w:val="Heading2"/>
      </w:pPr>
      <w:r>
        <w:t>Article 5 – Prix et modalités de paiement</w:t>
      </w:r>
    </w:p>
    <w:p>
      <w:pPr>
        <w:pStyle w:val="ListBullet"/>
      </w:pPr>
      <w:r>
        <w:t>Frais de gestion : 300 € [HT / TTC – TVA non applicable, art. 293 B du CGI] par mois d’activité, soit 900 € pour les trois (3) mois.</w:t>
      </w:r>
    </w:p>
    <w:p>
      <w:pPr>
        <w:pStyle w:val="ListBullet"/>
      </w:pPr>
      <w:r>
        <w:t>Forfait montage vidéo : 100 € [HT / TTC], payable une seule fois avec la première mensualité.</w:t>
      </w:r>
    </w:p>
    <w:p>
      <w:r>
        <w:t>Échéancier : 1re mensualité + forfait vidéo (400 €) à la signature ; 2e mensualité le [DATE] ; 3e mensualité le [15 janvier 2027]. Paiement par lien de paiement en ligne ou virement.</w:t>
      </w:r>
    </w:p>
    <w:p>
      <w:r>
        <w:t>Le budget publicitaire n’est pas inclus dans le prix. Il est réglé directement par le Client à Meta. Son montant sera défini d’un commun accord après audit de l’historique du compte publicitaire.</w:t>
      </w:r>
    </w:p>
    <w:p>
      <w:r>
        <w:t>Tout retard de paiement entraîne de plein droit des pénalités au taux de trois fois le taux d’intérêt légal ainsi qu’une indemnité forfaitaire pour frais de recouvrement de 40 €. Le Prestataire peut suspendre ses prestations en cas d’impayé de plus de quinze (15) jours après relance.</w:t>
      </w:r>
    </w:p>
    <w:p>
      <w:pPr>
        <w:pStyle w:val="Heading2"/>
      </w:pPr>
      <w:r>
        <w:t>Article 6 – Obligations du Client</w:t>
      </w:r>
    </w:p>
    <w:p>
      <w:pPr>
        <w:pStyle w:val="ListBullet"/>
      </w:pPr>
      <w:r>
        <w:t>Fournir les accès aux comptes publicitaires et toute information nécessaire à la mission ;</w:t>
      </w:r>
    </w:p>
    <w:p>
      <w:pPr>
        <w:pStyle w:val="ListBullet"/>
      </w:pPr>
      <w:r>
        <w:t>Organiser la transition avec l’ancien prestataire (Samuel) avant la reprise du compte ;</w:t>
      </w:r>
    </w:p>
    <w:p>
      <w:pPr>
        <w:pStyle w:val="ListBullet"/>
      </w:pPr>
      <w:r>
        <w:t>Communiquer ses disponibilités pour les rendez-vous et faire un retour sur les leads transmis ;</w:t>
      </w:r>
    </w:p>
    <w:p>
      <w:pPr>
        <w:pStyle w:val="ListBullet"/>
      </w:pPr>
      <w:r>
        <w:t>Garantir qu’il dispose des droits sur les contenus (photos, vidéos, logos) qu’il transmet.</w:t>
      </w:r>
    </w:p>
    <w:p>
      <w:pPr>
        <w:pStyle w:val="Heading2"/>
      </w:pPr>
      <w:r>
        <w:t>Article 7 – Données personnelles et confidentialité</w:t>
      </w:r>
    </w:p>
    <w:p>
      <w:r>
        <w:t>Dans le cadre de la mission, le Prestataire traite les données personnelles des prospects pour le compte du Client, en qualité de sous-traitant au sens de l’article 28 du RGPD. Il s’engage à : ne traiter ces données que pour l’exécution de la mission et sur instruction du Client ; en assurer la sécurité et la confidentialité ; ne pas les céder ni les réutiliser pour d’autres clients ; restituer l’ensemble des données au Client (export du CRM) puis les supprimer au terme de la mission, sauf obligation légale de conservation.</w:t>
      </w:r>
    </w:p>
    <w:p>
      <w:r>
        <w:t>Les données des prospects restent la propriété du Client. Chaque Partie s’engage à garder confidentielles les informations de l’autre Partie dont elle a connaissance dans le cadre de la mission.</w:t>
      </w:r>
    </w:p>
    <w:p>
      <w:pPr>
        <w:pStyle w:val="Heading2"/>
      </w:pPr>
      <w:r>
        <w:t>Article 8 – Résiliation</w:t>
      </w:r>
    </w:p>
    <w:p>
      <w:r>
        <w:t>Chaque Partie peut résilier la mission par écrit (e-mail ou courrier) moyennant un préavis de quinze (15) jours. Les sommes correspondant aux prestations réalisées jusqu’à la fin du préavis restent dues. En cas de résiliation anticipée à l’initiative du Client, la garantie prévue à l’article 4 cesse de s’appliquer.</w:t>
      </w:r>
    </w:p>
    <w:p>
      <w:r>
        <w:t>En cas de manquement grave de l’une des Parties non réparé dans les huit (8) jours suivant une mise en demeure, l’autre Partie peut résilier la mission sans préavis.</w:t>
      </w:r>
    </w:p>
    <w:p>
      <w:pPr>
        <w:pStyle w:val="Heading2"/>
      </w:pPr>
      <w:r>
        <w:t>Article 9 – Responsabilité</w:t>
      </w:r>
    </w:p>
    <w:p>
      <w:r>
        <w:t>La responsabilité du Prestataire, toutes causes confondues, est limitée au montant total des sommes perçues au titre de la présente mission. Le Prestataire ne saurait être tenu responsable des décisions de la plateforme Meta (suspension de compte, refus de publicité, variation des coûts).</w:t>
      </w:r>
    </w:p>
    <w:p>
      <w:pPr>
        <w:pStyle w:val="Heading2"/>
      </w:pPr>
      <w:r>
        <w:t>Article 10 – Droit applicable et litiges</w:t>
      </w:r>
    </w:p>
    <w:p>
      <w:r>
        <w:t>La présente lettre de mission est soumise au droit français. En cas de différend, les Parties rechercheront une solution amiable avant toute action. À défaut, le litige sera porté devant les tribunaux compétents de [VILLE].</w:t>
      </w:r>
    </w:p>
    <w:p>
      <w:r>
        <w:br/>
        <w:t>Fait en deux exemplaires électroniques, le [DATE].</w:t>
      </w:r>
    </w:p>
    <w:tbl>
      <w:tblPr>
        <w:tblW w:type="auto" w:w="0"/>
        <w:tblLook w:firstColumn="1" w:firstRow="1" w:lastColumn="0" w:lastRow="0" w:noHBand="0" w:noVBand="1" w:val="04A0"/>
      </w:tblPr>
      <w:tblGrid>
        <w:gridCol w:w="4320"/>
        <w:gridCol w:w="4320"/>
      </w:tblGrid>
      <w:tr>
        <w:tc>
          <w:tcPr>
            <w:tcW w:type="dxa" w:w="4320"/>
          </w:tcPr>
          <w:p>
            <w:r>
              <w:t>Le Prestataire</w:t>
              <w:br/>
              <w:t>JSQUARE – Jadi Bayam Dipanda</w:t>
              <w:br/>
              <w:br/>
              <w:t>Signature :</w:t>
              <w:br/>
              <w:br/>
              <w:br/>
            </w:r>
          </w:p>
        </w:tc>
        <w:tc>
          <w:tcPr>
            <w:tcW w:type="dxa" w:w="4320"/>
          </w:tcPr>
          <w:p>
            <w:r>
              <w:t>Le Client</w:t>
              <w:br/>
              <w:t>Jérôme Gourod</w:t>
              <w:br/>
              <w:t>« Lu et approuvé »</w:t>
              <w:br/>
              <w:t>Signature :</w:t>
              <w:br/>
              <w:b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