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mandats immobiliers : gestion publicitaire, préqualification de leads et CRM</w:t>
      </w:r>
    </w:p>
    <w:p>
      <w:pPr>
        <w:pStyle w:val="Heading2"/>
      </w:pPr>
      <w:r>
        <w:t>Entre les soussignés</w:t>
      </w:r>
    </w:p>
    <w:p>
      <w:r>
        <w:t>JSQUARE, immatriculée sous le numéro SIRET 107 765 091 00015, dont le siège est situé 25 allée Mathilde, 93160 Noisy-le-Grand, représentée par Jadi Bayam Dipanda, ci-après « le Prestataire » ;</w:t>
      </w:r>
    </w:p>
    <w:p>
      <w:r>
        <w:t>Et</w:t>
      </w:r>
    </w:p>
    <w:p>
      <w:r>
        <w:t>Monsieur Jérôme Gourod, agent commercial immobilier mandataire du réseau SAFTI, immatriculé sous le numéro SIREN 491 028 908, domicilié professionnellement 7 rue Émile Dubois, 75014 Paris,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 mise à disposition d’un accès au CRM permettant la centralisation et le suivi de l’ensemble des prospects pendant la durée de la mission.</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de la date de signature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maintien du budget publicitaire convenu entre les Parties à l’issue de l’audit du compte publicitaire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net, TVA non applicable (art. 293 B du CGI), par mois d’activité, soit 900 € pour les trois (3) mois.</w:t>
      </w:r>
    </w:p>
    <w:p>
      <w:pPr>
        <w:pStyle w:val="ListBullet"/>
      </w:pPr>
      <w:r>
        <w:t>Forfait montage vidéo : 100 € net, TVA non applicable (art. 293 B du CGI), payable une seule fois avec la première mensualité.</w:t>
      </w:r>
    </w:p>
    <w:p>
      <w:r>
        <w:t>Échéancier : 1re mensualité et forfait vidéo (400 €) à la date de signature ; 2e mensualité (300 €) le même jour du mois en novembre 2026 ; 3e mensualité (300 €) le même jour du mois en décembre 2026. Paiement par lien de paiement en ligne ou virement.</w:t>
      </w:r>
    </w:p>
    <w:p>
      <w:r>
        <w:t>Le budget publicitaire n’est pas inclus dans le prix. Il est réglé directement par le Client à Meta. Son montant sera défini d’un commun accord après audit de l’historique du compte publicitaire.</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l’ensemble des données au Client (export du CRM) puis les supprimer au terme de la mission, sauf obligation légale de conservation.</w:t>
      </w:r>
    </w:p>
    <w:p>
      <w:r>
        <w:t>Les données des prospects restent la propriété du Client. Chaque Partie s’engage à garder confidentielles les informations de l’autre Partie dont elle a connaissance dans le cadre de la mission.</w:t>
      </w:r>
    </w:p>
    <w:p>
      <w:pPr>
        <w:pStyle w:val="Heading2"/>
      </w:pPr>
      <w:r>
        <w:t>Article 8 – Références et témoignages</w:t>
      </w:r>
    </w:p>
    <w:p>
      <w:r>
        <w:t>Le Client autorise le Prestataire à se prévaloir de la mission et des résultats obtenus (nombre de leads, performances publicitaires, évolution de l’activité) à titre de référence commerciale, notamment sur son site internet, ses réseaux sociaux, ses propositions commerciales et ses études de cas, ainsi que sous forme de témoignage écrit ou vidéo.</w:t>
      </w:r>
    </w:p>
    <w:p>
      <w:r>
        <w:t>Le Client peut choisir que sa participation reste anonyme : dans ce cas, son nom, son image, sa marque et son réseau d’appartenance ne sont pas mentionnés, et seuls les résultats chiffrés sont utilisés. Il en informe le Prestataire par écrit. À défaut d’opposition écrite, le Prestataire peut le citer nominativement.</w:t>
      </w:r>
    </w:p>
    <w:p>
      <w:r>
        <w:t>Dans tous les cas, le Prestataire s’interdit de divulguer les données personnelles des prospects et toute information confidentielle du Client. Cette autorisation est consentie à titre gratuit pour la durée de la mission et pour les cinq (5) années qui suivent. Le Client peut demander à tout moment l’arrêt de toute nouvelle publication le concernant.</w:t>
      </w:r>
    </w:p>
    <w:p>
      <w:pPr>
        <w:pStyle w:val="Heading2"/>
      </w:pPr>
      <w:r>
        <w:t>Article 9 – Résiliation</w:t>
      </w:r>
    </w:p>
    <w:p>
      <w:r>
        <w:t>Chaque Partie peut résilier la mission par écrit (e-mail ou courrier) moyennant un préavis de quinze (15) jours. Les sommes correspondant aux prestations réalisées jusqu’à la fin du préavis restent dues. En cas de résiliation anticipée à l’initiative du Client, la garantie prévue à l’article 4 cesse de s’appliquer.</w:t>
      </w:r>
    </w:p>
    <w:p>
      <w:r>
        <w:t>En cas de manquement grave de l’une des Parties non réparé dans les huit (8) jours suivant une mise en demeure, l’autre Partie peut résilier la mission sans préavis.</w:t>
      </w:r>
    </w:p>
    <w:p>
      <w:pPr>
        <w:pStyle w:val="Heading2"/>
      </w:pPr>
      <w:r>
        <w:t>Article 10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11 – Droit applicable et litiges</w:t>
      </w:r>
    </w:p>
    <w:p>
      <w:r>
        <w:t>La présente lettre de mission est soumise au droit français. En cas de différend, les Parties rechercheront une solution amiable avant toute action. À défaut, le litige sera porté devant les tribunaux compétents de Bobigny.</w:t>
      </w:r>
    </w:p>
    <w:p>
      <w:r>
        <w:br/>
        <w:t>Fait en deux exemplaires électroniques, à la date de la dernière signature.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