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C2704F"/>
          <w:sz w:val="40"/>
          <w:szCs w:val="40"/>
        </w:rPr>
        <w:t xml:space="preserve">التقرير الربع سنوي الشامل</w:t>
      </w:r>
    </w:p>
    <w:p>
      <w:pPr>
        <w:spacing w:after="60"/>
        <w:jc w:val="center"/>
      </w:pPr>
      <w:r>
        <w:rPr>
          <w:rFonts w:ascii="Arial" w:cs="Arial" w:eastAsia="Arial" w:hAnsi="Arial"/>
          <w:b/>
          <w:bCs/>
          <w:color w:val="D4A5A0"/>
          <w:sz w:val="26"/>
          <w:szCs w:val="26"/>
        </w:rPr>
        <w:t xml:space="preserve">شركة نواة للتقنية - الربع الأول من عام 2026</w:t>
      </w:r>
    </w:p>
    <w:p>
      <w:pPr>
        <w:pBdr>
          <w:bottom w:val="single" w:color="C2704F" w:sz="6" w:space="1"/>
        </w:pBdr>
        <w:spacing w:after="240"/>
        <w:jc w:val="center"/>
      </w:pPr>
      <w:r>
        <w:rPr>
          <w:rFonts w:ascii="Arial" w:cs="Arial" w:eastAsia="Arial" w:hAnsi="Arial"/>
          <w:color w:val="666666"/>
          <w:sz w:val="22"/>
          <w:szCs w:val="22"/>
        </w:rPr>
        <w:t xml:space="preserve">المؤلف: فريق التحليل  |  التاريخ: 2026-Q1</w:t>
      </w:r>
    </w:p>
    <w:p>
      <w:pPr>
        <w:pStyle w:val="Heading1"/>
      </w:pPr>
      <w:r>
        <w:t xml:space="preserve">الملخص التنفيذي</w:t>
      </w:r>
    </w:p>
    <w:p>
      <w:pPr>
        <w:pStyle w:val="Heading2"/>
      </w:pPr>
      <w:r>
        <w:t xml:space="preserve">نظرة عامة على الأداء</w:t>
      </w:r>
    </w:p>
    <w:p>
      <w:pPr>
        <w:spacing w:after="200"/>
      </w:pPr>
      <w:r>
        <w:t xml:space="preserve">حققت شركة نواة للتقنية نتائج قوية خلال الربع الأول من عام 2026، مع تسجيل نمو ملحوظ في الإيرادات والقاعدة العملاء. أظهرت الشركة قدرة استثنائية على التكيف مع تحديات السوق وتسليم حلول تقنية مبتكرة تلبي احتياجات العملاء المتزايدة. يعكس هذا التقرير الشامل الأداء المالي والتشغيلي للشركة، مع تحليل تفصيلي للفرص والتحديات التي تواجهها في الأسواق المستهدفة.</w:t>
      </w:r>
    </w:p>
    <w:p>
      <w:pPr>
        <w:pStyle w:val="Heading2"/>
      </w:pPr>
      <w:r>
        <w:t xml:space="preserve">المؤشرات الرئيسية</w:t>
      </w:r>
    </w:p>
    <w:p>
      <w:pPr>
        <w:spacing w:after="240"/>
      </w:pPr>
      <w:r>
        <w:t xml:space="preserve">خلال الربع الأول، حققت الشركة معدل نمو سنوي بلغ 35٪ في الإيرادات الإجمالية، بينما ارتفع عدد العملاء النشطين بنسبة 28٪. معدل الاحتفاظ بالعملاء وصل إلى 92٪، مما يعكس رضا عالياً من جانب قاعدة العملاء. بالإضافة إلى ذلك، انخفضت تكاليف الاستحصال بنسبة 15٪ نتيجة لاستراتيجيات التسويق الرقمي الفعّالة.</w:t>
      </w:r>
    </w:p>
    <w:p>
      <w:pPr>
        <w:pStyle w:val="Heading1"/>
      </w:pPr>
      <w:r>
        <w:t xml:space="preserve">الأداء المالي</w:t>
      </w:r>
    </w:p>
    <w:p>
      <w:pPr>
        <w:pStyle w:val="Heading2"/>
      </w:pPr>
      <w:r>
        <w:t xml:space="preserve">تحليل الإيرادات</w:t>
      </w:r>
    </w:p>
    <w:p>
      <w:pPr>
        <w:spacing w:after="200"/>
      </w:pPr>
      <w:r>
        <w:t xml:space="preserve">سجلت شركة نواة إيرادات إجمالية بلغت 12.5 مليون دولار أمريكي في الربع الأول من عام 2026، مقارنة بـ 9.3 مليون دولار في الربع الأول من عام 2025. يمثل هذا نمواً من سنة إلى سنة بنسبة 34.4٪، مما يشير إلى منحى تصاعدي قوي في نمو الشركة. توزعت الإيرادات عبر قطاعات متعددة، مع هيمنة خدمات البرمجيات السحابية على 45٪ من إجمالي الإيرادات.</w:t>
      </w:r>
    </w:p>
    <w:p>
      <w:pPr>
        <w:pStyle w:val="Heading2"/>
      </w:pPr>
      <w:r>
        <w:t xml:space="preserve">جدول الإيرادات الفصلية</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C2704F" w:val="clear"/>
            <w:tcMar>
              <w:top w:type="dxa" w:w="80"/>
              <w:left w:type="dxa" w:w="120"/>
              <w:bottom w:type="dxa" w:w="80"/>
              <w:right w:type="dxa" w:w="120"/>
            </w:tcMar>
          </w:tcPr>
          <w:p>
            <w:pPr>
              <w:jc w:val="center"/>
            </w:pPr>
            <w:r>
              <w:rPr>
                <w:b/>
                <w:bCs/>
                <w:color w:val="FFFFFF"/>
                <w:sz w:val="22"/>
                <w:szCs w:val="22"/>
              </w:rPr>
              <w:t xml:space="preserve">الربع</w:t>
            </w:r>
          </w:p>
        </w:tc>
        <w:tc>
          <w:tcPr>
            <w:tcW w:type="dxa" w:w="1872"/>
            <w:tcBorders>
              <w:top w:val="single" w:color="CCCCCC" w:sz="1"/>
              <w:left w:val="single" w:color="CCCCCC" w:sz="1"/>
              <w:bottom w:val="single" w:color="CCCCCC" w:sz="1"/>
              <w:right w:val="single" w:color="CCCCCC" w:sz="1"/>
            </w:tcBorders>
            <w:shd w:fill="C2704F" w:val="clear"/>
            <w:tcMar>
              <w:top w:type="dxa" w:w="80"/>
              <w:left w:type="dxa" w:w="120"/>
              <w:bottom w:type="dxa" w:w="80"/>
              <w:right w:type="dxa" w:w="120"/>
            </w:tcMar>
          </w:tcPr>
          <w:p>
            <w:pPr>
              <w:jc w:val="center"/>
            </w:pPr>
            <w:r>
              <w:rPr>
                <w:b/>
                <w:bCs/>
                <w:color w:val="FFFFFF"/>
                <w:sz w:val="22"/>
                <w:szCs w:val="22"/>
              </w:rPr>
              <w:t xml:space="preserve">الإيرادات (مليون $)</w:t>
            </w:r>
          </w:p>
        </w:tc>
        <w:tc>
          <w:tcPr>
            <w:tcW w:type="dxa" w:w="1872"/>
            <w:tcBorders>
              <w:top w:val="single" w:color="CCCCCC" w:sz="1"/>
              <w:left w:val="single" w:color="CCCCCC" w:sz="1"/>
              <w:bottom w:val="single" w:color="CCCCCC" w:sz="1"/>
              <w:right w:val="single" w:color="CCCCCC" w:sz="1"/>
            </w:tcBorders>
            <w:shd w:fill="C2704F" w:val="clear"/>
            <w:tcMar>
              <w:top w:type="dxa" w:w="80"/>
              <w:left w:type="dxa" w:w="120"/>
              <w:bottom w:type="dxa" w:w="80"/>
              <w:right w:type="dxa" w:w="120"/>
            </w:tcMar>
          </w:tcPr>
          <w:p>
            <w:pPr>
              <w:jc w:val="center"/>
            </w:pPr>
            <w:r>
              <w:rPr>
                <w:b/>
                <w:bCs/>
                <w:color w:val="FFFFFF"/>
                <w:sz w:val="22"/>
                <w:szCs w:val="22"/>
              </w:rPr>
              <w:t xml:space="preserve">النمو Q/Q (%)</w:t>
            </w:r>
          </w:p>
        </w:tc>
        <w:tc>
          <w:tcPr>
            <w:tcW w:type="dxa" w:w="1872"/>
            <w:tcBorders>
              <w:top w:val="single" w:color="CCCCCC" w:sz="1"/>
              <w:left w:val="single" w:color="CCCCCC" w:sz="1"/>
              <w:bottom w:val="single" w:color="CCCCCC" w:sz="1"/>
              <w:right w:val="single" w:color="CCCCCC" w:sz="1"/>
            </w:tcBorders>
            <w:shd w:fill="C2704F" w:val="clear"/>
            <w:tcMar>
              <w:top w:type="dxa" w:w="80"/>
              <w:left w:type="dxa" w:w="120"/>
              <w:bottom w:type="dxa" w:w="80"/>
              <w:right w:type="dxa" w:w="120"/>
            </w:tcMar>
          </w:tcPr>
          <w:p>
            <w:pPr>
              <w:jc w:val="center"/>
            </w:pPr>
            <w:r>
              <w:rPr>
                <w:b/>
                <w:bCs/>
                <w:color w:val="FFFFFF"/>
                <w:sz w:val="22"/>
                <w:szCs w:val="22"/>
              </w:rPr>
              <w:t xml:space="preserve">النمو Y/Y (%)</w:t>
            </w:r>
          </w:p>
        </w:tc>
        <w:tc>
          <w:tcPr>
            <w:tcW w:type="dxa" w:w="1872"/>
            <w:tcBorders>
              <w:top w:val="single" w:color="CCCCCC" w:sz="1"/>
              <w:left w:val="single" w:color="CCCCCC" w:sz="1"/>
              <w:bottom w:val="single" w:color="CCCCCC" w:sz="1"/>
              <w:right w:val="single" w:color="CCCCCC" w:sz="1"/>
            </w:tcBorders>
            <w:shd w:fill="C2704F" w:val="clear"/>
            <w:tcMar>
              <w:top w:type="dxa" w:w="80"/>
              <w:left w:type="dxa" w:w="120"/>
              <w:bottom w:type="dxa" w:w="80"/>
              <w:right w:type="dxa" w:w="120"/>
            </w:tcMar>
          </w:tcPr>
          <w:p>
            <w:pPr>
              <w:jc w:val="center"/>
            </w:pPr>
            <w:r>
              <w:rPr>
                <w:b/>
                <w:bCs/>
                <w:color w:val="FFFFFF"/>
                <w:sz w:val="22"/>
                <w:szCs w:val="22"/>
              </w:rPr>
              <w:t xml:space="preserve">الهامش الإجمالي (%)</w:t>
            </w:r>
          </w:p>
        </w:tc>
      </w:tr>
      <w:tr>
        <w:tc>
          <w:tcPr>
            <w:tcW w:type="dxa" w:w="1872"/>
            <w:tcBorders>
              <w:top w:val="single" w:color="CCCCCC" w:sz="1"/>
              <w:left w:val="single" w:color="CCCCCC" w:sz="1"/>
              <w:bottom w:val="single" w:color="CCCCCC" w:sz="1"/>
              <w:right w:val="single" w:color="CCCCCC" w:sz="1"/>
            </w:tcBorders>
            <w:shd w:fill="F0E8E3" w:val="clear"/>
            <w:tcMar>
              <w:top w:type="dxa" w:w="80"/>
              <w:left w:type="dxa" w:w="120"/>
              <w:bottom w:type="dxa" w:w="80"/>
              <w:right w:type="dxa" w:w="120"/>
            </w:tcMar>
          </w:tcPr>
          <w:p>
            <w:pPr>
              <w:jc w:val="center"/>
            </w:pPr>
            <w:r>
              <w:rPr>
                <w:sz w:val="22"/>
                <w:szCs w:val="22"/>
              </w:rPr>
              <w:t xml:space="preserve">Q1 2024</w:t>
            </w:r>
          </w:p>
        </w:tc>
        <w:tc>
          <w:tcPr>
            <w:tcW w:type="dxa" w:w="1872"/>
            <w:tcBorders>
              <w:top w:val="single" w:color="CCCCCC" w:sz="1"/>
              <w:left w:val="single" w:color="CCCCCC" w:sz="1"/>
              <w:bottom w:val="single" w:color="CCCCCC" w:sz="1"/>
              <w:right w:val="single" w:color="CCCCCC" w:sz="1"/>
            </w:tcBorders>
            <w:shd w:fill="F0E8E3" w:val="clear"/>
            <w:tcMar>
              <w:top w:type="dxa" w:w="80"/>
              <w:left w:type="dxa" w:w="120"/>
              <w:bottom w:type="dxa" w:w="80"/>
              <w:right w:type="dxa" w:w="120"/>
            </w:tcMar>
          </w:tcPr>
          <w:p>
            <w:pPr>
              <w:jc w:val="center"/>
            </w:pPr>
            <w:r>
              <w:rPr>
                <w:sz w:val="22"/>
                <w:szCs w:val="22"/>
              </w:rPr>
              <w:t xml:space="preserve">6.2</w:t>
            </w:r>
          </w:p>
        </w:tc>
        <w:tc>
          <w:tcPr>
            <w:tcW w:type="dxa" w:w="1872"/>
            <w:tcBorders>
              <w:top w:val="single" w:color="CCCCCC" w:sz="1"/>
              <w:left w:val="single" w:color="CCCCCC" w:sz="1"/>
              <w:bottom w:val="single" w:color="CCCCCC" w:sz="1"/>
              <w:right w:val="single" w:color="CCCCCC" w:sz="1"/>
            </w:tcBorders>
            <w:shd w:fill="F0E8E3" w:val="clear"/>
            <w:tcMar>
              <w:top w:type="dxa" w:w="80"/>
              <w:left w:type="dxa" w:w="120"/>
              <w:bottom w:type="dxa" w:w="80"/>
              <w:right w:type="dxa" w:w="120"/>
            </w:tcMar>
          </w:tcPr>
          <w:p>
            <w:pPr>
              <w:jc w:val="center"/>
            </w:pPr>
            <w:r>
              <w:rPr>
                <w:sz w:val="22"/>
                <w:szCs w:val="22"/>
              </w:rPr>
              <w:t xml:space="preserve">—</w:t>
            </w:r>
          </w:p>
        </w:tc>
        <w:tc>
          <w:tcPr>
            <w:tcW w:type="dxa" w:w="1872"/>
            <w:tcBorders>
              <w:top w:val="single" w:color="CCCCCC" w:sz="1"/>
              <w:left w:val="single" w:color="CCCCCC" w:sz="1"/>
              <w:bottom w:val="single" w:color="CCCCCC" w:sz="1"/>
              <w:right w:val="single" w:color="CCCCCC" w:sz="1"/>
            </w:tcBorders>
            <w:shd w:fill="F0E8E3" w:val="clear"/>
            <w:tcMar>
              <w:top w:type="dxa" w:w="80"/>
              <w:left w:type="dxa" w:w="120"/>
              <w:bottom w:type="dxa" w:w="80"/>
              <w:right w:type="dxa" w:w="120"/>
            </w:tcMar>
          </w:tcPr>
          <w:p>
            <w:pPr>
              <w:jc w:val="center"/>
            </w:pPr>
            <w:r>
              <w:rPr>
                <w:sz w:val="22"/>
                <w:szCs w:val="22"/>
              </w:rPr>
              <w:t xml:space="preserve">—</w:t>
            </w:r>
          </w:p>
        </w:tc>
        <w:tc>
          <w:tcPr>
            <w:tcW w:type="dxa" w:w="1872"/>
            <w:tcBorders>
              <w:top w:val="single" w:color="CCCCCC" w:sz="1"/>
              <w:left w:val="single" w:color="CCCCCC" w:sz="1"/>
              <w:bottom w:val="single" w:color="CCCCCC" w:sz="1"/>
              <w:right w:val="single" w:color="CCCCCC" w:sz="1"/>
            </w:tcBorders>
            <w:shd w:fill="F0E8E3" w:val="clear"/>
            <w:tcMar>
              <w:top w:type="dxa" w:w="80"/>
              <w:left w:type="dxa" w:w="120"/>
              <w:bottom w:type="dxa" w:w="80"/>
              <w:right w:type="dxa" w:w="120"/>
            </w:tcMar>
          </w:tcPr>
          <w:p>
            <w:pPr>
              <w:jc w:val="center"/>
            </w:pPr>
            <w:r>
              <w:rPr>
                <w:sz w:val="22"/>
                <w:szCs w:val="22"/>
              </w:rPr>
              <w:t xml:space="preserve">68%</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Q2 2024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7.1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14.5%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70%</w:t>
            </w:r>
          </w:p>
        </w:tc>
      </w:tr>
      <w:tr>
        <w:tc>
          <w:tcPr>
            <w:tcW w:type="dxa" w:w="1872"/>
            <w:tcBorders>
              <w:top w:val="single" w:color="CCCCCC" w:sz="1"/>
              <w:left w:val="single" w:color="CCCCCC" w:sz="1"/>
              <w:bottom w:val="single" w:color="CCCCCC" w:sz="1"/>
              <w:right w:val="single" w:color="CCCCCC" w:sz="1"/>
            </w:tcBorders>
            <w:shd w:fill="F0E8E3" w:val="clear"/>
            <w:tcMar>
              <w:top w:type="dxa" w:w="80"/>
              <w:left w:type="dxa" w:w="120"/>
              <w:bottom w:type="dxa" w:w="80"/>
              <w:right w:type="dxa" w:w="120"/>
            </w:tcMar>
          </w:tcPr>
          <w:p>
            <w:pPr>
              <w:jc w:val="center"/>
            </w:pPr>
            <w:r>
              <w:rPr>
                <w:sz w:val="22"/>
                <w:szCs w:val="22"/>
              </w:rPr>
              <w:t xml:space="preserve">Q3 2024</w:t>
            </w:r>
          </w:p>
        </w:tc>
        <w:tc>
          <w:tcPr>
            <w:tcW w:type="dxa" w:w="1872"/>
            <w:tcBorders>
              <w:top w:val="single" w:color="CCCCCC" w:sz="1"/>
              <w:left w:val="single" w:color="CCCCCC" w:sz="1"/>
              <w:bottom w:val="single" w:color="CCCCCC" w:sz="1"/>
              <w:right w:val="single" w:color="CCCCCC" w:sz="1"/>
            </w:tcBorders>
            <w:shd w:fill="F0E8E3" w:val="clear"/>
            <w:tcMar>
              <w:top w:type="dxa" w:w="80"/>
              <w:left w:type="dxa" w:w="120"/>
              <w:bottom w:type="dxa" w:w="80"/>
              <w:right w:type="dxa" w:w="120"/>
            </w:tcMar>
          </w:tcPr>
          <w:p>
            <w:pPr>
              <w:jc w:val="center"/>
            </w:pPr>
            <w:r>
              <w:rPr>
                <w:sz w:val="22"/>
                <w:szCs w:val="22"/>
              </w:rPr>
              <w:t xml:space="preserve">8.9</w:t>
            </w:r>
          </w:p>
        </w:tc>
        <w:tc>
          <w:tcPr>
            <w:tcW w:type="dxa" w:w="1872"/>
            <w:tcBorders>
              <w:top w:val="single" w:color="CCCCCC" w:sz="1"/>
              <w:left w:val="single" w:color="CCCCCC" w:sz="1"/>
              <w:bottom w:val="single" w:color="CCCCCC" w:sz="1"/>
              <w:right w:val="single" w:color="CCCCCC" w:sz="1"/>
            </w:tcBorders>
            <w:shd w:fill="F0E8E3" w:val="clear"/>
            <w:tcMar>
              <w:top w:type="dxa" w:w="80"/>
              <w:left w:type="dxa" w:w="120"/>
              <w:bottom w:type="dxa" w:w="80"/>
              <w:right w:type="dxa" w:w="120"/>
            </w:tcMar>
          </w:tcPr>
          <w:p>
            <w:pPr>
              <w:jc w:val="center"/>
            </w:pPr>
            <w:r>
              <w:rPr>
                <w:sz w:val="22"/>
                <w:szCs w:val="22"/>
              </w:rPr>
              <w:t xml:space="preserve">25.4%</w:t>
            </w:r>
          </w:p>
        </w:tc>
        <w:tc>
          <w:tcPr>
            <w:tcW w:type="dxa" w:w="1872"/>
            <w:tcBorders>
              <w:top w:val="single" w:color="CCCCCC" w:sz="1"/>
              <w:left w:val="single" w:color="CCCCCC" w:sz="1"/>
              <w:bottom w:val="single" w:color="CCCCCC" w:sz="1"/>
              <w:right w:val="single" w:color="CCCCCC" w:sz="1"/>
            </w:tcBorders>
            <w:shd w:fill="F0E8E3" w:val="clear"/>
            <w:tcMar>
              <w:top w:type="dxa" w:w="80"/>
              <w:left w:type="dxa" w:w="120"/>
              <w:bottom w:type="dxa" w:w="80"/>
              <w:right w:type="dxa" w:w="120"/>
            </w:tcMar>
          </w:tcPr>
          <w:p>
            <w:pPr>
              <w:jc w:val="center"/>
            </w:pPr>
            <w:r>
              <w:rPr>
                <w:sz w:val="22"/>
                <w:szCs w:val="22"/>
              </w:rPr>
              <w:t xml:space="preserve">—</w:t>
            </w:r>
          </w:p>
        </w:tc>
        <w:tc>
          <w:tcPr>
            <w:tcW w:type="dxa" w:w="1872"/>
            <w:tcBorders>
              <w:top w:val="single" w:color="CCCCCC" w:sz="1"/>
              <w:left w:val="single" w:color="CCCCCC" w:sz="1"/>
              <w:bottom w:val="single" w:color="CCCCCC" w:sz="1"/>
              <w:right w:val="single" w:color="CCCCCC" w:sz="1"/>
            </w:tcBorders>
            <w:shd w:fill="F0E8E3" w:val="clear"/>
            <w:tcMar>
              <w:top w:type="dxa" w:w="80"/>
              <w:left w:type="dxa" w:w="120"/>
              <w:bottom w:type="dxa" w:w="80"/>
              <w:right w:type="dxa" w:w="120"/>
            </w:tcMar>
          </w:tcPr>
          <w:p>
            <w:pPr>
              <w:jc w:val="center"/>
            </w:pPr>
            <w:r>
              <w:rPr>
                <w:sz w:val="22"/>
                <w:szCs w:val="22"/>
              </w:rPr>
              <w:t xml:space="preserve">71%</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Q4 2024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9.3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4.5%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72%</w:t>
            </w:r>
          </w:p>
        </w:tc>
      </w:tr>
      <w:tr>
        <w:tc>
          <w:tcPr>
            <w:tcW w:type="dxa" w:w="1872"/>
            <w:tcBorders>
              <w:top w:val="single" w:color="CCCCCC" w:sz="1"/>
              <w:left w:val="single" w:color="CCCCCC" w:sz="1"/>
              <w:bottom w:val="single" w:color="CCCCCC" w:sz="1"/>
              <w:right w:val="single" w:color="CCCCCC" w:sz="1"/>
            </w:tcBorders>
            <w:shd w:fill="D4A5A0" w:val="clear"/>
            <w:tcMar>
              <w:top w:type="dxa" w:w="80"/>
              <w:left w:type="dxa" w:w="120"/>
              <w:bottom w:type="dxa" w:w="80"/>
              <w:right w:type="dxa" w:w="120"/>
            </w:tcMar>
          </w:tcPr>
          <w:p>
            <w:pPr>
              <w:jc w:val="center"/>
            </w:pPr>
            <w:r>
              <w:rPr>
                <w:b/>
                <w:bCs/>
                <w:sz w:val="22"/>
                <w:szCs w:val="22"/>
              </w:rPr>
              <w:t xml:space="preserve">Q1 2026</w:t>
            </w:r>
          </w:p>
        </w:tc>
        <w:tc>
          <w:tcPr>
            <w:tcW w:type="dxa" w:w="1872"/>
            <w:tcBorders>
              <w:top w:val="single" w:color="CCCCCC" w:sz="1"/>
              <w:left w:val="single" w:color="CCCCCC" w:sz="1"/>
              <w:bottom w:val="single" w:color="CCCCCC" w:sz="1"/>
              <w:right w:val="single" w:color="CCCCCC" w:sz="1"/>
            </w:tcBorders>
            <w:shd w:fill="D4A5A0" w:val="clear"/>
            <w:tcMar>
              <w:top w:type="dxa" w:w="80"/>
              <w:left w:type="dxa" w:w="120"/>
              <w:bottom w:type="dxa" w:w="80"/>
              <w:right w:type="dxa" w:w="120"/>
            </w:tcMar>
          </w:tcPr>
          <w:p>
            <w:pPr>
              <w:jc w:val="center"/>
            </w:pPr>
            <w:r>
              <w:rPr>
                <w:b/>
                <w:bCs/>
                <w:sz w:val="22"/>
                <w:szCs w:val="22"/>
              </w:rPr>
              <w:t xml:space="preserve">12.5</w:t>
            </w:r>
          </w:p>
        </w:tc>
        <w:tc>
          <w:tcPr>
            <w:tcW w:type="dxa" w:w="1872"/>
            <w:tcBorders>
              <w:top w:val="single" w:color="CCCCCC" w:sz="1"/>
              <w:left w:val="single" w:color="CCCCCC" w:sz="1"/>
              <w:bottom w:val="single" w:color="CCCCCC" w:sz="1"/>
              <w:right w:val="single" w:color="CCCCCC" w:sz="1"/>
            </w:tcBorders>
            <w:shd w:fill="D4A5A0" w:val="clear"/>
            <w:tcMar>
              <w:top w:type="dxa" w:w="80"/>
              <w:left w:type="dxa" w:w="120"/>
              <w:bottom w:type="dxa" w:w="80"/>
              <w:right w:type="dxa" w:w="120"/>
            </w:tcMar>
          </w:tcPr>
          <w:p>
            <w:pPr>
              <w:jc w:val="center"/>
            </w:pPr>
            <w:r>
              <w:rPr>
                <w:b/>
                <w:bCs/>
                <w:sz w:val="22"/>
                <w:szCs w:val="22"/>
              </w:rPr>
              <w:t xml:space="preserve">34.4%</w:t>
            </w:r>
          </w:p>
        </w:tc>
        <w:tc>
          <w:tcPr>
            <w:tcW w:type="dxa" w:w="1872"/>
            <w:tcBorders>
              <w:top w:val="single" w:color="CCCCCC" w:sz="1"/>
              <w:left w:val="single" w:color="CCCCCC" w:sz="1"/>
              <w:bottom w:val="single" w:color="CCCCCC" w:sz="1"/>
              <w:right w:val="single" w:color="CCCCCC" w:sz="1"/>
            </w:tcBorders>
            <w:shd w:fill="D4A5A0" w:val="clear"/>
            <w:tcMar>
              <w:top w:type="dxa" w:w="80"/>
              <w:left w:type="dxa" w:w="120"/>
              <w:bottom w:type="dxa" w:w="80"/>
              <w:right w:type="dxa" w:w="120"/>
            </w:tcMar>
          </w:tcPr>
          <w:p>
            <w:pPr>
              <w:jc w:val="center"/>
            </w:pPr>
            <w:r>
              <w:rPr>
                <w:b/>
                <w:bCs/>
                <w:sz w:val="22"/>
                <w:szCs w:val="22"/>
              </w:rPr>
              <w:t xml:space="preserve">34.4%</w:t>
            </w:r>
          </w:p>
        </w:tc>
        <w:tc>
          <w:tcPr>
            <w:tcW w:type="dxa" w:w="1872"/>
            <w:tcBorders>
              <w:top w:val="single" w:color="CCCCCC" w:sz="1"/>
              <w:left w:val="single" w:color="CCCCCC" w:sz="1"/>
              <w:bottom w:val="single" w:color="CCCCCC" w:sz="1"/>
              <w:right w:val="single" w:color="CCCCCC" w:sz="1"/>
            </w:tcBorders>
            <w:shd w:fill="D4A5A0" w:val="clear"/>
            <w:tcMar>
              <w:top w:type="dxa" w:w="80"/>
              <w:left w:type="dxa" w:w="120"/>
              <w:bottom w:type="dxa" w:w="80"/>
              <w:right w:type="dxa" w:w="120"/>
            </w:tcMar>
          </w:tcPr>
          <w:p>
            <w:pPr>
              <w:jc w:val="center"/>
            </w:pPr>
            <w:r>
              <w:rPr>
                <w:b/>
                <w:bCs/>
                <w:sz w:val="22"/>
                <w:szCs w:val="22"/>
              </w:rPr>
              <w:t xml:space="preserve">73%</w:t>
            </w:r>
          </w:p>
        </w:tc>
      </w:tr>
    </w:tbl>
    <w:p>
      <w:pPr>
        <w:spacing w:after="200"/>
      </w:pPr>
    </w:p>
    <w:p>
      <w:pPr>
        <w:pStyle w:val="Heading2"/>
      </w:pPr>
      <w:r>
        <w:t xml:space="preserve">تحليل المصروفات والأرباح</w:t>
      </w:r>
    </w:p>
    <w:p>
      <w:pPr>
        <w:spacing w:after="200"/>
      </w:pPr>
      <w:r>
        <w:t xml:space="preserve">بلغت إجمالي المصروفات التشغيلية 8.9 مليون دولار في الربع الأول من 2026، منها 5.2 مليون دولار لتكاليف الأفراد و 1.8 مليون دولار للعمليات التقنية. حقق التقرير هامش إجمالي بنسبة 73٪، مع صافي ربح يبلغ 2.3 مليون دولار. يعكس هذا التحسن الكفاءة المتزايدة في العمليات وتقليل تكاليف التشغيل المتغيرة من خلال توسيع نطاق البنية التحتية.</w:t>
      </w:r>
    </w:p>
    <w:p>
      <w:pPr>
        <w:pStyle w:val="Heading1"/>
      </w:pPr>
      <w:r>
        <w:t xml:space="preserve">نمو العملاء</w:t>
      </w:r>
    </w:p>
    <w:p>
      <w:pPr>
        <w:pStyle w:val="Heading2"/>
      </w:pPr>
      <w:r>
        <w:t xml:space="preserve">توسع قاعدة العملاء</w:t>
      </w:r>
    </w:p>
    <w:p>
      <w:pPr>
        <w:spacing w:after="200"/>
      </w:pPr>
      <w:r>
        <w:t xml:space="preserve">شهدت شركة نواة نمواً ملموساً في قاعدة العملاء، حيث ارتفع عدد العملاء النشطين من 1,850 عميل في نهاية الربع الرابع من 2025 إلى 2,368 عميل في نهاية الربع الأول من 2026. يعادل هذا الارتفاع نسبة نمو 28٪ من ربع إلى آخر، و 42٪ من سنة إلى سنة. تم استقطاب العملاء الجدد بشكل أساسي من القطاعات المالية والصناعية والخدمات الحكومية.</w:t>
      </w:r>
    </w:p>
    <w:p>
      <w:pPr>
        <w:pStyle w:val="Heading2"/>
      </w:pPr>
      <w:r>
        <w:t xml:space="preserve">جدول مؤشرات الأداء للعملاء</w:t>
      </w:r>
    </w:p>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C2704F" w:val="clear"/>
            <w:tcMar>
              <w:top w:type="dxa" w:w="80"/>
              <w:left w:type="dxa" w:w="120"/>
              <w:bottom w:type="dxa" w:w="80"/>
              <w:right w:type="dxa" w:w="120"/>
            </w:tcMar>
          </w:tcPr>
          <w:p>
            <w:pPr>
              <w:jc w:val="center"/>
            </w:pPr>
            <w:r>
              <w:rPr>
                <w:b/>
                <w:bCs/>
                <w:color w:val="FFFFFF"/>
                <w:sz w:val="22"/>
                <w:szCs w:val="22"/>
              </w:rPr>
              <w:t xml:space="preserve">المؤشر</w:t>
            </w:r>
          </w:p>
        </w:tc>
        <w:tc>
          <w:tcPr>
            <w:tcW w:type="dxa" w:w="2340"/>
            <w:tcBorders>
              <w:top w:val="single" w:color="CCCCCC" w:sz="1"/>
              <w:left w:val="single" w:color="CCCCCC" w:sz="1"/>
              <w:bottom w:val="single" w:color="CCCCCC" w:sz="1"/>
              <w:right w:val="single" w:color="CCCCCC" w:sz="1"/>
            </w:tcBorders>
            <w:shd w:fill="C2704F" w:val="clear"/>
            <w:tcMar>
              <w:top w:type="dxa" w:w="80"/>
              <w:left w:type="dxa" w:w="120"/>
              <w:bottom w:type="dxa" w:w="80"/>
              <w:right w:type="dxa" w:w="120"/>
            </w:tcMar>
          </w:tcPr>
          <w:p>
            <w:pPr>
              <w:jc w:val="center"/>
            </w:pPr>
            <w:r>
              <w:rPr>
                <w:b/>
                <w:bCs/>
                <w:color w:val="FFFFFF"/>
                <w:sz w:val="22"/>
                <w:szCs w:val="22"/>
              </w:rPr>
              <w:t xml:space="preserve">Q4 2025</w:t>
            </w:r>
          </w:p>
        </w:tc>
        <w:tc>
          <w:tcPr>
            <w:tcW w:type="dxa" w:w="2340"/>
            <w:tcBorders>
              <w:top w:val="single" w:color="CCCCCC" w:sz="1"/>
              <w:left w:val="single" w:color="CCCCCC" w:sz="1"/>
              <w:bottom w:val="single" w:color="CCCCCC" w:sz="1"/>
              <w:right w:val="single" w:color="CCCCCC" w:sz="1"/>
            </w:tcBorders>
            <w:shd w:fill="C2704F" w:val="clear"/>
            <w:tcMar>
              <w:top w:type="dxa" w:w="80"/>
              <w:left w:type="dxa" w:w="120"/>
              <w:bottom w:type="dxa" w:w="80"/>
              <w:right w:type="dxa" w:w="120"/>
            </w:tcMar>
          </w:tcPr>
          <w:p>
            <w:pPr>
              <w:jc w:val="center"/>
            </w:pPr>
            <w:r>
              <w:rPr>
                <w:b/>
                <w:bCs/>
                <w:color w:val="FFFFFF"/>
                <w:sz w:val="22"/>
                <w:szCs w:val="22"/>
              </w:rPr>
              <w:t xml:space="preserve">Q1 2026</w:t>
            </w:r>
          </w:p>
        </w:tc>
        <w:tc>
          <w:tcPr>
            <w:tcW w:type="dxa" w:w="2340"/>
            <w:tcBorders>
              <w:top w:val="single" w:color="CCCCCC" w:sz="1"/>
              <w:left w:val="single" w:color="CCCCCC" w:sz="1"/>
              <w:bottom w:val="single" w:color="CCCCCC" w:sz="1"/>
              <w:right w:val="single" w:color="CCCCCC" w:sz="1"/>
            </w:tcBorders>
            <w:shd w:fill="C2704F" w:val="clear"/>
            <w:tcMar>
              <w:top w:type="dxa" w:w="80"/>
              <w:left w:type="dxa" w:w="120"/>
              <w:bottom w:type="dxa" w:w="80"/>
              <w:right w:type="dxa" w:w="120"/>
            </w:tcMar>
          </w:tcPr>
          <w:p>
            <w:pPr>
              <w:jc w:val="center"/>
            </w:pPr>
            <w:r>
              <w:rPr>
                <w:b/>
                <w:bCs/>
                <w:color w:val="FFFFFF"/>
                <w:sz w:val="22"/>
                <w:szCs w:val="22"/>
              </w:rPr>
              <w:t xml:space="preserve">النمو (%)</w:t>
            </w:r>
          </w:p>
        </w:tc>
      </w:tr>
      <w:tr>
        <w:tc>
          <w:tcPr>
            <w:tcW w:type="dxa" w:w="2340"/>
            <w:tcBorders>
              <w:top w:val="single" w:color="CCCCCC" w:sz="1"/>
              <w:left w:val="single" w:color="CCCCCC" w:sz="1"/>
              <w:bottom w:val="single" w:color="CCCCCC" w:sz="1"/>
              <w:right w:val="single" w:color="CCCCCC" w:sz="1"/>
            </w:tcBorders>
            <w:shd w:fill="F0E8E3" w:val="clear"/>
            <w:tcMar>
              <w:top w:type="dxa" w:w="80"/>
              <w:left w:type="dxa" w:w="120"/>
              <w:bottom w:type="dxa" w:w="80"/>
              <w:right w:type="dxa" w:w="120"/>
            </w:tcMar>
          </w:tcPr>
          <w:p>
            <w:r>
              <w:rPr>
                <w:sz w:val="22"/>
                <w:szCs w:val="22"/>
              </w:rPr>
              <w:t xml:space="preserve">إجمالي العملاء النشطين</w:t>
            </w:r>
          </w:p>
        </w:tc>
        <w:tc>
          <w:tcPr>
            <w:tcW w:type="dxa" w:w="2340"/>
            <w:tcBorders>
              <w:top w:val="single" w:color="CCCCCC" w:sz="1"/>
              <w:left w:val="single" w:color="CCCCCC" w:sz="1"/>
              <w:bottom w:val="single" w:color="CCCCCC" w:sz="1"/>
              <w:right w:val="single" w:color="CCCCCC" w:sz="1"/>
            </w:tcBorders>
            <w:shd w:fill="F0E8E3" w:val="clear"/>
            <w:tcMar>
              <w:top w:type="dxa" w:w="80"/>
              <w:left w:type="dxa" w:w="120"/>
              <w:bottom w:type="dxa" w:w="80"/>
              <w:right w:type="dxa" w:w="120"/>
            </w:tcMar>
          </w:tcPr>
          <w:p>
            <w:pPr>
              <w:jc w:val="center"/>
            </w:pPr>
            <w:r>
              <w:rPr>
                <w:sz w:val="22"/>
                <w:szCs w:val="22"/>
              </w:rPr>
              <w:t xml:space="preserve">1,850</w:t>
            </w:r>
          </w:p>
        </w:tc>
        <w:tc>
          <w:tcPr>
            <w:tcW w:type="dxa" w:w="2340"/>
            <w:tcBorders>
              <w:top w:val="single" w:color="CCCCCC" w:sz="1"/>
              <w:left w:val="single" w:color="CCCCCC" w:sz="1"/>
              <w:bottom w:val="single" w:color="CCCCCC" w:sz="1"/>
              <w:right w:val="single" w:color="CCCCCC" w:sz="1"/>
            </w:tcBorders>
            <w:shd w:fill="F0E8E3" w:val="clear"/>
            <w:tcMar>
              <w:top w:type="dxa" w:w="80"/>
              <w:left w:type="dxa" w:w="120"/>
              <w:bottom w:type="dxa" w:w="80"/>
              <w:right w:type="dxa" w:w="120"/>
            </w:tcMar>
          </w:tcPr>
          <w:p>
            <w:pPr>
              <w:jc w:val="center"/>
            </w:pPr>
            <w:r>
              <w:rPr>
                <w:sz w:val="22"/>
                <w:szCs w:val="22"/>
              </w:rPr>
              <w:t xml:space="preserve">2,368</w:t>
            </w:r>
          </w:p>
        </w:tc>
        <w:tc>
          <w:tcPr>
            <w:tcW w:type="dxa" w:w="2340"/>
            <w:tcBorders>
              <w:top w:val="single" w:color="CCCCCC" w:sz="1"/>
              <w:left w:val="single" w:color="CCCCCC" w:sz="1"/>
              <w:bottom w:val="single" w:color="CCCCCC" w:sz="1"/>
              <w:right w:val="single" w:color="CCCCCC" w:sz="1"/>
            </w:tcBorders>
            <w:shd w:fill="F0E8E3" w:val="clear"/>
            <w:tcMar>
              <w:top w:type="dxa" w:w="80"/>
              <w:left w:type="dxa" w:w="120"/>
              <w:bottom w:type="dxa" w:w="80"/>
              <w:right w:type="dxa" w:w="120"/>
            </w:tcMar>
          </w:tcPr>
          <w:p>
            <w:pPr>
              <w:jc w:val="center"/>
            </w:pPr>
            <w:r>
              <w:rPr>
                <w:sz w:val="22"/>
                <w:szCs w:val="22"/>
              </w:rPr>
              <w:t xml:space="preserve">+28%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معدل الاحتفاظ بالعملاء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89%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92%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+3%</w:t>
            </w:r>
          </w:p>
        </w:tc>
      </w:tr>
      <w:tr>
        <w:tc>
          <w:tcPr>
            <w:tcW w:type="dxa" w:w="2340"/>
            <w:tcBorders>
              <w:top w:val="single" w:color="CCCCCC" w:sz="1"/>
              <w:left w:val="single" w:color="CCCCCC" w:sz="1"/>
              <w:bottom w:val="single" w:color="CCCCCC" w:sz="1"/>
              <w:right w:val="single" w:color="CCCCCC" w:sz="1"/>
            </w:tcBorders>
            <w:shd w:fill="F0E8E3" w:val="clear"/>
            <w:tcMar>
              <w:top w:type="dxa" w:w="80"/>
              <w:left w:type="dxa" w:w="120"/>
              <w:bottom w:type="dxa" w:w="80"/>
              <w:right w:type="dxa" w:w="120"/>
            </w:tcMar>
          </w:tcPr>
          <w:p>
            <w:r>
              <w:rPr>
                <w:sz w:val="22"/>
                <w:szCs w:val="22"/>
              </w:rPr>
              <w:t xml:space="preserve">تكلفة الاستحصال (دولار/عميل)</w:t>
            </w:r>
          </w:p>
        </w:tc>
        <w:tc>
          <w:tcPr>
            <w:tcW w:type="dxa" w:w="2340"/>
            <w:tcBorders>
              <w:top w:val="single" w:color="CCCCCC" w:sz="1"/>
              <w:left w:val="single" w:color="CCCCCC" w:sz="1"/>
              <w:bottom w:val="single" w:color="CCCCCC" w:sz="1"/>
              <w:right w:val="single" w:color="CCCCCC" w:sz="1"/>
            </w:tcBorders>
            <w:shd w:fill="F0E8E3" w:val="clear"/>
            <w:tcMar>
              <w:top w:type="dxa" w:w="80"/>
              <w:left w:type="dxa" w:w="120"/>
              <w:bottom w:type="dxa" w:w="80"/>
              <w:right w:type="dxa" w:w="120"/>
            </w:tcMar>
          </w:tcPr>
          <w:p>
            <w:pPr>
              <w:jc w:val="center"/>
            </w:pPr>
            <w:r>
              <w:rPr>
                <w:sz w:val="22"/>
                <w:szCs w:val="22"/>
              </w:rPr>
              <w:t xml:space="preserve">$485</w:t>
            </w:r>
          </w:p>
        </w:tc>
        <w:tc>
          <w:tcPr>
            <w:tcW w:type="dxa" w:w="2340"/>
            <w:tcBorders>
              <w:top w:val="single" w:color="CCCCCC" w:sz="1"/>
              <w:left w:val="single" w:color="CCCCCC" w:sz="1"/>
              <w:bottom w:val="single" w:color="CCCCCC" w:sz="1"/>
              <w:right w:val="single" w:color="CCCCCC" w:sz="1"/>
            </w:tcBorders>
            <w:shd w:fill="F0E8E3" w:val="clear"/>
            <w:tcMar>
              <w:top w:type="dxa" w:w="80"/>
              <w:left w:type="dxa" w:w="120"/>
              <w:bottom w:type="dxa" w:w="80"/>
              <w:right w:type="dxa" w:w="120"/>
            </w:tcMar>
          </w:tcPr>
          <w:p>
            <w:pPr>
              <w:jc w:val="center"/>
            </w:pPr>
            <w:r>
              <w:rPr>
                <w:sz w:val="22"/>
                <w:szCs w:val="22"/>
              </w:rPr>
              <w:t xml:space="preserve">$412</w:t>
            </w:r>
          </w:p>
        </w:tc>
        <w:tc>
          <w:tcPr>
            <w:tcW w:type="dxa" w:w="2340"/>
            <w:tcBorders>
              <w:top w:val="single" w:color="CCCCCC" w:sz="1"/>
              <w:left w:val="single" w:color="CCCCCC" w:sz="1"/>
              <w:bottom w:val="single" w:color="CCCCCC" w:sz="1"/>
              <w:right w:val="single" w:color="CCCCCC" w:sz="1"/>
            </w:tcBorders>
            <w:shd w:fill="F0E8E3" w:val="clear"/>
            <w:tcMar>
              <w:top w:type="dxa" w:w="80"/>
              <w:left w:type="dxa" w:w="120"/>
              <w:bottom w:type="dxa" w:w="80"/>
              <w:right w:type="dxa" w:w="120"/>
            </w:tcMar>
          </w:tcPr>
          <w:p>
            <w:pPr>
              <w:jc w:val="center"/>
            </w:pPr>
            <w:r>
              <w:rPr>
                <w:sz w:val="22"/>
                <w:szCs w:val="22"/>
              </w:rPr>
              <w:t xml:space="preserve">-15%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القيمة الدائمة للعميل (دولار)</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$8,250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$9,145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22"/>
                <w:szCs w:val="22"/>
              </w:rPr>
              <w:t xml:space="preserve">+10.8%</w:t>
            </w:r>
          </w:p>
        </w:tc>
      </w:tr>
    </w:tbl>
    <w:p>
      <w:pPr>
        <w:spacing w:after="200"/>
      </w:pPr>
    </w:p>
    <w:p>
      <w:pPr>
        <w:pStyle w:val="Heading2"/>
      </w:pPr>
      <w:r>
        <w:t xml:space="preserve">استراتيجية الاحتفاظ والتوسع</w:t>
      </w:r>
    </w:p>
    <w:p>
      <w:pPr>
        <w:spacing w:after="240"/>
      </w:pPr>
      <w:r>
        <w:t xml:space="preserve">حققت الشركة معدل احتفاظ بالعملاء بلغ 92٪، وهو مؤشر إيجابي على رضا العملاء عن الخدمات المقدمة. تركزت استراتيجية التوسع على تطوير حلول مخصصة للقطاع المالي، والتي أثمرت عن إضافة 312 عميل جديد في القطاع. كما تم تقليل تكلفة الاستحصال بمقدار $73 دولار لكل عميل من خلال تحسين استهداف الحملات التسويقية الرقمية.</w:t>
      </w:r>
    </w:p>
    <w:p>
      <w:pPr>
        <w:pStyle w:val="Heading1"/>
      </w:pPr>
      <w:r>
        <w:t xml:space="preserve">التحديات التشغيلية</w:t>
      </w:r>
    </w:p>
    <w:p>
      <w:pPr>
        <w:pStyle w:val="Heading2"/>
      </w:pPr>
      <w:r>
        <w:t xml:space="preserve">الضغوط على القوى العاملة</w:t>
      </w:r>
    </w:p>
    <w:p>
      <w:pPr>
        <w:spacing w:after="200"/>
      </w:pPr>
      <w:r>
        <w:t xml:space="preserve">واجهت الشركة تحديات متعلقة بالموارد البشرية، حيث شهدت معدل دوران موظفين بلغ 12٪ في الربع الأول. يعزى هذا جزئياً إلى المنافسة الشديدة من قبل شركات التكنولوجيا الكبرى في السوق. تعمل الإدارة على تحسين برامج التطوير المهني والحوافز لتقليل معدل الدوران وتحسين الاحتفاظ بالمواهب الأساسية.</w:t>
      </w:r>
    </w:p>
    <w:p>
      <w:pPr>
        <w:pStyle w:val="Heading2"/>
      </w:pPr>
      <w:r>
        <w:t xml:space="preserve">قيود البنية التحتية</w:t>
      </w:r>
    </w:p>
    <w:p>
      <w:pPr>
        <w:spacing w:after="240"/>
      </w:pPr>
      <w:r>
        <w:t xml:space="preserve">أظهرت أنظمة البنية التحتية التقنية حاجة إلى تحديث وتوسيع. واجهت الشركة فترات انقطاع طفيفة في الخدمة بمجموع 4 ساعات خلال الربع، مما أثر على 2.1٪ من العملاء النشطين. يتطلب الوضع استثمارات إضافية في البنية التحتية السحابية والأنظمة المراقبة لضمان توفر الخدمة 99.95٪ في الربع القادم.</w:t>
      </w:r>
    </w:p>
    <w:p>
      <w:pPr>
        <w:pBdr>
          <w:left w:val="single" w:color="0070C0" w:sz="24" w:space="1"/>
        </w:pBdr>
        <w:spacing w:after="200" w:before="200"/>
      </w:pPr>
      <w:r>
        <w:rPr>
          <w:b/>
          <w:bCs/>
          <w:color w:val="0070C0"/>
          <w:sz w:val="24"/>
          <w:szCs w:val="24"/>
        </w:rPr>
        <w:t xml:space="preserve">ملاحظة: </w:t>
      </w:r>
      <w:r>
        <w:rPr>
          <w:sz w:val="22"/>
          <w:szCs w:val="22"/>
        </w:rPr>
        <w:t xml:space="preserve">جميع البيانات المالية والتشغيلية الواردة في هذا التقرير مأخوذة من أنظمة CRM والمحاسبة المركزية للشركة وتم التحقق منها من قبل فريق التدقيق الداخلي. آخر تحديث للبيانات كان في 31 مارس 2026.</w:t>
      </w:r>
    </w:p>
    <w:p>
      <w:pPr>
        <w:pBdr>
          <w:left w:val="single" w:color="C65911" w:sz="24" w:space="1"/>
        </w:pBdr>
        <w:spacing w:after="240" w:before="200"/>
      </w:pPr>
      <w:r>
        <w:rPr>
          <w:b/>
          <w:bCs/>
          <w:color w:val="C65911"/>
          <w:sz w:val="24"/>
          <w:szCs w:val="24"/>
        </w:rPr>
        <w:t xml:space="preserve">تحذير: </w:t>
      </w:r>
      <w:r>
        <w:rPr>
          <w:sz w:val="22"/>
          <w:szCs w:val="22"/>
        </w:rPr>
        <w:t xml:space="preserve">يتوقع الفريق التحليلي مخاطر معتدلة في الربع الثاني من 2026، خاصة فيما يتعلق بزيادة التنافسية في السوق وتأثيرات التضخم على تكاليف التشغيل. قد تؤدي هذه العوامل إلى انخفاض في هوامش الربح بحدود 2-3٪ إذا لم يتم اتخاذ إجراءات تصحيحية فورية.</w:t>
      </w:r>
    </w:p>
    <w:p>
      <w:pPr>
        <w:pStyle w:val="Heading1"/>
      </w:pPr>
      <w:r>
        <w:t xml:space="preserve">خارطة الطريق</w:t>
      </w:r>
    </w:p>
    <w:p>
      <w:pPr>
        <w:pStyle w:val="Heading2"/>
      </w:pPr>
      <w:r>
        <w:t xml:space="preserve">أولويات الربع الثاني</w:t>
      </w:r>
    </w:p>
    <w:p>
      <w:pPr>
        <w:spacing w:after="200"/>
      </w:pPr>
      <w:r>
        <w:t xml:space="preserve">تركز خارطة طريق الربع الثاني على ثلاث محاور رئيسية: (1) تحسين البنية التحتية التقنية من خلال ترقية الأنظمة المركزية وزيادة الموثوقية، (2) توسيع الحضور الجغرافي في السوق الآسيوية خاصة في دول مجلس التعاون الخليجي، (3) تطوير منتجات جديدة في مجالات الذكاء الاصطناعي والأتمتة الذكية.</w:t>
      </w:r>
    </w:p>
    <w:p>
      <w:pPr>
        <w:pStyle w:val="Heading2"/>
      </w:pPr>
      <w:r>
        <w:t xml:space="preserve">الاستثمارات المخطط لها</w:t>
      </w:r>
    </w:p>
    <w:p>
      <w:pPr>
        <w:spacing w:after="240"/>
      </w:pPr>
      <w:r>
        <w:t xml:space="preserve">تخطط الشركة لاستثمار 3.2 مليون دولار في الربع الثاني والثالث من 2026، موزعة كما يلي: 1.5 مليون دولار للبنية التحتية التقنية، 1.2 مليون دولار لتوظيف مهندسي البرمجيات والمتخصصين، و 0.5 مليون دولار لحملات التسويق والتوسع الجغرافي. تهدف هذه الاستثمارات إلى دعم الأهداف الاستراتيجية والحفاظ على معدل النمو المستهدف بنسبة 30٪ سنوياً.</w:t>
      </w:r>
    </w:p>
    <w:p>
      <w:pPr>
        <w:pStyle w:val="Heading1"/>
      </w:pPr>
      <w:r>
        <w:t xml:space="preserve">التحليلات التقنية</w:t>
      </w:r>
    </w:p>
    <w:p>
      <w:pPr>
        <w:pStyle w:val="Heading2"/>
      </w:pPr>
      <w:r>
        <w:t xml:space="preserve">استعلام حساب نمو الإيرادات</w:t>
      </w:r>
    </w:p>
    <w:p>
      <w:pPr>
        <w:spacing w:after="120"/>
      </w:pPr>
      <w:r>
        <w:rPr>
          <w:sz w:val="22"/>
          <w:szCs w:val="22"/>
        </w:rPr>
        <w:t xml:space="preserve">يمكن استخدام الاستعلام التالي لحساب معدل نمو الإيرادات الفصلية من قاعدة البيانات المركزية:</w:t>
      </w:r>
    </w:p>
    <w:p>
      <w:pPr>
        <w:pBdr>
          <w:top w:val="single" w:color="CCCCCC" w:sz="1"/>
          <w:bottom w:val="single" w:color="CCCCCC" w:sz="1"/>
          <w:left w:val="single" w:color="CCCCCC" w:sz="1"/>
          <w:right w:val="single" w:color="CCCCCC" w:sz="1"/>
        </w:pBdr>
        <w:shd w:fill="F5F5F5" w:val="clear"/>
        <w:spacing w:after="240"/>
      </w:pPr>
      <w:r>
        <w:rPr>
          <w:rFonts w:ascii="Courier New" w:cs="Courier New" w:eastAsia="Courier New" w:hAnsi="Courier New"/>
          <w:color w:val="333333"/>
          <w:sz w:val="20"/>
          <w:szCs w:val="20"/>
        </w:rPr>
        <w:t xml:space="preserve">SELECT
  DATE_TRUNC('quarter', order_date) AS quarter,
  SUM(revenue_amount) AS total_revenue,
  LAG(SUM(revenue_amount)) OVER (ORDER BY DATE_TRUNC('quarter', order_date)) AS prev_quarter_revenue,
  ROUND((SUM(revenue_amount) - LAG(SUM(revenue_amount)) OVER (ORDER BY DATE_TRUNC('quarter', order_date))) / LAG(SUM(revenue_amount)) OVER (ORDER BY DATE_TRUNC('quarter', order_date)) * 100, 2) AS growth_rate_percent
FROM orders
WHERE order_date &gt;= '2024-01-01'
GROUP BY DATE_TRUNC('quarter', order_date)
ORDER BY quarter;</w:t>
      </w:r>
    </w:p>
    <w:p>
      <w:pPr>
        <w:spacing w:after="240"/>
      </w:pPr>
      <w:r>
        <w:rPr>
          <w:sz w:val="22"/>
          <w:szCs w:val="22"/>
        </w:rPr>
        <w:t xml:space="preserve">يعيد هذا الاستعلام نتائج توضح الإيرادات الإجمالية لكل ربع، والإيرادات في الربع السابق، ومعدل النمو بين الفترتين كنسبة مئوية. يساعد ذلك الإدارة على تتبع الاتجاهات والتنبؤ بالأداء المستقبلي.</w:t>
      </w:r>
    </w:p>
    <w:p>
      <w:pPr>
        <w:pStyle w:val="Heading1"/>
      </w:pPr>
      <w:r>
        <w:t xml:space="preserve">التوصيات</w:t>
      </w:r>
    </w:p>
    <w:p>
      <w:pPr>
        <w:pStyle w:val="Heading2"/>
      </w:pPr>
      <w:r>
        <w:t xml:space="preserve">الخطوات الموصى بها</w:t>
      </w:r>
    </w:p>
    <w:p>
      <w:pPr>
        <w:spacing w:after="240"/>
      </w:pPr>
      <w:r>
        <w:t xml:space="preserve">بناءً على تحليل شامل للأداء في الربع الأول من 2026، يوصي فريق التحليل باتخاذ الخطوات التالية:</w:t>
      </w:r>
    </w:p>
    <w:p>
      <w:pPr>
        <w:pStyle w:val="ListParagraph"/>
        <w:numPr>
          <w:ilvl w:val="0"/>
          <w:numId w:val="2"/>
        </w:numPr>
      </w:pPr>
      <w:r>
        <w:rPr>
          <w:sz w:val="22"/>
          <w:szCs w:val="22"/>
        </w:rPr>
        <w:t xml:space="preserve">تسريع استثمارات البنية التحتية: من الحتمي تخصيص موارد إضافية لتحديث وتوسيع البنية التحتية التقنية لضمان توفر الخدمة وتقليل فترات الانقطاع. يجب الانتهاء من المشروع بحلول نهاية الربع الثاني للحد من المخاطر التشغيلية.</w:t>
      </w:r>
    </w:p>
    <w:p>
      <w:pPr>
        <w:pStyle w:val="ListParagraph"/>
        <w:numPr>
          <w:ilvl w:val="0"/>
          <w:numId w:val="2"/>
        </w:numPr>
      </w:pPr>
      <w:r>
        <w:rPr>
          <w:sz w:val="22"/>
          <w:szCs w:val="22"/>
        </w:rPr>
        <w:t xml:space="preserve">تعزيز برامج الاحتفاظ بالموارد البشرية: يجب تطوير برنامج تطوير مهني شامل وزيادة الحوافز المالية والمزايا الإضافية لتقليل معدل دوران الموظفين من 12٪ إلى أقل من 8٪ خلال الستة أشهر القادمة.</w:t>
      </w:r>
    </w:p>
    <w:p>
      <w:pPr>
        <w:pStyle w:val="ListParagraph"/>
        <w:numPr>
          <w:ilvl w:val="0"/>
          <w:numId w:val="2"/>
        </w:numPr>
      </w:pPr>
      <w:r>
        <w:rPr>
          <w:sz w:val="22"/>
          <w:szCs w:val="22"/>
        </w:rPr>
        <w:t xml:space="preserve">توسيع وجود السوق الجغرافي: التركيز على دول مجلس التعاون الخليجي والأسواق الآسيوية الناشئة التي تظهر نموات عالية. تخصيص 35٪ من موارد التسويق للتوسع الجغرافي المستهدف.</w:t>
      </w:r>
    </w:p>
    <w:p>
      <w:pPr>
        <w:pStyle w:val="ListParagraph"/>
        <w:numPr>
          <w:ilvl w:val="0"/>
          <w:numId w:val="2"/>
        </w:numPr>
      </w:pPr>
      <w:r>
        <w:rPr>
          <w:sz w:val="22"/>
          <w:szCs w:val="22"/>
        </w:rPr>
        <w:t xml:space="preserve">تطوير مصادر إيرادات جديدة: الاستثمار في منتجات القطاع المالي والحلول المتخصصة للقطاع الحكومي يمكن أن تحقق هامش ربح أعلى بمعدل 8-10٪ مقارنة بالمنتجات الحالية.</w:t>
      </w:r>
    </w:p>
    <w:p>
      <w:pPr>
        <w:pStyle w:val="ListParagraph"/>
        <w:numPr>
          <w:ilvl w:val="0"/>
          <w:numId w:val="2"/>
        </w:numPr>
      </w:pPr>
      <w:r>
        <w:rPr>
          <w:sz w:val="22"/>
          <w:szCs w:val="22"/>
        </w:rPr>
        <w:t xml:space="preserve">تحسين تكاليف الاستحصال: الاستمرار في تحسين استهداف الحملات التسويقية الرقمية للحفاظ على معدل الانخفاض في تكلفة الاستحصال. استهداف تقليل التكلفة إلى $350 دولار لكل عميل بحلول نهاية 2026.</w:t>
      </w:r>
    </w:p>
    <w:p>
      <w:pPr>
        <w:pStyle w:val="ListParagraph"/>
        <w:numPr>
          <w:ilvl w:val="0"/>
          <w:numId w:val="2"/>
        </w:numPr>
      </w:pPr>
      <w:r>
        <w:rPr>
          <w:sz w:val="22"/>
          <w:szCs w:val="22"/>
        </w:rPr>
        <w:t xml:space="preserve">مراقبة المؤشرات الاقتصادية الكلية: متابعة دقيقة لمعدلات التضخم وأسعار الفائدة والتطورات الاقتصادية العامة في الأسواق المستهدفة لتعديل الاستراتيجيات بناءً على التغيرات.</w:t>
      </w:r>
    </w:p>
    <w:p>
      <w:pPr>
        <w:spacing w:after="0" w:before="24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C2704F"/>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C2704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2026-05-06T12:02:28.137Z</dcterms:created>
  <dcterms:modified xsi:type="dcterms:W3CDTF">2026-05-06T12:02:28.152Z</dcterms:modified>
</cp:coreProperties>
</file>

<file path=docProps/custom.xml><?xml version="1.0" encoding="utf-8"?>
<Properties xmlns="http://schemas.openxmlformats.org/officeDocument/2006/custom-properties" xmlns:vt="http://schemas.openxmlformats.org/officeDocument/2006/docPropsVTypes"/>
</file>