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5603C" w14:textId="14A68EBC" w:rsidR="00B806CF" w:rsidRPr="00C30072" w:rsidRDefault="00065A0A" w:rsidP="00E7227E">
      <w:pPr>
        <w:jc w:val="both"/>
        <w:rPr>
          <w:b/>
          <w:sz w:val="32"/>
        </w:rPr>
      </w:pPr>
      <w:bookmarkStart w:id="0" w:name="_GoBack"/>
      <w:bookmarkEnd w:id="0"/>
      <w:r w:rsidRPr="00C30072">
        <w:rPr>
          <w:b/>
          <w:sz w:val="32"/>
        </w:rPr>
        <w:t xml:space="preserve">AE </w:t>
      </w:r>
      <w:r w:rsidR="008D0F78" w:rsidRPr="00C30072">
        <w:rPr>
          <w:b/>
          <w:sz w:val="32"/>
        </w:rPr>
        <w:t>4</w:t>
      </w:r>
      <w:r w:rsidR="007D52A7">
        <w:rPr>
          <w:b/>
          <w:sz w:val="32"/>
        </w:rPr>
        <w:t>376</w:t>
      </w:r>
      <w:r w:rsidRPr="00C30072">
        <w:rPr>
          <w:b/>
          <w:sz w:val="32"/>
        </w:rPr>
        <w:t xml:space="preserve"> </w:t>
      </w:r>
      <w:r w:rsidR="00C717D1" w:rsidRPr="00C30072">
        <w:rPr>
          <w:b/>
          <w:sz w:val="32"/>
        </w:rPr>
        <w:t>–</w:t>
      </w:r>
      <w:r w:rsidRPr="00C30072">
        <w:rPr>
          <w:b/>
          <w:sz w:val="32"/>
        </w:rPr>
        <w:t xml:space="preserve"> </w:t>
      </w:r>
      <w:r w:rsidR="008D0F78" w:rsidRPr="00C30072">
        <w:rPr>
          <w:b/>
          <w:sz w:val="40"/>
          <w:szCs w:val="40"/>
        </w:rPr>
        <w:t>Accident Causation and System Safety</w:t>
      </w:r>
    </w:p>
    <w:p w14:paraId="0A399CD1" w14:textId="77777777" w:rsidR="00B806CF" w:rsidRPr="00C30072" w:rsidRDefault="00B806CF" w:rsidP="00E7227E">
      <w:pPr>
        <w:jc w:val="both"/>
        <w:rPr>
          <w:b/>
          <w:sz w:val="24"/>
          <w:szCs w:val="24"/>
        </w:rPr>
      </w:pPr>
    </w:p>
    <w:p w14:paraId="5F41A82F" w14:textId="51B17773" w:rsidR="00B806CF" w:rsidRPr="00C30072" w:rsidRDefault="00B806CF" w:rsidP="00E7227E">
      <w:pPr>
        <w:tabs>
          <w:tab w:val="left" w:pos="360"/>
        </w:tabs>
        <w:jc w:val="both"/>
        <w:rPr>
          <w:b/>
          <w:i/>
          <w:sz w:val="22"/>
          <w:szCs w:val="22"/>
        </w:rPr>
      </w:pPr>
      <w:r w:rsidRPr="00C30072">
        <w:rPr>
          <w:b/>
          <w:smallCaps/>
          <w:sz w:val="22"/>
          <w:szCs w:val="22"/>
        </w:rPr>
        <w:t xml:space="preserve">Hours: </w:t>
      </w:r>
      <w:r w:rsidR="007E4C03" w:rsidRPr="00C30072">
        <w:rPr>
          <w:smallCaps/>
          <w:sz w:val="22"/>
          <w:szCs w:val="22"/>
        </w:rPr>
        <w:t>2</w:t>
      </w:r>
      <w:r w:rsidRPr="00C30072">
        <w:rPr>
          <w:smallCaps/>
          <w:sz w:val="22"/>
          <w:szCs w:val="22"/>
        </w:rPr>
        <w:t>-0-</w:t>
      </w:r>
      <w:r w:rsidR="001B0EDB" w:rsidRPr="00C30072">
        <w:rPr>
          <w:smallCaps/>
          <w:sz w:val="22"/>
          <w:szCs w:val="22"/>
        </w:rPr>
        <w:t>2</w:t>
      </w:r>
    </w:p>
    <w:p w14:paraId="78EF8A5D" w14:textId="77777777" w:rsidR="000C5EFD" w:rsidRPr="00C30072" w:rsidRDefault="000C5EFD" w:rsidP="00E7227E">
      <w:pPr>
        <w:tabs>
          <w:tab w:val="left" w:pos="360"/>
        </w:tabs>
        <w:jc w:val="both"/>
        <w:rPr>
          <w:b/>
          <w:smallCaps/>
          <w:sz w:val="22"/>
          <w:szCs w:val="22"/>
        </w:rPr>
      </w:pPr>
    </w:p>
    <w:p w14:paraId="03660133" w14:textId="77777777" w:rsidR="00B806CF" w:rsidRPr="00C30072" w:rsidRDefault="00B806CF" w:rsidP="00E7227E">
      <w:pPr>
        <w:tabs>
          <w:tab w:val="left" w:pos="360"/>
        </w:tabs>
        <w:jc w:val="both"/>
        <w:rPr>
          <w:b/>
          <w:sz w:val="22"/>
          <w:szCs w:val="22"/>
        </w:rPr>
      </w:pPr>
      <w:r w:rsidRPr="00C30072">
        <w:rPr>
          <w:b/>
          <w:smallCaps/>
          <w:sz w:val="22"/>
          <w:szCs w:val="22"/>
        </w:rPr>
        <w:t>Catalog Description</w:t>
      </w:r>
      <w:r w:rsidRPr="00C30072">
        <w:rPr>
          <w:b/>
          <w:sz w:val="22"/>
          <w:szCs w:val="22"/>
        </w:rPr>
        <w:t xml:space="preserve">: </w:t>
      </w:r>
    </w:p>
    <w:p w14:paraId="2C74DA25" w14:textId="76D3097B" w:rsidR="00350B28" w:rsidRPr="00C30072" w:rsidRDefault="00756279" w:rsidP="00E7227E">
      <w:pPr>
        <w:tabs>
          <w:tab w:val="left" w:pos="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engineering students should be safety literate. </w:t>
      </w:r>
      <w:r w:rsidR="00A41EEA" w:rsidRPr="00C30072">
        <w:rPr>
          <w:sz w:val="22"/>
          <w:szCs w:val="22"/>
        </w:rPr>
        <w:t>This course provides an in-depth examination of the multi-disciplinary issues in accident causation and system safety (prevention) across different industries.</w:t>
      </w:r>
    </w:p>
    <w:p w14:paraId="69367CC3" w14:textId="77777777" w:rsidR="007E4C03" w:rsidRPr="00C30072" w:rsidRDefault="007E4C03" w:rsidP="00E7227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14:paraId="19E183CD" w14:textId="77777777" w:rsidR="00B806CF" w:rsidRPr="00C30072" w:rsidRDefault="00B806CF" w:rsidP="00E7227E">
      <w:pPr>
        <w:tabs>
          <w:tab w:val="left" w:pos="360"/>
        </w:tabs>
        <w:jc w:val="both"/>
        <w:rPr>
          <w:sz w:val="22"/>
          <w:szCs w:val="22"/>
        </w:rPr>
      </w:pPr>
      <w:r w:rsidRPr="00C30072">
        <w:rPr>
          <w:b/>
          <w:smallCaps/>
          <w:sz w:val="22"/>
          <w:szCs w:val="22"/>
        </w:rPr>
        <w:t>Prerequisites</w:t>
      </w:r>
      <w:r w:rsidRPr="00C30072">
        <w:rPr>
          <w:b/>
          <w:sz w:val="22"/>
          <w:szCs w:val="22"/>
        </w:rPr>
        <w:t xml:space="preserve">:  </w:t>
      </w:r>
    </w:p>
    <w:p w14:paraId="7BD8F0D4" w14:textId="483B2761" w:rsidR="008D4C28" w:rsidRPr="00C30072" w:rsidRDefault="007E4C03" w:rsidP="00E7227E">
      <w:pPr>
        <w:tabs>
          <w:tab w:val="left" w:pos="360"/>
        </w:tabs>
        <w:ind w:left="720"/>
        <w:jc w:val="both"/>
        <w:rPr>
          <w:rFonts w:eastAsiaTheme="minorEastAsia"/>
          <w:sz w:val="22"/>
          <w:szCs w:val="22"/>
          <w:lang w:eastAsia="ja-JP"/>
        </w:rPr>
      </w:pPr>
      <w:r w:rsidRPr="00C30072">
        <w:rPr>
          <w:rFonts w:eastAsiaTheme="minorEastAsia"/>
          <w:sz w:val="22"/>
          <w:szCs w:val="22"/>
          <w:lang w:eastAsia="ja-JP"/>
        </w:rPr>
        <w:t>None… except a strong</w:t>
      </w:r>
      <w:r w:rsidRPr="00C30072">
        <w:rPr>
          <w:b/>
          <w:sz w:val="22"/>
          <w:szCs w:val="22"/>
        </w:rPr>
        <w:t xml:space="preserve"> </w:t>
      </w:r>
      <w:r w:rsidRPr="00C30072">
        <w:rPr>
          <w:rFonts w:eastAsiaTheme="minorEastAsia"/>
          <w:sz w:val="22"/>
          <w:szCs w:val="22"/>
          <w:lang w:eastAsia="ja-JP"/>
        </w:rPr>
        <w:t>appetite for learning.</w:t>
      </w:r>
    </w:p>
    <w:p w14:paraId="20628444" w14:textId="77777777" w:rsidR="007E4C03" w:rsidRPr="00C30072" w:rsidRDefault="007E4C03" w:rsidP="00E7227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14:paraId="4C9BFB5D" w14:textId="77777777" w:rsidR="008D4C28" w:rsidRPr="00C30072" w:rsidRDefault="008D4C28" w:rsidP="00E7227E">
      <w:pPr>
        <w:tabs>
          <w:tab w:val="left" w:pos="360"/>
        </w:tabs>
        <w:jc w:val="both"/>
        <w:rPr>
          <w:sz w:val="22"/>
          <w:szCs w:val="22"/>
        </w:rPr>
      </w:pPr>
      <w:r w:rsidRPr="00C30072">
        <w:rPr>
          <w:b/>
          <w:smallCaps/>
          <w:sz w:val="22"/>
          <w:szCs w:val="22"/>
        </w:rPr>
        <w:t>textbooks</w:t>
      </w:r>
      <w:r w:rsidRPr="00C30072">
        <w:rPr>
          <w:b/>
          <w:sz w:val="22"/>
          <w:szCs w:val="22"/>
        </w:rPr>
        <w:t>:</w:t>
      </w:r>
    </w:p>
    <w:p w14:paraId="1706EC7D" w14:textId="4A141F67" w:rsidR="00457808" w:rsidRPr="00C30072" w:rsidRDefault="007E4C03" w:rsidP="00E7227E">
      <w:pPr>
        <w:tabs>
          <w:tab w:val="left" w:pos="360"/>
        </w:tabs>
        <w:ind w:left="720"/>
        <w:jc w:val="both"/>
        <w:rPr>
          <w:sz w:val="22"/>
          <w:szCs w:val="22"/>
        </w:rPr>
      </w:pPr>
      <w:r w:rsidRPr="00C30072">
        <w:rPr>
          <w:sz w:val="22"/>
          <w:szCs w:val="22"/>
        </w:rPr>
        <w:t>No textbook required</w:t>
      </w:r>
      <w:r w:rsidR="0064157B" w:rsidRPr="00C30072">
        <w:rPr>
          <w:sz w:val="22"/>
          <w:szCs w:val="22"/>
        </w:rPr>
        <w:t>.</w:t>
      </w:r>
      <w:r w:rsidR="00350A70" w:rsidRPr="00C30072">
        <w:rPr>
          <w:sz w:val="22"/>
          <w:szCs w:val="22"/>
        </w:rPr>
        <w:t xml:space="preserve"> Lecture notes, accident investigations reports, and published articles will be used/provided.</w:t>
      </w:r>
    </w:p>
    <w:p w14:paraId="7FAB38BE" w14:textId="77777777" w:rsidR="00101943" w:rsidRPr="00C30072" w:rsidRDefault="00101943" w:rsidP="00E7227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14:paraId="66ACE036" w14:textId="77777777" w:rsidR="00B806CF" w:rsidRPr="00C30072" w:rsidRDefault="00B806CF" w:rsidP="00E7227E">
      <w:pPr>
        <w:jc w:val="both"/>
        <w:rPr>
          <w:b/>
          <w:smallCaps/>
          <w:sz w:val="22"/>
          <w:szCs w:val="22"/>
        </w:rPr>
      </w:pPr>
      <w:r w:rsidRPr="00C30072">
        <w:rPr>
          <w:b/>
          <w:smallCaps/>
          <w:sz w:val="22"/>
          <w:szCs w:val="22"/>
        </w:rPr>
        <w:t xml:space="preserve">Course Objectives:  </w:t>
      </w:r>
    </w:p>
    <w:p w14:paraId="396E917D" w14:textId="0007C673" w:rsidR="0064157B" w:rsidRPr="00C30072" w:rsidRDefault="0057642B" w:rsidP="00E7227E">
      <w:pPr>
        <w:ind w:left="720"/>
        <w:jc w:val="both"/>
        <w:outlineLvl w:val="0"/>
        <w:rPr>
          <w:sz w:val="22"/>
          <w:szCs w:val="22"/>
        </w:rPr>
      </w:pPr>
      <w:r w:rsidRPr="00C30072">
        <w:rPr>
          <w:sz w:val="22"/>
          <w:szCs w:val="22"/>
        </w:rPr>
        <w:t>To provide the students with a solid understanding of the multi-disciplinary issues in accident causation and system safety</w:t>
      </w:r>
      <w:r w:rsidR="0048467D" w:rsidRPr="00C30072">
        <w:rPr>
          <w:sz w:val="22"/>
          <w:szCs w:val="22"/>
        </w:rPr>
        <w:t>, including</w:t>
      </w:r>
      <w:r w:rsidRPr="00C30072">
        <w:rPr>
          <w:sz w:val="22"/>
          <w:szCs w:val="22"/>
        </w:rPr>
        <w:t xml:space="preserve">: </w:t>
      </w:r>
    </w:p>
    <w:p w14:paraId="1F0E71B0" w14:textId="4554E2CC" w:rsidR="0064157B" w:rsidRPr="00C30072" w:rsidRDefault="0057642B" w:rsidP="00E7227E">
      <w:pPr>
        <w:pStyle w:val="ListParagraph"/>
        <w:numPr>
          <w:ilvl w:val="0"/>
          <w:numId w:val="28"/>
        </w:num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the anatomy of accidents</w:t>
      </w:r>
      <w:r w:rsidR="00CE45B9" w:rsidRPr="00C30072">
        <w:rPr>
          <w:rFonts w:ascii="Times New Roman" w:hAnsi="Times New Roman" w:cs="Times New Roman"/>
          <w:sz w:val="22"/>
          <w:szCs w:val="22"/>
        </w:rPr>
        <w:t xml:space="preserve"> across different industries</w:t>
      </w:r>
      <w:r w:rsidR="0064157B" w:rsidRPr="00C30072">
        <w:rPr>
          <w:rFonts w:ascii="Times New Roman" w:hAnsi="Times New Roman" w:cs="Times New Roman"/>
          <w:sz w:val="22"/>
          <w:szCs w:val="22"/>
        </w:rPr>
        <w:t xml:space="preserve">, including their </w:t>
      </w:r>
      <w:r w:rsidR="00CE45B9" w:rsidRPr="00C30072">
        <w:rPr>
          <w:rFonts w:ascii="Times New Roman" w:hAnsi="Times New Roman" w:cs="Times New Roman"/>
          <w:sz w:val="22"/>
          <w:szCs w:val="22"/>
        </w:rPr>
        <w:t>common</w:t>
      </w:r>
      <w:r w:rsidR="0064157B" w:rsidRPr="00C30072">
        <w:rPr>
          <w:rFonts w:ascii="Times New Roman" w:hAnsi="Times New Roman" w:cs="Times New Roman"/>
          <w:sz w:val="22"/>
          <w:szCs w:val="22"/>
        </w:rPr>
        <w:t xml:space="preserve"> features</w:t>
      </w:r>
      <w:r w:rsidRPr="00C30072">
        <w:rPr>
          <w:rFonts w:ascii="Times New Roman" w:hAnsi="Times New Roman" w:cs="Times New Roman"/>
          <w:sz w:val="22"/>
          <w:szCs w:val="22"/>
        </w:rPr>
        <w:t xml:space="preserve"> </w:t>
      </w:r>
      <w:r w:rsidR="0064157B" w:rsidRPr="00C30072">
        <w:rPr>
          <w:rFonts w:ascii="Times New Roman" w:hAnsi="Times New Roman" w:cs="Times New Roman"/>
          <w:sz w:val="22"/>
          <w:szCs w:val="22"/>
        </w:rPr>
        <w:t>(temporal depth of causality and diversity of agency)</w:t>
      </w:r>
      <w:r w:rsidR="00BD07FB" w:rsidRPr="00C30072">
        <w:rPr>
          <w:rFonts w:ascii="Times New Roman" w:hAnsi="Times New Roman" w:cs="Times New Roman"/>
          <w:sz w:val="22"/>
          <w:szCs w:val="22"/>
        </w:rPr>
        <w:t>;</w:t>
      </w:r>
    </w:p>
    <w:p w14:paraId="7811478F" w14:textId="648D8EB7" w:rsidR="0064157B" w:rsidRPr="00C30072" w:rsidRDefault="0057642B" w:rsidP="00E7227E">
      <w:pPr>
        <w:pStyle w:val="ListParagraph"/>
        <w:numPr>
          <w:ilvl w:val="0"/>
          <w:numId w:val="28"/>
        </w:num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 xml:space="preserve">fundamental failure mechanisms and causal basis of this distinctive class of adverse events; </w:t>
      </w:r>
    </w:p>
    <w:p w14:paraId="6D35EF1F" w14:textId="25A8EB75" w:rsidR="0064157B" w:rsidRPr="00C30072" w:rsidRDefault="0057642B" w:rsidP="00E7227E">
      <w:pPr>
        <w:pStyle w:val="ListParagraph"/>
        <w:numPr>
          <w:ilvl w:val="0"/>
          <w:numId w:val="28"/>
        </w:num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 xml:space="preserve">general system safety principles for accident </w:t>
      </w:r>
      <w:r w:rsidR="0064157B" w:rsidRPr="00C30072">
        <w:rPr>
          <w:rFonts w:ascii="Times New Roman" w:hAnsi="Times New Roman" w:cs="Times New Roman"/>
          <w:sz w:val="22"/>
          <w:szCs w:val="22"/>
        </w:rPr>
        <w:t>prevention</w:t>
      </w:r>
      <w:r w:rsidR="00BD07FB" w:rsidRPr="00C30072">
        <w:rPr>
          <w:rFonts w:ascii="Times New Roman" w:hAnsi="Times New Roman" w:cs="Times New Roman"/>
          <w:sz w:val="22"/>
          <w:szCs w:val="22"/>
        </w:rPr>
        <w:t>;</w:t>
      </w:r>
    </w:p>
    <w:p w14:paraId="1FAEBA66" w14:textId="3CEF8AC9" w:rsidR="0057642B" w:rsidRPr="00C30072" w:rsidRDefault="0057642B" w:rsidP="00E7227E">
      <w:pPr>
        <w:pStyle w:val="ListParagraph"/>
        <w:numPr>
          <w:ilvl w:val="0"/>
          <w:numId w:val="28"/>
        </w:num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 xml:space="preserve">issues in risk analysis </w:t>
      </w:r>
      <w:r w:rsidR="0048467D" w:rsidRPr="00C30072">
        <w:rPr>
          <w:rFonts w:ascii="Times New Roman" w:hAnsi="Times New Roman" w:cs="Times New Roman"/>
          <w:sz w:val="22"/>
          <w:szCs w:val="22"/>
        </w:rPr>
        <w:t xml:space="preserve">(tools and challenges) </w:t>
      </w:r>
      <w:r w:rsidRPr="00C30072">
        <w:rPr>
          <w:rFonts w:ascii="Times New Roman" w:hAnsi="Times New Roman" w:cs="Times New Roman"/>
          <w:sz w:val="22"/>
          <w:szCs w:val="22"/>
        </w:rPr>
        <w:t>and choice paradigms for risk-informed decisions</w:t>
      </w:r>
      <w:r w:rsidR="00BD07FB" w:rsidRPr="00C30072">
        <w:rPr>
          <w:rFonts w:ascii="Times New Roman" w:hAnsi="Times New Roman" w:cs="Times New Roman"/>
          <w:sz w:val="22"/>
          <w:szCs w:val="22"/>
        </w:rPr>
        <w:t>.</w:t>
      </w:r>
    </w:p>
    <w:p w14:paraId="6D483F6A" w14:textId="77777777" w:rsidR="00B806CF" w:rsidRPr="00C30072" w:rsidRDefault="00B806CF" w:rsidP="00E7227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14:paraId="57DC5A03" w14:textId="62C582D8" w:rsidR="00CE45B9" w:rsidRPr="00C30072" w:rsidRDefault="00CE45B9" w:rsidP="00E7227E">
      <w:pPr>
        <w:ind w:left="720"/>
        <w:jc w:val="both"/>
        <w:outlineLvl w:val="0"/>
        <w:rPr>
          <w:sz w:val="22"/>
          <w:szCs w:val="22"/>
        </w:rPr>
      </w:pPr>
      <w:r w:rsidRPr="00C30072">
        <w:rPr>
          <w:sz w:val="22"/>
          <w:szCs w:val="22"/>
        </w:rPr>
        <w:t>The</w:t>
      </w:r>
      <w:r w:rsidR="0057642B" w:rsidRPr="00C30072">
        <w:rPr>
          <w:sz w:val="22"/>
          <w:szCs w:val="22"/>
          <w:lang w:bidi="en-US"/>
        </w:rPr>
        <w:t xml:space="preserve"> best technology transfer mode comes “wearing shoes”; by educating and engaging engineering students in the multidisciplinary issues of accident causation and system safety, </w:t>
      </w:r>
      <w:r w:rsidR="00CA6F33" w:rsidRPr="00C30072">
        <w:rPr>
          <w:sz w:val="22"/>
          <w:szCs w:val="22"/>
          <w:lang w:bidi="en-US"/>
        </w:rPr>
        <w:t xml:space="preserve">this course </w:t>
      </w:r>
      <w:r w:rsidR="00782E6B" w:rsidRPr="00C30072">
        <w:rPr>
          <w:sz w:val="22"/>
          <w:szCs w:val="22"/>
          <w:lang w:bidi="en-US"/>
        </w:rPr>
        <w:t>seeks</w:t>
      </w:r>
      <w:r w:rsidR="00CA6F33" w:rsidRPr="00C30072">
        <w:rPr>
          <w:sz w:val="22"/>
          <w:szCs w:val="22"/>
          <w:lang w:bidi="en-US"/>
        </w:rPr>
        <w:t xml:space="preserve"> to</w:t>
      </w:r>
      <w:r w:rsidR="0057642B" w:rsidRPr="00C30072">
        <w:rPr>
          <w:sz w:val="22"/>
          <w:szCs w:val="22"/>
        </w:rPr>
        <w:t xml:space="preserve"> infuse </w:t>
      </w:r>
      <w:r w:rsidR="00CA6F33" w:rsidRPr="00C30072">
        <w:rPr>
          <w:sz w:val="22"/>
          <w:szCs w:val="22"/>
        </w:rPr>
        <w:t>the</w:t>
      </w:r>
      <w:r w:rsidR="0057642B" w:rsidRPr="00C30072">
        <w:rPr>
          <w:sz w:val="22"/>
          <w:szCs w:val="22"/>
        </w:rPr>
        <w:t xml:space="preserve"> students,</w:t>
      </w:r>
      <w:r w:rsidR="0057642B" w:rsidRPr="00C30072">
        <w:rPr>
          <w:sz w:val="22"/>
          <w:szCs w:val="22"/>
          <w:lang w:bidi="en-US"/>
        </w:rPr>
        <w:t xml:space="preserve"> the future contributors, managers, and leaders of technology-intensive or hazardous industries, </w:t>
      </w:r>
      <w:r w:rsidR="00CA6F33" w:rsidRPr="00C30072">
        <w:rPr>
          <w:sz w:val="22"/>
          <w:szCs w:val="22"/>
          <w:lang w:bidi="en-US"/>
        </w:rPr>
        <w:t xml:space="preserve">with a proper safety competence, </w:t>
      </w:r>
      <w:r w:rsidR="0057642B" w:rsidRPr="00C30072">
        <w:rPr>
          <w:sz w:val="22"/>
          <w:szCs w:val="22"/>
          <w:lang w:bidi="en-US"/>
        </w:rPr>
        <w:t>accident awareness</w:t>
      </w:r>
      <w:r w:rsidR="00CA6F33" w:rsidRPr="00C30072">
        <w:rPr>
          <w:sz w:val="22"/>
          <w:szCs w:val="22"/>
          <w:lang w:bidi="en-US"/>
        </w:rPr>
        <w:t>, and safety culture</w:t>
      </w:r>
      <w:r w:rsidR="0057642B" w:rsidRPr="00C30072">
        <w:rPr>
          <w:sz w:val="22"/>
          <w:szCs w:val="22"/>
          <w:lang w:bidi="en-US"/>
        </w:rPr>
        <w:t xml:space="preserve"> </w:t>
      </w:r>
      <w:r w:rsidR="00FE2052" w:rsidRPr="00C30072">
        <w:rPr>
          <w:sz w:val="22"/>
          <w:szCs w:val="22"/>
          <w:lang w:bidi="en-US"/>
        </w:rPr>
        <w:t>before they enter the workforce.</w:t>
      </w:r>
      <w:r w:rsidR="0057642B" w:rsidRPr="00C30072">
        <w:rPr>
          <w:sz w:val="22"/>
          <w:szCs w:val="22"/>
          <w:lang w:bidi="en-US"/>
        </w:rPr>
        <w:t xml:space="preserve"> </w:t>
      </w:r>
      <w:r w:rsidR="00FE2052" w:rsidRPr="00C30072">
        <w:rPr>
          <w:sz w:val="22"/>
          <w:szCs w:val="22"/>
          <w:lang w:bidi="en-US"/>
        </w:rPr>
        <w:t>I</w:t>
      </w:r>
      <w:r w:rsidR="0057642B" w:rsidRPr="00C30072">
        <w:rPr>
          <w:sz w:val="22"/>
          <w:szCs w:val="22"/>
          <w:lang w:bidi="en-US"/>
        </w:rPr>
        <w:t xml:space="preserve">n so doing, </w:t>
      </w:r>
      <w:r w:rsidR="00F851B6" w:rsidRPr="00C30072">
        <w:rPr>
          <w:sz w:val="22"/>
          <w:szCs w:val="22"/>
          <w:lang w:bidi="en-US"/>
        </w:rPr>
        <w:t xml:space="preserve">it is hoped </w:t>
      </w:r>
      <w:r w:rsidR="00840B3F" w:rsidRPr="00C30072">
        <w:rPr>
          <w:sz w:val="22"/>
          <w:szCs w:val="22"/>
          <w:lang w:bidi="en-US"/>
        </w:rPr>
        <w:t>the course</w:t>
      </w:r>
      <w:r w:rsidR="0057642B" w:rsidRPr="00C30072">
        <w:rPr>
          <w:sz w:val="22"/>
          <w:szCs w:val="22"/>
          <w:lang w:bidi="en-US"/>
        </w:rPr>
        <w:t xml:space="preserve"> will contribute, in the long-term, one small step towards accident prevention.</w:t>
      </w:r>
      <w:r w:rsidR="00E7227E" w:rsidRPr="00C30072">
        <w:rPr>
          <w:sz w:val="22"/>
          <w:szCs w:val="22"/>
        </w:rPr>
        <w:t xml:space="preserve"> </w:t>
      </w:r>
      <w:r w:rsidRPr="00C30072">
        <w:rPr>
          <w:sz w:val="22"/>
          <w:szCs w:val="22"/>
        </w:rPr>
        <w:t xml:space="preserve">The end-objective of this course is to </w:t>
      </w:r>
      <w:r w:rsidR="00F851B6" w:rsidRPr="00C30072">
        <w:rPr>
          <w:sz w:val="22"/>
          <w:szCs w:val="22"/>
        </w:rPr>
        <w:t>advance</w:t>
      </w:r>
      <w:r w:rsidRPr="00C30072">
        <w:rPr>
          <w:sz w:val="22"/>
          <w:szCs w:val="22"/>
        </w:rPr>
        <w:t xml:space="preserve"> the common safety agenda of redu</w:t>
      </w:r>
      <w:r w:rsidR="00F851B6" w:rsidRPr="00C30072">
        <w:rPr>
          <w:sz w:val="22"/>
          <w:szCs w:val="22"/>
        </w:rPr>
        <w:t>cing</w:t>
      </w:r>
      <w:r w:rsidRPr="00C30072">
        <w:rPr>
          <w:sz w:val="22"/>
          <w:szCs w:val="22"/>
        </w:rPr>
        <w:t xml:space="preserve"> the burden of accidents and injuries, which is significant in this and other countries, and </w:t>
      </w:r>
      <w:r w:rsidR="00D96D20" w:rsidRPr="00C30072">
        <w:rPr>
          <w:sz w:val="22"/>
          <w:szCs w:val="22"/>
        </w:rPr>
        <w:t>to help build a safer society</w:t>
      </w:r>
      <w:r w:rsidRPr="00C30072">
        <w:rPr>
          <w:sz w:val="22"/>
          <w:szCs w:val="22"/>
        </w:rPr>
        <w:t xml:space="preserve"> </w:t>
      </w:r>
      <w:r w:rsidRPr="00C30072">
        <w:rPr>
          <w:bCs/>
          <w:sz w:val="22"/>
          <w:szCs w:val="22"/>
        </w:rPr>
        <w:t>whether in the workplace, during commute, at home, or while handling any engineering product.</w:t>
      </w:r>
    </w:p>
    <w:p w14:paraId="23FAD162" w14:textId="77777777" w:rsidR="00CE45B9" w:rsidRPr="00C30072" w:rsidRDefault="00CE45B9" w:rsidP="00E7227E">
      <w:pPr>
        <w:tabs>
          <w:tab w:val="left" w:pos="360"/>
        </w:tabs>
        <w:jc w:val="both"/>
        <w:rPr>
          <w:sz w:val="22"/>
          <w:szCs w:val="22"/>
        </w:rPr>
      </w:pPr>
    </w:p>
    <w:p w14:paraId="07B5B42E" w14:textId="77777777" w:rsidR="00B806CF" w:rsidRPr="00C30072" w:rsidRDefault="00B806CF" w:rsidP="00E7227E">
      <w:pPr>
        <w:jc w:val="both"/>
        <w:rPr>
          <w:sz w:val="22"/>
          <w:szCs w:val="22"/>
        </w:rPr>
      </w:pPr>
      <w:r w:rsidRPr="00C30072">
        <w:rPr>
          <w:b/>
          <w:smallCaps/>
          <w:sz w:val="22"/>
          <w:szCs w:val="22"/>
        </w:rPr>
        <w:t>Learning Outcomes</w:t>
      </w:r>
      <w:r w:rsidRPr="00C30072">
        <w:rPr>
          <w:b/>
          <w:sz w:val="22"/>
          <w:szCs w:val="22"/>
        </w:rPr>
        <w:t xml:space="preserve">:  </w:t>
      </w:r>
    </w:p>
    <w:p w14:paraId="5AF43C3A" w14:textId="77777777" w:rsidR="00B806CF" w:rsidRPr="00C30072" w:rsidRDefault="00101943" w:rsidP="00E7227E">
      <w:pPr>
        <w:ind w:left="360"/>
        <w:jc w:val="both"/>
        <w:rPr>
          <w:sz w:val="22"/>
          <w:szCs w:val="22"/>
        </w:rPr>
      </w:pPr>
      <w:r w:rsidRPr="00C30072">
        <w:rPr>
          <w:sz w:val="22"/>
          <w:szCs w:val="22"/>
        </w:rPr>
        <w:t>Students will</w:t>
      </w:r>
      <w:r w:rsidR="00937DA9" w:rsidRPr="00C30072">
        <w:rPr>
          <w:sz w:val="22"/>
          <w:szCs w:val="22"/>
        </w:rPr>
        <w:t xml:space="preserve"> </w:t>
      </w:r>
      <w:r w:rsidR="002979EF" w:rsidRPr="00C30072">
        <w:rPr>
          <w:sz w:val="22"/>
          <w:szCs w:val="22"/>
        </w:rPr>
        <w:t>be able to:</w:t>
      </w:r>
    </w:p>
    <w:p w14:paraId="66B76299" w14:textId="7772893C" w:rsidR="006062C3" w:rsidRPr="00C30072" w:rsidRDefault="00214DDE" w:rsidP="00E722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 xml:space="preserve">distinguish between </w:t>
      </w:r>
      <w:r w:rsidR="00B73B40" w:rsidRPr="00C30072">
        <w:rPr>
          <w:rFonts w:ascii="Times New Roman" w:hAnsi="Times New Roman" w:cs="Times New Roman"/>
          <w:sz w:val="22"/>
          <w:szCs w:val="22"/>
        </w:rPr>
        <w:t xml:space="preserve">the </w:t>
      </w:r>
      <w:r w:rsidR="00BF3341" w:rsidRPr="00C30072">
        <w:rPr>
          <w:rFonts w:ascii="Times New Roman" w:hAnsi="Times New Roman" w:cs="Times New Roman"/>
          <w:sz w:val="22"/>
          <w:szCs w:val="22"/>
        </w:rPr>
        <w:t xml:space="preserve">phenomenology and the causal basis </w:t>
      </w:r>
      <w:r w:rsidR="00B73B40" w:rsidRPr="00C30072">
        <w:rPr>
          <w:rFonts w:ascii="Times New Roman" w:hAnsi="Times New Roman" w:cs="Times New Roman"/>
          <w:sz w:val="22"/>
          <w:szCs w:val="22"/>
        </w:rPr>
        <w:t xml:space="preserve">(etiology) </w:t>
      </w:r>
      <w:r w:rsidR="00BF3341" w:rsidRPr="00C30072">
        <w:rPr>
          <w:rFonts w:ascii="Times New Roman" w:hAnsi="Times New Roman" w:cs="Times New Roman"/>
          <w:sz w:val="22"/>
          <w:szCs w:val="22"/>
        </w:rPr>
        <w:t xml:space="preserve">of accidents, and </w:t>
      </w:r>
      <w:r w:rsidR="0048467D" w:rsidRPr="00C30072">
        <w:rPr>
          <w:rFonts w:ascii="Times New Roman" w:hAnsi="Times New Roman" w:cs="Times New Roman"/>
          <w:sz w:val="22"/>
          <w:szCs w:val="22"/>
        </w:rPr>
        <w:t>recognize</w:t>
      </w:r>
      <w:r w:rsidR="00BF3341" w:rsidRPr="00C30072">
        <w:rPr>
          <w:rFonts w:ascii="Times New Roman" w:hAnsi="Times New Roman" w:cs="Times New Roman"/>
          <w:sz w:val="22"/>
          <w:szCs w:val="22"/>
        </w:rPr>
        <w:t xml:space="preserve"> the various multi-disciplinary levers for accident prevention;</w:t>
      </w:r>
    </w:p>
    <w:p w14:paraId="244E6625" w14:textId="1639CA14" w:rsidR="002979EF" w:rsidRPr="00C30072" w:rsidRDefault="00C75E23" w:rsidP="00E722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identify</w:t>
      </w:r>
      <w:r w:rsidR="00BF3341" w:rsidRPr="00C30072">
        <w:rPr>
          <w:rFonts w:ascii="Times New Roman" w:hAnsi="Times New Roman" w:cs="Times New Roman"/>
          <w:sz w:val="22"/>
          <w:szCs w:val="22"/>
        </w:rPr>
        <w:t xml:space="preserve"> fundamental</w:t>
      </w:r>
      <w:r w:rsidR="00954E68" w:rsidRPr="00C30072">
        <w:rPr>
          <w:rFonts w:ascii="Times New Roman" w:hAnsi="Times New Roman" w:cs="Times New Roman"/>
          <w:sz w:val="22"/>
          <w:szCs w:val="22"/>
        </w:rPr>
        <w:t xml:space="preserve"> failure mechanisms in a system</w:t>
      </w:r>
      <w:r w:rsidR="00BF3341" w:rsidRPr="00C30072">
        <w:rPr>
          <w:rFonts w:ascii="Times New Roman" w:hAnsi="Times New Roman" w:cs="Times New Roman"/>
          <w:sz w:val="22"/>
          <w:szCs w:val="22"/>
        </w:rPr>
        <w:t xml:space="preserve"> and </w:t>
      </w:r>
      <w:r w:rsidR="00954E68" w:rsidRPr="00C30072">
        <w:rPr>
          <w:rFonts w:ascii="Times New Roman" w:hAnsi="Times New Roman" w:cs="Times New Roman"/>
          <w:sz w:val="22"/>
          <w:szCs w:val="22"/>
        </w:rPr>
        <w:t>paths to accidents (vulnerabilities)</w:t>
      </w:r>
      <w:r w:rsidR="00BF3341" w:rsidRPr="00C30072">
        <w:rPr>
          <w:rFonts w:ascii="Times New Roman" w:hAnsi="Times New Roman" w:cs="Times New Roman"/>
          <w:sz w:val="22"/>
          <w:szCs w:val="22"/>
        </w:rPr>
        <w:t>;</w:t>
      </w:r>
    </w:p>
    <w:p w14:paraId="31F04F31" w14:textId="448C9ADD" w:rsidR="00F62F27" w:rsidRPr="00C30072" w:rsidRDefault="00C75E23" w:rsidP="00E722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 xml:space="preserve">appreciate the importance of leading </w:t>
      </w:r>
      <w:r w:rsidR="005D434C" w:rsidRPr="00C30072">
        <w:rPr>
          <w:rFonts w:ascii="Times New Roman" w:hAnsi="Times New Roman" w:cs="Times New Roman"/>
          <w:sz w:val="22"/>
          <w:szCs w:val="22"/>
        </w:rPr>
        <w:t xml:space="preserve">safety </w:t>
      </w:r>
      <w:r w:rsidRPr="00C30072">
        <w:rPr>
          <w:rFonts w:ascii="Times New Roman" w:hAnsi="Times New Roman" w:cs="Times New Roman"/>
          <w:sz w:val="22"/>
          <w:szCs w:val="22"/>
        </w:rPr>
        <w:t xml:space="preserve">indicators, accidents pathogens and precursors, </w:t>
      </w:r>
      <w:r w:rsidR="002E1DCC" w:rsidRPr="00C30072">
        <w:rPr>
          <w:rFonts w:ascii="Times New Roman" w:hAnsi="Times New Roman" w:cs="Times New Roman"/>
          <w:sz w:val="22"/>
          <w:szCs w:val="22"/>
        </w:rPr>
        <w:t xml:space="preserve">and </w:t>
      </w:r>
      <w:r w:rsidR="00240AA9" w:rsidRPr="00C30072">
        <w:rPr>
          <w:rFonts w:ascii="Times New Roman" w:hAnsi="Times New Roman" w:cs="Times New Roman"/>
          <w:sz w:val="22"/>
          <w:szCs w:val="22"/>
        </w:rPr>
        <w:t xml:space="preserve">the </w:t>
      </w:r>
      <w:r w:rsidR="002E1DCC" w:rsidRPr="00C30072">
        <w:rPr>
          <w:rFonts w:ascii="Times New Roman" w:hAnsi="Times New Roman" w:cs="Times New Roman"/>
          <w:sz w:val="22"/>
          <w:szCs w:val="22"/>
        </w:rPr>
        <w:t xml:space="preserve">organizational challenges </w:t>
      </w:r>
      <w:r w:rsidR="00240AA9" w:rsidRPr="00C30072">
        <w:rPr>
          <w:rFonts w:ascii="Times New Roman" w:hAnsi="Times New Roman" w:cs="Times New Roman"/>
          <w:sz w:val="22"/>
          <w:szCs w:val="22"/>
        </w:rPr>
        <w:t>of</w:t>
      </w:r>
      <w:r w:rsidR="002E1DCC" w:rsidRPr="00C30072">
        <w:rPr>
          <w:rFonts w:ascii="Times New Roman" w:hAnsi="Times New Roman" w:cs="Times New Roman"/>
          <w:sz w:val="22"/>
          <w:szCs w:val="22"/>
        </w:rPr>
        <w:t xml:space="preserve"> near-miss management system</w:t>
      </w:r>
      <w:r w:rsidR="00240AA9" w:rsidRPr="00C30072">
        <w:rPr>
          <w:rFonts w:ascii="Times New Roman" w:hAnsi="Times New Roman" w:cs="Times New Roman"/>
          <w:sz w:val="22"/>
          <w:szCs w:val="22"/>
        </w:rPr>
        <w:t>s</w:t>
      </w:r>
      <w:r w:rsidR="002E1DCC" w:rsidRPr="00C30072">
        <w:rPr>
          <w:rFonts w:ascii="Times New Roman" w:hAnsi="Times New Roman" w:cs="Times New Roman"/>
          <w:sz w:val="22"/>
          <w:szCs w:val="22"/>
        </w:rPr>
        <w:t>;</w:t>
      </w:r>
    </w:p>
    <w:p w14:paraId="6EB155C2" w14:textId="086AC968" w:rsidR="00B806CF" w:rsidRPr="00C30072" w:rsidRDefault="00631D76" w:rsidP="00E722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develop a working</w:t>
      </w:r>
      <w:r w:rsidR="003302D9" w:rsidRPr="00C30072">
        <w:rPr>
          <w:rFonts w:ascii="Times New Roman" w:hAnsi="Times New Roman" w:cs="Times New Roman"/>
          <w:sz w:val="22"/>
          <w:szCs w:val="22"/>
        </w:rPr>
        <w:t xml:space="preserve"> knowledge of systems safety principles, including defense-in-depth and observability-in-depth, and </w:t>
      </w:r>
      <w:r w:rsidRPr="00C30072">
        <w:rPr>
          <w:rFonts w:ascii="Times New Roman" w:hAnsi="Times New Roman" w:cs="Times New Roman"/>
          <w:sz w:val="22"/>
          <w:szCs w:val="22"/>
        </w:rPr>
        <w:t>an ability</w:t>
      </w:r>
      <w:r w:rsidR="003302D9" w:rsidRPr="00C30072">
        <w:rPr>
          <w:rFonts w:ascii="Times New Roman" w:hAnsi="Times New Roman" w:cs="Times New Roman"/>
          <w:sz w:val="22"/>
          <w:szCs w:val="22"/>
        </w:rPr>
        <w:t xml:space="preserve"> to translate those in different contexts in support of accident prevention and sustainment of system safety;</w:t>
      </w:r>
    </w:p>
    <w:p w14:paraId="20613419" w14:textId="03BD4F4F" w:rsidR="00293A7E" w:rsidRPr="00C30072" w:rsidRDefault="004A2468" w:rsidP="00E722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critically evaluate</w:t>
      </w:r>
      <w:r w:rsidR="00B73B40" w:rsidRPr="00C3007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D1C5A" w:rsidRPr="00C30072">
        <w:rPr>
          <w:rFonts w:ascii="Times New Roman" w:hAnsi="Times New Roman" w:cs="Times New Roman"/>
          <w:color w:val="000000"/>
          <w:sz w:val="22"/>
          <w:szCs w:val="22"/>
        </w:rPr>
        <w:t>contributions</w:t>
      </w:r>
      <w:r w:rsidR="00B73B40" w:rsidRPr="00C30072">
        <w:rPr>
          <w:rFonts w:ascii="Times New Roman" w:hAnsi="Times New Roman" w:cs="Times New Roman"/>
          <w:color w:val="000000"/>
          <w:sz w:val="22"/>
          <w:szCs w:val="22"/>
        </w:rPr>
        <w:t>, challenges, and overview of some techniques</w:t>
      </w:r>
      <w:r w:rsidRPr="00C30072">
        <w:rPr>
          <w:rFonts w:ascii="Times New Roman" w:hAnsi="Times New Roman" w:cs="Times New Roman"/>
          <w:color w:val="000000"/>
          <w:sz w:val="22"/>
          <w:szCs w:val="22"/>
        </w:rPr>
        <w:t xml:space="preserve"> in risk analysis.</w:t>
      </w:r>
    </w:p>
    <w:p w14:paraId="200E4ADE" w14:textId="3B04064A" w:rsidR="004A2468" w:rsidRPr="00C30072" w:rsidRDefault="0062542D" w:rsidP="00E722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Discern salient</w:t>
      </w:r>
      <w:r w:rsidR="004A2468" w:rsidRPr="00C30072">
        <w:rPr>
          <w:rFonts w:ascii="Times New Roman" w:hAnsi="Times New Roman" w:cs="Times New Roman"/>
          <w:sz w:val="22"/>
          <w:szCs w:val="22"/>
        </w:rPr>
        <w:t xml:space="preserve"> aspect</w:t>
      </w:r>
      <w:r w:rsidR="00293A7E" w:rsidRPr="00C30072">
        <w:rPr>
          <w:rFonts w:ascii="Times New Roman" w:hAnsi="Times New Roman" w:cs="Times New Roman"/>
          <w:sz w:val="22"/>
          <w:szCs w:val="22"/>
        </w:rPr>
        <w:t>s</w:t>
      </w:r>
      <w:r w:rsidR="004A2468" w:rsidRPr="00C30072">
        <w:rPr>
          <w:rFonts w:ascii="Times New Roman" w:hAnsi="Times New Roman" w:cs="Times New Roman"/>
          <w:sz w:val="22"/>
          <w:szCs w:val="22"/>
        </w:rPr>
        <w:t xml:space="preserve"> of safety culture, including an in-depth knowledge of major accidents across different industries (selection</w:t>
      </w:r>
      <w:r w:rsidRPr="00C30072">
        <w:rPr>
          <w:rFonts w:ascii="Times New Roman" w:hAnsi="Times New Roman" w:cs="Times New Roman"/>
          <w:sz w:val="22"/>
          <w:szCs w:val="22"/>
        </w:rPr>
        <w:t xml:space="preserve"> of case studies</w:t>
      </w:r>
      <w:r w:rsidR="004A2468" w:rsidRPr="00C30072">
        <w:rPr>
          <w:rFonts w:ascii="Times New Roman" w:hAnsi="Times New Roman" w:cs="Times New Roman"/>
          <w:sz w:val="22"/>
          <w:szCs w:val="22"/>
        </w:rPr>
        <w:t>)</w:t>
      </w:r>
      <w:r w:rsidR="005A4A51" w:rsidRPr="00C30072">
        <w:rPr>
          <w:rFonts w:ascii="Times New Roman" w:hAnsi="Times New Roman" w:cs="Times New Roman"/>
          <w:sz w:val="22"/>
          <w:szCs w:val="22"/>
        </w:rPr>
        <w:t>.</w:t>
      </w:r>
    </w:p>
    <w:p w14:paraId="0EEF2A34" w14:textId="77777777" w:rsidR="00A516D8" w:rsidRPr="00C30072" w:rsidRDefault="00A516D8" w:rsidP="00E7227E">
      <w:pPr>
        <w:jc w:val="both"/>
        <w:rPr>
          <w:b/>
          <w:smallCaps/>
          <w:sz w:val="22"/>
          <w:szCs w:val="22"/>
        </w:rPr>
      </w:pPr>
    </w:p>
    <w:p w14:paraId="2433D5C9" w14:textId="791DF59B" w:rsidR="00B47252" w:rsidRPr="00C30072" w:rsidRDefault="00B47252" w:rsidP="00E7227E">
      <w:pPr>
        <w:jc w:val="both"/>
        <w:rPr>
          <w:sz w:val="22"/>
          <w:szCs w:val="22"/>
        </w:rPr>
      </w:pPr>
      <w:r w:rsidRPr="00C30072">
        <w:rPr>
          <w:b/>
          <w:smallCaps/>
          <w:sz w:val="22"/>
          <w:szCs w:val="22"/>
        </w:rPr>
        <w:t>Grading</w:t>
      </w:r>
      <w:r w:rsidR="000C5EFD">
        <w:rPr>
          <w:b/>
          <w:sz w:val="22"/>
          <w:szCs w:val="22"/>
        </w:rPr>
        <w:t>:</w:t>
      </w:r>
    </w:p>
    <w:p w14:paraId="54F6422A" w14:textId="0C1EA795" w:rsidR="007E4C03" w:rsidRPr="00C30072" w:rsidRDefault="00DA649A" w:rsidP="00E722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30072">
        <w:rPr>
          <w:sz w:val="22"/>
          <w:szCs w:val="22"/>
        </w:rPr>
        <w:tab/>
      </w:r>
      <w:r w:rsidR="007E4C03" w:rsidRPr="00C30072">
        <w:rPr>
          <w:sz w:val="22"/>
          <w:szCs w:val="22"/>
        </w:rPr>
        <w:t xml:space="preserve">Term paper: 40% </w:t>
      </w:r>
    </w:p>
    <w:p w14:paraId="06553B0D" w14:textId="25A8020E" w:rsidR="007E4C03" w:rsidRPr="00C30072" w:rsidRDefault="007E4C03" w:rsidP="00E722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C30072">
        <w:rPr>
          <w:sz w:val="22"/>
          <w:szCs w:val="22"/>
        </w:rPr>
        <w:tab/>
        <w:t xml:space="preserve">Presentation: 25% </w:t>
      </w:r>
    </w:p>
    <w:p w14:paraId="0EC70385" w14:textId="4D8B01A2" w:rsidR="007E4C03" w:rsidRPr="00C30072" w:rsidRDefault="004F266F" w:rsidP="00E722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  <w:t>Weekly readings summary: 25% (two-page summary and critical assessment of weekly reading material)</w:t>
      </w:r>
    </w:p>
    <w:p w14:paraId="66E6ABD6" w14:textId="18B82EAB" w:rsidR="007E4C03" w:rsidRDefault="007E4C03" w:rsidP="00E7227E">
      <w:pPr>
        <w:tabs>
          <w:tab w:val="left" w:pos="540"/>
          <w:tab w:val="left" w:pos="2340"/>
        </w:tabs>
        <w:ind w:left="360"/>
        <w:jc w:val="both"/>
      </w:pPr>
      <w:r w:rsidRPr="00C30072">
        <w:rPr>
          <w:sz w:val="22"/>
          <w:szCs w:val="22"/>
        </w:rPr>
        <w:tab/>
        <w:t>Class participation: 10%</w:t>
      </w:r>
      <w:r w:rsidR="004F266F">
        <w:rPr>
          <w:sz w:val="22"/>
          <w:szCs w:val="22"/>
        </w:rPr>
        <w:t xml:space="preserve"> </w:t>
      </w:r>
      <w:r w:rsidR="004F266F" w:rsidRPr="004143F2">
        <w:t>(includes attendance and active, informed participation</w:t>
      </w:r>
      <w:r w:rsidR="004F266F">
        <w:t xml:space="preserve"> in class discussions</w:t>
      </w:r>
      <w:r w:rsidR="004F266F" w:rsidRPr="004143F2">
        <w:t>)</w:t>
      </w:r>
    </w:p>
    <w:p w14:paraId="51453A7B" w14:textId="3EFA557F" w:rsidR="00ED5C54" w:rsidRPr="00C30072" w:rsidRDefault="001D5273" w:rsidP="00E7227E">
      <w:pPr>
        <w:tabs>
          <w:tab w:val="left" w:pos="540"/>
          <w:tab w:val="left" w:pos="2340"/>
        </w:tabs>
        <w:ind w:left="360"/>
        <w:jc w:val="both"/>
        <w:rPr>
          <w:i/>
          <w:sz w:val="22"/>
          <w:szCs w:val="22"/>
        </w:rPr>
      </w:pPr>
      <w:r>
        <w:tab/>
        <w:t>Grades will be communicated weekly, and immediately following the student presentation.</w:t>
      </w:r>
    </w:p>
    <w:p w14:paraId="60077248" w14:textId="77777777" w:rsidR="004F266F" w:rsidRPr="00C30072" w:rsidRDefault="004F266F" w:rsidP="00E7227E">
      <w:pPr>
        <w:jc w:val="both"/>
        <w:rPr>
          <w:sz w:val="22"/>
          <w:szCs w:val="22"/>
        </w:rPr>
      </w:pPr>
    </w:p>
    <w:p w14:paraId="73BF58E7" w14:textId="77777777" w:rsidR="00F90C21" w:rsidRPr="00C30072" w:rsidRDefault="00F90C21" w:rsidP="00E7227E">
      <w:pPr>
        <w:jc w:val="both"/>
        <w:rPr>
          <w:sz w:val="22"/>
          <w:szCs w:val="22"/>
        </w:rPr>
      </w:pPr>
      <w:r w:rsidRPr="00C30072">
        <w:rPr>
          <w:b/>
          <w:smallCaps/>
          <w:sz w:val="22"/>
          <w:szCs w:val="22"/>
        </w:rPr>
        <w:t>Learning Accommodations</w:t>
      </w:r>
      <w:r w:rsidRPr="00C30072">
        <w:rPr>
          <w:b/>
          <w:sz w:val="22"/>
          <w:szCs w:val="22"/>
        </w:rPr>
        <w:t xml:space="preserve">:  </w:t>
      </w:r>
    </w:p>
    <w:p w14:paraId="58230ABC" w14:textId="77777777" w:rsidR="00F90C21" w:rsidRPr="00C30072" w:rsidRDefault="00F90C21" w:rsidP="00E7227E">
      <w:pPr>
        <w:ind w:left="360"/>
        <w:jc w:val="both"/>
        <w:rPr>
          <w:sz w:val="22"/>
          <w:szCs w:val="22"/>
        </w:rPr>
      </w:pPr>
      <w:r w:rsidRPr="00C30072">
        <w:rPr>
          <w:sz w:val="22"/>
          <w:szCs w:val="22"/>
        </w:rPr>
        <w:t>If needed, we will make classroom accommodations for students with documented disabilities. These accommodations must be arranged in advance and in accordance with the ADAPTS office (</w:t>
      </w:r>
      <w:r w:rsidR="00C717D1" w:rsidRPr="00C30072">
        <w:rPr>
          <w:sz w:val="22"/>
          <w:szCs w:val="22"/>
        </w:rPr>
        <w:t>http://disabilityservices.gatech.edu</w:t>
      </w:r>
      <w:r w:rsidRPr="00C30072">
        <w:rPr>
          <w:sz w:val="22"/>
          <w:szCs w:val="22"/>
        </w:rPr>
        <w:t>).</w:t>
      </w:r>
    </w:p>
    <w:p w14:paraId="535FB074" w14:textId="77777777" w:rsidR="00F90C21" w:rsidRPr="00C30072" w:rsidRDefault="00F90C21" w:rsidP="00E7227E">
      <w:pPr>
        <w:jc w:val="both"/>
        <w:rPr>
          <w:b/>
          <w:smallCaps/>
          <w:sz w:val="22"/>
          <w:szCs w:val="22"/>
        </w:rPr>
      </w:pPr>
    </w:p>
    <w:p w14:paraId="719D440B" w14:textId="77777777" w:rsidR="00000ACE" w:rsidRPr="00C30072" w:rsidRDefault="00000ACE" w:rsidP="00E7227E">
      <w:pPr>
        <w:jc w:val="both"/>
        <w:rPr>
          <w:b/>
          <w:smallCaps/>
          <w:sz w:val="22"/>
          <w:szCs w:val="22"/>
        </w:rPr>
      </w:pPr>
    </w:p>
    <w:p w14:paraId="6816FCC7" w14:textId="77777777" w:rsidR="00FE4948" w:rsidRPr="00C30072" w:rsidRDefault="00FE4948" w:rsidP="00E7227E">
      <w:pPr>
        <w:jc w:val="both"/>
        <w:rPr>
          <w:sz w:val="22"/>
          <w:szCs w:val="22"/>
        </w:rPr>
      </w:pPr>
      <w:r w:rsidRPr="00C30072">
        <w:rPr>
          <w:b/>
          <w:smallCaps/>
          <w:sz w:val="22"/>
          <w:szCs w:val="22"/>
        </w:rPr>
        <w:t>Topical Outline:</w:t>
      </w:r>
    </w:p>
    <w:p w14:paraId="6BB00A3A" w14:textId="77777777" w:rsidR="00C717D1" w:rsidRPr="00C30072" w:rsidRDefault="00C717D1" w:rsidP="00E7227E">
      <w:pPr>
        <w:jc w:val="both"/>
        <w:rPr>
          <w:b/>
          <w:smallCaps/>
          <w:sz w:val="22"/>
          <w:szCs w:val="22"/>
        </w:rPr>
      </w:pPr>
    </w:p>
    <w:p w14:paraId="5C6CB1C6" w14:textId="39484DD6" w:rsidR="00FE4948" w:rsidRPr="00C30072" w:rsidRDefault="00FE4948" w:rsidP="00E7227E">
      <w:pPr>
        <w:jc w:val="both"/>
        <w:rPr>
          <w:b/>
          <w:sz w:val="22"/>
          <w:szCs w:val="22"/>
        </w:rPr>
      </w:pPr>
      <w:r w:rsidRPr="00C30072">
        <w:rPr>
          <w:b/>
          <w:sz w:val="22"/>
          <w:szCs w:val="22"/>
        </w:rPr>
        <w:t>I. Background and motivation</w:t>
      </w:r>
    </w:p>
    <w:p w14:paraId="75D7B9D6" w14:textId="77777777" w:rsidR="00FE4948" w:rsidRPr="00C30072" w:rsidRDefault="00FE4948" w:rsidP="00E7227E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From learning from accidents to teaching about accident causation and prevention</w:t>
      </w:r>
    </w:p>
    <w:p w14:paraId="6D2A7B01" w14:textId="70014777" w:rsidR="00FE4948" w:rsidRPr="00C30072" w:rsidRDefault="00FE4948" w:rsidP="00E7227E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Highlights from the literature on system safety and accident causation: Review of major ideas, recent contributions, and challenges</w:t>
      </w:r>
    </w:p>
    <w:p w14:paraId="11BDB832" w14:textId="77777777" w:rsidR="00FE4948" w:rsidRPr="00C30072" w:rsidRDefault="00FE4948" w:rsidP="00E7227E">
      <w:pPr>
        <w:jc w:val="both"/>
        <w:rPr>
          <w:b/>
          <w:smallCaps/>
          <w:sz w:val="22"/>
          <w:szCs w:val="22"/>
        </w:rPr>
      </w:pPr>
    </w:p>
    <w:p w14:paraId="3AED0374" w14:textId="25DEDDB1" w:rsidR="00FE4948" w:rsidRPr="00C30072" w:rsidRDefault="00FE4948" w:rsidP="00E7227E">
      <w:pPr>
        <w:jc w:val="both"/>
        <w:rPr>
          <w:b/>
          <w:smallCaps/>
          <w:sz w:val="22"/>
          <w:szCs w:val="22"/>
        </w:rPr>
      </w:pPr>
      <w:r w:rsidRPr="00C30072">
        <w:rPr>
          <w:b/>
          <w:bCs/>
          <w:sz w:val="22"/>
          <w:szCs w:val="22"/>
        </w:rPr>
        <w:t xml:space="preserve">II. </w:t>
      </w:r>
      <w:r w:rsidRPr="00C30072">
        <w:rPr>
          <w:b/>
          <w:color w:val="000000"/>
          <w:sz w:val="22"/>
          <w:szCs w:val="22"/>
        </w:rPr>
        <w:t>Anatomy of accidents</w:t>
      </w:r>
    </w:p>
    <w:p w14:paraId="18C582EB" w14:textId="77777777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Learning from the Piper Alpha accident</w:t>
      </w:r>
    </w:p>
    <w:p w14:paraId="6C3C3986" w14:textId="77777777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Was the Three Mile Island a “Normal Accident?”</w:t>
      </w:r>
    </w:p>
    <w:p w14:paraId="5D77C6CF" w14:textId="77777777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An investigation of the Therac-25 accidents</w:t>
      </w:r>
    </w:p>
    <w:p w14:paraId="5712DA39" w14:textId="77777777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Role of software in spacecraft accidents</w:t>
      </w:r>
    </w:p>
    <w:p w14:paraId="094AB38C" w14:textId="77777777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Safety report on the treatment of safety-critical systems in transport airplanes</w:t>
      </w:r>
    </w:p>
    <w:p w14:paraId="11D6B87C" w14:textId="77777777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Software in military aviation and drone mishaps</w:t>
      </w:r>
    </w:p>
    <w:p w14:paraId="361869D2" w14:textId="126B7711" w:rsidR="00C30072" w:rsidRPr="00C30072" w:rsidRDefault="00C30072" w:rsidP="00C3007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ind w:left="720" w:hanging="540"/>
        <w:jc w:val="both"/>
        <w:rPr>
          <w:rFonts w:ascii="Times New Roman" w:hAnsi="Times New Roman" w:cs="Times New Roman"/>
          <w:sz w:val="22"/>
          <w:szCs w:val="22"/>
        </w:rPr>
      </w:pPr>
      <w:r w:rsidRPr="00C30072">
        <w:rPr>
          <w:rFonts w:ascii="Times New Roman" w:hAnsi="Times New Roman" w:cs="Times New Roman"/>
          <w:bCs/>
          <w:sz w:val="22"/>
          <w:szCs w:val="22"/>
        </w:rPr>
        <w:t xml:space="preserve">Epidemiology of Helicopter Accidents </w:t>
      </w:r>
    </w:p>
    <w:p w14:paraId="598A29D8" w14:textId="08CC1710" w:rsidR="00BB2B1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Safety in the mining industry and the unfinished legacy of mining accidents</w:t>
      </w:r>
    </w:p>
    <w:p w14:paraId="2076737C" w14:textId="247437C2" w:rsidR="00FE4948" w:rsidRPr="00C30072" w:rsidRDefault="00BB2B18" w:rsidP="00E7227E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5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Coordinability and Consistency in Accident Causation and Prevention: Formal System-Theoretic Concepts for Safety in Multilevel Systems (including the Tenerife airport disaster)</w:t>
      </w:r>
    </w:p>
    <w:p w14:paraId="7B392E77" w14:textId="77777777" w:rsidR="00FE4948" w:rsidRPr="00C30072" w:rsidRDefault="00FE4948" w:rsidP="00E7227E">
      <w:pPr>
        <w:jc w:val="both"/>
        <w:rPr>
          <w:b/>
          <w:smallCaps/>
          <w:sz w:val="22"/>
          <w:szCs w:val="22"/>
        </w:rPr>
      </w:pPr>
    </w:p>
    <w:p w14:paraId="0F9C59D1" w14:textId="71EB85B2" w:rsidR="00BB2B18" w:rsidRPr="00C30072" w:rsidRDefault="00BB2B18" w:rsidP="00E7227E">
      <w:pPr>
        <w:jc w:val="both"/>
        <w:rPr>
          <w:b/>
          <w:color w:val="000000"/>
          <w:sz w:val="22"/>
          <w:szCs w:val="22"/>
        </w:rPr>
      </w:pPr>
      <w:r w:rsidRPr="00C30072">
        <w:rPr>
          <w:b/>
          <w:bCs/>
          <w:sz w:val="22"/>
          <w:szCs w:val="22"/>
        </w:rPr>
        <w:t xml:space="preserve">III. </w:t>
      </w:r>
      <w:r w:rsidRPr="00C30072">
        <w:rPr>
          <w:b/>
          <w:color w:val="000000"/>
          <w:sz w:val="22"/>
          <w:szCs w:val="22"/>
        </w:rPr>
        <w:t>Defense-in-depth, safety principles, and accident precursors:</w:t>
      </w:r>
    </w:p>
    <w:p w14:paraId="158367DF" w14:textId="5A19121A" w:rsidR="00BB2B18" w:rsidRPr="00C30072" w:rsidRDefault="00965042" w:rsidP="00E7227E">
      <w:pPr>
        <w:pStyle w:val="ListParagraph"/>
        <w:widowControl w:val="0"/>
        <w:numPr>
          <w:ilvl w:val="0"/>
          <w:numId w:val="32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Safety barriers: d</w:t>
      </w:r>
      <w:r w:rsidR="00BB2B18" w:rsidRPr="00C30072">
        <w:rPr>
          <w:rFonts w:ascii="Times New Roman" w:hAnsi="Times New Roman" w:cs="Times New Roman"/>
          <w:color w:val="000000"/>
          <w:sz w:val="22"/>
          <w:szCs w:val="22"/>
        </w:rPr>
        <w:t>efinition, classification, and performance</w:t>
      </w:r>
    </w:p>
    <w:p w14:paraId="50AA8001" w14:textId="3E7C3E80" w:rsidR="00FE4948" w:rsidRPr="00C30072" w:rsidRDefault="00965042" w:rsidP="00E7227E">
      <w:pPr>
        <w:pStyle w:val="ListParagraph"/>
        <w:widowControl w:val="0"/>
        <w:numPr>
          <w:ilvl w:val="0"/>
          <w:numId w:val="32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Style w:val="apple-style-span"/>
          <w:rFonts w:ascii="Times New Roman" w:hAnsi="Times New Roman" w:cs="Times New Roman"/>
          <w:sz w:val="22"/>
          <w:szCs w:val="22"/>
          <w:shd w:val="clear" w:color="auto" w:fill="FFFFFF"/>
        </w:rPr>
        <w:t>Texas City refinery accident: case-study in b</w:t>
      </w:r>
      <w:r w:rsidR="00BB2B18" w:rsidRPr="00C30072">
        <w:rPr>
          <w:rStyle w:val="apple-style-span"/>
          <w:rFonts w:ascii="Times New Roman" w:hAnsi="Times New Roman" w:cs="Times New Roman"/>
          <w:sz w:val="22"/>
          <w:szCs w:val="22"/>
          <w:shd w:val="clear" w:color="auto" w:fill="FFFFFF"/>
        </w:rPr>
        <w:t>re</w:t>
      </w:r>
      <w:r w:rsidRPr="00C30072">
        <w:rPr>
          <w:rStyle w:val="apple-style-span"/>
          <w:rFonts w:ascii="Times New Roman" w:hAnsi="Times New Roman" w:cs="Times New Roman"/>
          <w:sz w:val="22"/>
          <w:szCs w:val="22"/>
          <w:shd w:val="clear" w:color="auto" w:fill="FFFFFF"/>
        </w:rPr>
        <w:t>akdown of Defense-In-Depth and v</w:t>
      </w:r>
      <w:r w:rsidR="00BB2B18" w:rsidRPr="00C30072">
        <w:rPr>
          <w:rStyle w:val="apple-style-span"/>
          <w:rFonts w:ascii="Times New Roman" w:hAnsi="Times New Roman" w:cs="Times New Roman"/>
          <w:sz w:val="22"/>
          <w:szCs w:val="22"/>
          <w:shd w:val="clear" w:color="auto" w:fill="FFFFFF"/>
        </w:rPr>
        <w:t>iolation of the Safety-Diagnosability Principle</w:t>
      </w:r>
    </w:p>
    <w:p w14:paraId="7E85BBFB" w14:textId="41B2979D" w:rsidR="00BB2B18" w:rsidRPr="00C30072" w:rsidRDefault="00965042" w:rsidP="00E7227E">
      <w:pPr>
        <w:pStyle w:val="ListParagraph"/>
        <w:widowControl w:val="0"/>
        <w:numPr>
          <w:ilvl w:val="0"/>
          <w:numId w:val="32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System safety principles: a</w:t>
      </w:r>
      <w:r w:rsidR="00BB2B18" w:rsidRPr="00C30072">
        <w:rPr>
          <w:rFonts w:ascii="Times New Roman" w:hAnsi="Times New Roman" w:cs="Times New Roman"/>
          <w:sz w:val="22"/>
          <w:szCs w:val="22"/>
        </w:rPr>
        <w:t xml:space="preserve"> multidisciplinary engineering perspective</w:t>
      </w:r>
    </w:p>
    <w:p w14:paraId="667902B2" w14:textId="21FFA4A3" w:rsidR="00BB2B18" w:rsidRPr="00C30072" w:rsidRDefault="00BB2B18" w:rsidP="00E7227E">
      <w:pPr>
        <w:pStyle w:val="ListParagraph"/>
        <w:widowControl w:val="0"/>
        <w:numPr>
          <w:ilvl w:val="0"/>
          <w:numId w:val="32"/>
        </w:numPr>
        <w:tabs>
          <w:tab w:val="left" w:pos="7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Near-miss management systems and observability-in-depth: handling safety incidents and accident precursors in light of safety principles</w:t>
      </w:r>
    </w:p>
    <w:p w14:paraId="37FD7CD5" w14:textId="77777777" w:rsidR="00FE4948" w:rsidRPr="00C30072" w:rsidRDefault="00FE4948" w:rsidP="00E7227E">
      <w:pPr>
        <w:jc w:val="both"/>
        <w:rPr>
          <w:b/>
          <w:smallCaps/>
          <w:sz w:val="22"/>
          <w:szCs w:val="22"/>
        </w:rPr>
      </w:pPr>
    </w:p>
    <w:p w14:paraId="675BCFE3" w14:textId="294F0126" w:rsidR="00BB2B18" w:rsidRPr="00C30072" w:rsidRDefault="00965042" w:rsidP="00E7227E">
      <w:pPr>
        <w:jc w:val="both"/>
        <w:rPr>
          <w:b/>
          <w:color w:val="000000"/>
          <w:sz w:val="22"/>
          <w:szCs w:val="22"/>
        </w:rPr>
      </w:pPr>
      <w:r w:rsidRPr="00C30072">
        <w:rPr>
          <w:b/>
          <w:smallCaps/>
          <w:sz w:val="22"/>
          <w:szCs w:val="22"/>
        </w:rPr>
        <w:t xml:space="preserve">IV. </w:t>
      </w:r>
      <w:r w:rsidRPr="00C30072">
        <w:rPr>
          <w:b/>
          <w:color w:val="000000"/>
          <w:sz w:val="22"/>
          <w:szCs w:val="22"/>
        </w:rPr>
        <w:t>Risk analysis</w:t>
      </w:r>
      <w:r w:rsidR="00480F32" w:rsidRPr="00C30072">
        <w:rPr>
          <w:b/>
          <w:color w:val="000000"/>
          <w:sz w:val="22"/>
          <w:szCs w:val="22"/>
        </w:rPr>
        <w:t>,</w:t>
      </w:r>
      <w:r w:rsidRPr="00C30072">
        <w:rPr>
          <w:b/>
          <w:color w:val="000000"/>
          <w:sz w:val="22"/>
          <w:szCs w:val="22"/>
        </w:rPr>
        <w:t xml:space="preserve"> and safety culture</w:t>
      </w:r>
    </w:p>
    <w:p w14:paraId="48432D07" w14:textId="52D7FA16" w:rsidR="00BB2B18" w:rsidRPr="00C30072" w:rsidRDefault="00965042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mallCaps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Introduction to risk analysis: concepts, challenges, and overview of some techniques</w:t>
      </w:r>
    </w:p>
    <w:p w14:paraId="75355B52" w14:textId="2C9D11CF" w:rsidR="00965042" w:rsidRPr="00C30072" w:rsidRDefault="00965042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mallCaps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On the quantitative definition of risk</w:t>
      </w:r>
    </w:p>
    <w:p w14:paraId="20C0F304" w14:textId="0140224B" w:rsidR="00965042" w:rsidRPr="00C30072" w:rsidRDefault="00965042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mallCaps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Uncertainties in risk analysis</w:t>
      </w:r>
    </w:p>
    <w:p w14:paraId="147042B5" w14:textId="3A26409D" w:rsidR="00965042" w:rsidRPr="00C30072" w:rsidRDefault="00965042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mallCaps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 xml:space="preserve">How useful is </w:t>
      </w:r>
      <w:r w:rsidR="00D75F65" w:rsidRPr="00C30072">
        <w:rPr>
          <w:rFonts w:ascii="Times New Roman" w:hAnsi="Times New Roman" w:cs="Times New Roman"/>
          <w:color w:val="000000"/>
          <w:sz w:val="22"/>
          <w:szCs w:val="22"/>
        </w:rPr>
        <w:t>Probabilistic</w:t>
      </w:r>
      <w:r w:rsidRPr="00C30072">
        <w:rPr>
          <w:rFonts w:ascii="Times New Roman" w:hAnsi="Times New Roman" w:cs="Times New Roman"/>
          <w:color w:val="000000"/>
          <w:sz w:val="22"/>
          <w:szCs w:val="22"/>
        </w:rPr>
        <w:t xml:space="preserve"> Risk </w:t>
      </w:r>
      <w:r w:rsidR="00384910" w:rsidRPr="00C30072">
        <w:rPr>
          <w:rFonts w:ascii="Times New Roman" w:hAnsi="Times New Roman" w:cs="Times New Roman"/>
          <w:color w:val="000000"/>
          <w:sz w:val="22"/>
          <w:szCs w:val="22"/>
        </w:rPr>
        <w:t>Assessment</w:t>
      </w:r>
    </w:p>
    <w:p w14:paraId="4805659D" w14:textId="244BCEBA" w:rsidR="00000ACE" w:rsidRPr="00C30072" w:rsidRDefault="00000ACE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mallCaps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Toward risk assessment 2.0: safety supervisory control</w:t>
      </w:r>
      <w:r w:rsidRPr="00C30072">
        <w:rPr>
          <w:rFonts w:ascii="MS Mincho" w:eastAsia="MS Mincho" w:hAnsi="MS Mincho" w:cs="MS Mincho"/>
          <w:sz w:val="22"/>
          <w:szCs w:val="22"/>
        </w:rPr>
        <w:t> </w:t>
      </w:r>
      <w:r w:rsidRPr="00C30072">
        <w:rPr>
          <w:rFonts w:ascii="Times New Roman" w:hAnsi="Times New Roman" w:cs="Times New Roman"/>
          <w:sz w:val="22"/>
          <w:szCs w:val="22"/>
        </w:rPr>
        <w:t>and model-based hazard monitoring for risk-informed safety interventions</w:t>
      </w:r>
    </w:p>
    <w:p w14:paraId="78628B67" w14:textId="26ECF659" w:rsidR="00034A24" w:rsidRPr="00C30072" w:rsidRDefault="00034A24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mallCaps/>
          <w:sz w:val="22"/>
          <w:szCs w:val="22"/>
        </w:rPr>
      </w:pPr>
      <w:r w:rsidRPr="00C30072">
        <w:rPr>
          <w:rFonts w:ascii="Times New Roman" w:hAnsi="Times New Roman" w:cs="Times New Roman"/>
          <w:sz w:val="22"/>
          <w:szCs w:val="22"/>
        </w:rPr>
        <w:t>Introduction to Cost-Benefit Analysis, ALARP, and the Precautionary Principle</w:t>
      </w:r>
    </w:p>
    <w:p w14:paraId="63B03877" w14:textId="66D7AC72" w:rsidR="00965042" w:rsidRPr="00C30072" w:rsidRDefault="00000ACE" w:rsidP="00E7227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mallCaps/>
          <w:sz w:val="22"/>
          <w:szCs w:val="22"/>
        </w:rPr>
      </w:pPr>
      <w:r w:rsidRPr="00C30072">
        <w:rPr>
          <w:rFonts w:ascii="Times New Roman" w:hAnsi="Times New Roman" w:cs="Times New Roman"/>
          <w:color w:val="000000"/>
          <w:sz w:val="22"/>
          <w:szCs w:val="22"/>
        </w:rPr>
        <w:t>The nature of safety culture</w:t>
      </w:r>
    </w:p>
    <w:p w14:paraId="36197AC8" w14:textId="2BD716AE" w:rsidR="00B806CF" w:rsidRPr="00C30072" w:rsidRDefault="00B806CF" w:rsidP="00E7227E">
      <w:pPr>
        <w:jc w:val="both"/>
        <w:rPr>
          <w:b/>
          <w:smallCaps/>
          <w:sz w:val="22"/>
          <w:szCs w:val="22"/>
        </w:rPr>
      </w:pPr>
    </w:p>
    <w:sectPr w:rsidR="00B806CF" w:rsidRPr="00C30072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BE2"/>
    <w:multiLevelType w:val="hybridMultilevel"/>
    <w:tmpl w:val="6AA25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8" w15:restartNumberingAfterBreak="0">
    <w:nsid w:val="27104667"/>
    <w:multiLevelType w:val="hybridMultilevel"/>
    <w:tmpl w:val="6A8AB47A"/>
    <w:lvl w:ilvl="0" w:tplc="C374E078">
      <w:start w:val="1"/>
      <w:numFmt w:val="upperLetter"/>
      <w:lvlText w:val="%1.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 w15:restartNumberingAfterBreak="0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3C8"/>
    <w:multiLevelType w:val="hybridMultilevel"/>
    <w:tmpl w:val="F6CC73A0"/>
    <w:lvl w:ilvl="0" w:tplc="40ECF886">
      <w:start w:val="1"/>
      <w:numFmt w:val="upperRoman"/>
      <w:lvlText w:val="%1."/>
      <w:lvlJc w:val="left"/>
      <w:pPr>
        <w:ind w:left="7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1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810E7"/>
    <w:multiLevelType w:val="hybridMultilevel"/>
    <w:tmpl w:val="6A8AB47A"/>
    <w:lvl w:ilvl="0" w:tplc="C374E078">
      <w:start w:val="1"/>
      <w:numFmt w:val="upperLetter"/>
      <w:lvlText w:val="%1.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4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CB5451"/>
    <w:multiLevelType w:val="hybridMultilevel"/>
    <w:tmpl w:val="B62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88966EA"/>
    <w:multiLevelType w:val="hybridMultilevel"/>
    <w:tmpl w:val="D4BCF2DC"/>
    <w:lvl w:ilvl="0" w:tplc="F8D0DF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0" w15:restartNumberingAfterBreak="0">
    <w:nsid w:val="50576E33"/>
    <w:multiLevelType w:val="hybridMultilevel"/>
    <w:tmpl w:val="47C0F24E"/>
    <w:lvl w:ilvl="0" w:tplc="920C84E2">
      <w:start w:val="1"/>
      <w:numFmt w:val="lowerLetter"/>
      <w:lvlText w:val="%1.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1" w15:restartNumberingAfterBreak="0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D2B2E"/>
    <w:multiLevelType w:val="hybridMultilevel"/>
    <w:tmpl w:val="664E58D2"/>
    <w:lvl w:ilvl="0" w:tplc="360CF5B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F266FF7"/>
    <w:multiLevelType w:val="hybridMultilevel"/>
    <w:tmpl w:val="6A8AB47A"/>
    <w:lvl w:ilvl="0" w:tplc="C374E078">
      <w:start w:val="1"/>
      <w:numFmt w:val="upperLetter"/>
      <w:lvlText w:val="%1.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5" w15:restartNumberingAfterBreak="0">
    <w:nsid w:val="5F7858F5"/>
    <w:multiLevelType w:val="hybridMultilevel"/>
    <w:tmpl w:val="8542B92A"/>
    <w:lvl w:ilvl="0" w:tplc="0D4A3C6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965EB"/>
    <w:multiLevelType w:val="hybridMultilevel"/>
    <w:tmpl w:val="FDE03CCC"/>
    <w:lvl w:ilvl="0" w:tplc="C374E07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E2FA7"/>
    <w:multiLevelType w:val="hybridMultilevel"/>
    <w:tmpl w:val="C3A659F2"/>
    <w:lvl w:ilvl="0" w:tplc="3BF697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A595A"/>
    <w:multiLevelType w:val="hybridMultilevel"/>
    <w:tmpl w:val="CED0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3571B47"/>
    <w:multiLevelType w:val="hybridMultilevel"/>
    <w:tmpl w:val="500C51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3"/>
  </w:num>
  <w:num w:numId="4">
    <w:abstractNumId w:val="31"/>
  </w:num>
  <w:num w:numId="5">
    <w:abstractNumId w:val="6"/>
  </w:num>
  <w:num w:numId="6">
    <w:abstractNumId w:val="14"/>
  </w:num>
  <w:num w:numId="7">
    <w:abstractNumId w:val="11"/>
  </w:num>
  <w:num w:numId="8">
    <w:abstractNumId w:val="7"/>
  </w:num>
  <w:num w:numId="9">
    <w:abstractNumId w:val="19"/>
  </w:num>
  <w:num w:numId="10">
    <w:abstractNumId w:val="16"/>
  </w:num>
  <w:num w:numId="11">
    <w:abstractNumId w:val="5"/>
  </w:num>
  <w:num w:numId="12">
    <w:abstractNumId w:val="26"/>
  </w:num>
  <w:num w:numId="13">
    <w:abstractNumId w:val="9"/>
  </w:num>
  <w:num w:numId="14">
    <w:abstractNumId w:val="2"/>
  </w:num>
  <w:num w:numId="15">
    <w:abstractNumId w:val="0"/>
  </w:num>
  <w:num w:numId="16">
    <w:abstractNumId w:val="30"/>
  </w:num>
  <w:num w:numId="17">
    <w:abstractNumId w:val="12"/>
  </w:num>
  <w:num w:numId="18">
    <w:abstractNumId w:val="21"/>
  </w:num>
  <w:num w:numId="19">
    <w:abstractNumId w:val="4"/>
  </w:num>
  <w:num w:numId="20">
    <w:abstractNumId w:val="28"/>
  </w:num>
  <w:num w:numId="21">
    <w:abstractNumId w:val="1"/>
  </w:num>
  <w:num w:numId="22">
    <w:abstractNumId w:val="29"/>
  </w:num>
  <w:num w:numId="23">
    <w:abstractNumId w:val="20"/>
  </w:num>
  <w:num w:numId="24">
    <w:abstractNumId w:val="32"/>
  </w:num>
  <w:num w:numId="25">
    <w:abstractNumId w:val="27"/>
  </w:num>
  <w:num w:numId="26">
    <w:abstractNumId w:val="18"/>
  </w:num>
  <w:num w:numId="27">
    <w:abstractNumId w:val="24"/>
  </w:num>
  <w:num w:numId="28">
    <w:abstractNumId w:val="3"/>
  </w:num>
  <w:num w:numId="29">
    <w:abstractNumId w:val="8"/>
  </w:num>
  <w:num w:numId="30">
    <w:abstractNumId w:val="13"/>
  </w:num>
  <w:num w:numId="31">
    <w:abstractNumId w:val="10"/>
  </w:num>
  <w:num w:numId="32">
    <w:abstractNumId w:val="2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00ACE"/>
    <w:rsid w:val="00034A24"/>
    <w:rsid w:val="000446A5"/>
    <w:rsid w:val="000476CC"/>
    <w:rsid w:val="00065A0A"/>
    <w:rsid w:val="000C2CC8"/>
    <w:rsid w:val="000C5EFD"/>
    <w:rsid w:val="000F1E70"/>
    <w:rsid w:val="00101943"/>
    <w:rsid w:val="00103B0A"/>
    <w:rsid w:val="00116DAD"/>
    <w:rsid w:val="00141DBB"/>
    <w:rsid w:val="0015002E"/>
    <w:rsid w:val="00155C11"/>
    <w:rsid w:val="00163978"/>
    <w:rsid w:val="00175B57"/>
    <w:rsid w:val="001807C1"/>
    <w:rsid w:val="001865CE"/>
    <w:rsid w:val="00192E9C"/>
    <w:rsid w:val="001B0EDB"/>
    <w:rsid w:val="001C49E8"/>
    <w:rsid w:val="001C4A9F"/>
    <w:rsid w:val="001D5273"/>
    <w:rsid w:val="001E0699"/>
    <w:rsid w:val="00214DDE"/>
    <w:rsid w:val="00221C15"/>
    <w:rsid w:val="00240AA9"/>
    <w:rsid w:val="00293A7E"/>
    <w:rsid w:val="002979EF"/>
    <w:rsid w:val="002A7DEE"/>
    <w:rsid w:val="002B0A27"/>
    <w:rsid w:val="002D4ADE"/>
    <w:rsid w:val="002E1DCC"/>
    <w:rsid w:val="003302D9"/>
    <w:rsid w:val="003421A0"/>
    <w:rsid w:val="00350A70"/>
    <w:rsid w:val="00350B28"/>
    <w:rsid w:val="00384910"/>
    <w:rsid w:val="003A43AE"/>
    <w:rsid w:val="003B0A82"/>
    <w:rsid w:val="003C168A"/>
    <w:rsid w:val="003D1C5A"/>
    <w:rsid w:val="003D5DE1"/>
    <w:rsid w:val="003D656B"/>
    <w:rsid w:val="003E746D"/>
    <w:rsid w:val="00406198"/>
    <w:rsid w:val="004548BA"/>
    <w:rsid w:val="00455443"/>
    <w:rsid w:val="00457808"/>
    <w:rsid w:val="00466F4C"/>
    <w:rsid w:val="00480F32"/>
    <w:rsid w:val="0048467D"/>
    <w:rsid w:val="004A2468"/>
    <w:rsid w:val="004F09E9"/>
    <w:rsid w:val="004F266F"/>
    <w:rsid w:val="00506333"/>
    <w:rsid w:val="00515AA9"/>
    <w:rsid w:val="00544E3F"/>
    <w:rsid w:val="00545440"/>
    <w:rsid w:val="00556A95"/>
    <w:rsid w:val="00575FFB"/>
    <w:rsid w:val="0057642B"/>
    <w:rsid w:val="0058302C"/>
    <w:rsid w:val="005A23C8"/>
    <w:rsid w:val="005A4A51"/>
    <w:rsid w:val="005B23B7"/>
    <w:rsid w:val="005D434C"/>
    <w:rsid w:val="006000DC"/>
    <w:rsid w:val="006062C3"/>
    <w:rsid w:val="0062542D"/>
    <w:rsid w:val="006308CE"/>
    <w:rsid w:val="00631B04"/>
    <w:rsid w:val="00631D76"/>
    <w:rsid w:val="0064157B"/>
    <w:rsid w:val="00664B82"/>
    <w:rsid w:val="00696FFF"/>
    <w:rsid w:val="006A0164"/>
    <w:rsid w:val="006A7D16"/>
    <w:rsid w:val="006D21BD"/>
    <w:rsid w:val="007269F2"/>
    <w:rsid w:val="00733DBA"/>
    <w:rsid w:val="0073756F"/>
    <w:rsid w:val="00752E19"/>
    <w:rsid w:val="00756279"/>
    <w:rsid w:val="00776086"/>
    <w:rsid w:val="00782E6B"/>
    <w:rsid w:val="007852C5"/>
    <w:rsid w:val="007A5847"/>
    <w:rsid w:val="007D52A7"/>
    <w:rsid w:val="007E4C03"/>
    <w:rsid w:val="00804311"/>
    <w:rsid w:val="00817549"/>
    <w:rsid w:val="00823215"/>
    <w:rsid w:val="00835740"/>
    <w:rsid w:val="00840B3F"/>
    <w:rsid w:val="00850BD1"/>
    <w:rsid w:val="00863BB8"/>
    <w:rsid w:val="008B5486"/>
    <w:rsid w:val="008B5C2C"/>
    <w:rsid w:val="008C0E7E"/>
    <w:rsid w:val="008D0F78"/>
    <w:rsid w:val="008D4C28"/>
    <w:rsid w:val="008F23FB"/>
    <w:rsid w:val="009365BD"/>
    <w:rsid w:val="00937DA9"/>
    <w:rsid w:val="00940A87"/>
    <w:rsid w:val="00954E68"/>
    <w:rsid w:val="00957FAD"/>
    <w:rsid w:val="00962341"/>
    <w:rsid w:val="00965042"/>
    <w:rsid w:val="009A12AF"/>
    <w:rsid w:val="009D25F4"/>
    <w:rsid w:val="009E2EC1"/>
    <w:rsid w:val="009F0781"/>
    <w:rsid w:val="00A071AE"/>
    <w:rsid w:val="00A31907"/>
    <w:rsid w:val="00A41EEA"/>
    <w:rsid w:val="00A516D8"/>
    <w:rsid w:val="00A6205E"/>
    <w:rsid w:val="00A64601"/>
    <w:rsid w:val="00A85E1C"/>
    <w:rsid w:val="00AA0A54"/>
    <w:rsid w:val="00AC058F"/>
    <w:rsid w:val="00AD19AF"/>
    <w:rsid w:val="00B47252"/>
    <w:rsid w:val="00B47D97"/>
    <w:rsid w:val="00B73B40"/>
    <w:rsid w:val="00B806CF"/>
    <w:rsid w:val="00BA037B"/>
    <w:rsid w:val="00BB2B18"/>
    <w:rsid w:val="00BD07FB"/>
    <w:rsid w:val="00BE41AF"/>
    <w:rsid w:val="00BF3341"/>
    <w:rsid w:val="00C24F96"/>
    <w:rsid w:val="00C30072"/>
    <w:rsid w:val="00C529FA"/>
    <w:rsid w:val="00C717D1"/>
    <w:rsid w:val="00C75E23"/>
    <w:rsid w:val="00CA6F33"/>
    <w:rsid w:val="00CD1159"/>
    <w:rsid w:val="00CE45B9"/>
    <w:rsid w:val="00D168B2"/>
    <w:rsid w:val="00D367F8"/>
    <w:rsid w:val="00D7247B"/>
    <w:rsid w:val="00D75F65"/>
    <w:rsid w:val="00D85D1C"/>
    <w:rsid w:val="00D87765"/>
    <w:rsid w:val="00D966AB"/>
    <w:rsid w:val="00D96D20"/>
    <w:rsid w:val="00DA42C6"/>
    <w:rsid w:val="00DA649A"/>
    <w:rsid w:val="00E2739D"/>
    <w:rsid w:val="00E2759C"/>
    <w:rsid w:val="00E54348"/>
    <w:rsid w:val="00E70FE0"/>
    <w:rsid w:val="00E7227E"/>
    <w:rsid w:val="00EA3C61"/>
    <w:rsid w:val="00ED5C54"/>
    <w:rsid w:val="00F22D57"/>
    <w:rsid w:val="00F25F9C"/>
    <w:rsid w:val="00F27CD2"/>
    <w:rsid w:val="00F32157"/>
    <w:rsid w:val="00F538F0"/>
    <w:rsid w:val="00F62F27"/>
    <w:rsid w:val="00F851B6"/>
    <w:rsid w:val="00F86988"/>
    <w:rsid w:val="00F90C21"/>
    <w:rsid w:val="00FC7A01"/>
    <w:rsid w:val="00FE2052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15647"/>
  <w15:docId w15:val="{1206FDC6-0202-4FCC-9793-1800408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style-span">
    <w:name w:val="apple-style-span"/>
    <w:rsid w:val="00BB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4446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Hodges, Amy D</cp:lastModifiedBy>
  <cp:revision>2</cp:revision>
  <cp:lastPrinted>2017-01-04T21:58:00Z</cp:lastPrinted>
  <dcterms:created xsi:type="dcterms:W3CDTF">2017-04-14T16:23:00Z</dcterms:created>
  <dcterms:modified xsi:type="dcterms:W3CDTF">2017-04-14T16:23:00Z</dcterms:modified>
</cp:coreProperties>
</file>