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15" w:rsidRPr="00321115" w:rsidRDefault="00321115" w:rsidP="003211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3211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7774: Fatigue of Materials and Structures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321115" w:rsidRPr="00321115" w:rsidTr="00321115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321115" w:rsidRPr="00321115" w:rsidTr="00321115">
        <w:trPr>
          <w:tblCellSpacing w:w="15" w:type="dxa"/>
        </w:trPr>
        <w:tc>
          <w:tcPr>
            <w:tcW w:w="0" w:type="auto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 7772 or CEE 7772 or CHE 7772 or ME 7772 or MSE 7772, graduate standing or consent of instructor. </w:t>
            </w:r>
          </w:p>
        </w:tc>
      </w:tr>
      <w:tr w:rsidR="00321115" w:rsidRPr="00321115" w:rsidTr="00321115">
        <w:trPr>
          <w:tblCellSpacing w:w="15" w:type="dxa"/>
        </w:trPr>
        <w:tc>
          <w:tcPr>
            <w:tcW w:w="0" w:type="auto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and microstructural aspects of nucleation and growth of cracks under cyclic loading conditions, notch effects, cumulative damage, multiaxial loading and fatigue crack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propagation.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</w:t>
            </w: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E, CEE, CHE, and MSE 7774. </w:t>
            </w:r>
          </w:p>
        </w:tc>
      </w:tr>
      <w:tr w:rsidR="00321115" w:rsidRPr="00321115" w:rsidTr="00321115">
        <w:trPr>
          <w:tblCellSpacing w:w="15" w:type="dxa"/>
        </w:trPr>
        <w:tc>
          <w:tcPr>
            <w:tcW w:w="0" w:type="auto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Julie A. </w:t>
            </w: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Bannantine</w:t>
            </w:r>
            <w:proofErr w:type="spellEnd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Jess J. Comer, and James L. </w:t>
            </w: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Handrock</w:t>
            </w:r>
            <w:proofErr w:type="spellEnd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211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Fundamentals of Metal Fatigue Analysis</w:t>
            </w: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; First Edition, Pearson Education, 1997.</w:t>
            </w: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Subra Suresh, </w:t>
            </w:r>
            <w:r w:rsidRPr="003211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Fatigue of Materials</w:t>
            </w: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2nd Edition, Cambridge University Press, 1998. </w:t>
            </w:r>
          </w:p>
        </w:tc>
      </w:tr>
      <w:tr w:rsidR="00321115" w:rsidRPr="00321115" w:rsidTr="00321115">
        <w:trPr>
          <w:tblCellSpacing w:w="15" w:type="dxa"/>
        </w:trPr>
        <w:tc>
          <w:tcPr>
            <w:tcW w:w="0" w:type="auto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</w:tc>
        <w:tc>
          <w:tcPr>
            <w:tcW w:w="0" w:type="auto"/>
            <w:vAlign w:val="center"/>
            <w:hideMark/>
          </w:tcPr>
          <w:p w:rsidR="00321115" w:rsidRPr="00321115" w:rsidRDefault="00321115" w:rsidP="003211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provide a working knowledge of </w:t>
            </w: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of</w:t>
            </w: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the</w:t>
            </w: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art</w:t>
            </w:r>
            <w:proofErr w:type="spellEnd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 and contemporary issues of fatigue life prediction and associated physical processes, with emphasis on metal fatigue.</w:t>
            </w:r>
          </w:p>
        </w:tc>
      </w:tr>
      <w:tr w:rsidR="00321115" w:rsidRPr="00321115" w:rsidTr="00321115">
        <w:trPr>
          <w:tblCellSpacing w:w="15" w:type="dxa"/>
        </w:trPr>
        <w:tc>
          <w:tcPr>
            <w:tcW w:w="0" w:type="auto"/>
            <w:hideMark/>
          </w:tcPr>
          <w:p w:rsidR="00321115" w:rsidRPr="00321115" w:rsidRDefault="00321115" w:rsidP="0032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Overview; Physics of Fatigue Processes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Crack nucleation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Crack propagation</w:t>
            </w:r>
          </w:p>
          <w:p w:rsidR="00321115" w:rsidRPr="00321115" w:rsidRDefault="00321115" w:rsidP="00321115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metals, polymers, ceramics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Stress &amp; Strain Response of Metals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Monotonic tensile tests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and rate dependence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Cyclic response</w:t>
            </w:r>
          </w:p>
          <w:p w:rsidR="00321115" w:rsidRPr="00321115" w:rsidRDefault="00321115" w:rsidP="00321115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hardening, softening</w:t>
            </w:r>
          </w:p>
          <w:p w:rsidR="00321115" w:rsidRPr="00321115" w:rsidRDefault="00321115" w:rsidP="00321115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cyclic stress-strain curve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Strain Life Relationships: LCF, HCF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Stress-life and </w:t>
            </w: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Basquin's</w:t>
            </w:r>
            <w:proofErr w:type="spellEnd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Law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Coffin-Manson Law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Cyclic property estimates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strain-life curve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Influence of Mean Stress, Surface Finish, Hardness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Role of mean stresses on small crack nucleation/growth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Models for mean stress effects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Load sequence effects on mean stress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Effects of surface finish and hardness on fatigue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Fatigue at Notches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Theoretical stress concentration, size effects and </w:t>
            </w: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Kf</w:t>
            </w:r>
            <w:proofErr w:type="spellEnd"/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Neuber's</w:t>
            </w:r>
            <w:proofErr w:type="spellEnd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 and notch root stress-strain analysis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Load sequence effects on notch root behavior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Loading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Cycle counting techniques and history reconstruction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Damage summation - linear and nonlinear approaches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calibration curves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to loading spectra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Scatter in Fatigue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distributions for scatter of</w:t>
            </w:r>
          </w:p>
          <w:p w:rsidR="00321115" w:rsidRPr="00321115" w:rsidRDefault="00321115" w:rsidP="00321115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fatigue strength</w:t>
            </w:r>
          </w:p>
          <w:p w:rsidR="00321115" w:rsidRPr="00321115" w:rsidRDefault="00321115" w:rsidP="00321115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fatigue life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Size effects and weak link theory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Scatter in HCF versus LCF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LEFM Concepts and growth laws for physically long cracks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Stress intensity factor and DK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Cyclic crack tip fields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Paris growth law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Threshold and fracture regimes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Crack closure and </w:t>
            </w: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DKeff</w:t>
            </w:r>
            <w:proofErr w:type="spellEnd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Load sequence effects and closure/plasticity models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Growth of small/short cracks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Characteristics of microstructurally small crack growth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Mechanics considerations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Kitagawa diagram and HCF thresholds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Small cracks growing from notches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 to long crack behavior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Multiaxial fatigue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overview of multiaxial HCF and LCF crack initiation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plane observations for small fatigue cracks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Gamma plane representation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Recent models for multiaxial fatigue</w:t>
            </w:r>
          </w:p>
          <w:p w:rsidR="00321115" w:rsidRPr="00321115" w:rsidRDefault="00321115" w:rsidP="003211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Time-dependent and high temperature fatigue 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Intergranular versus </w:t>
            </w:r>
            <w:proofErr w:type="spellStart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transgranular</w:t>
            </w:r>
            <w:proofErr w:type="spellEnd"/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formation/growth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 with bulk damage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>Damage rate and damage mechanics approaches</w:t>
            </w:r>
          </w:p>
          <w:p w:rsidR="00321115" w:rsidRPr="00321115" w:rsidRDefault="00321115" w:rsidP="00321115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Thermomechanical fatigue </w:t>
            </w:r>
          </w:p>
        </w:tc>
      </w:tr>
    </w:tbl>
    <w:p w:rsidR="009B7917" w:rsidRDefault="00321115" w:rsidP="00321115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3E6A"/>
    <w:multiLevelType w:val="multilevel"/>
    <w:tmpl w:val="65E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15"/>
    <w:rsid w:val="00041545"/>
    <w:rsid w:val="00321115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43B2E-D92A-4D78-A5A8-C183E16F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11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2429</Characters>
  <Application>Microsoft Office Word</Application>
  <DocSecurity>0</DocSecurity>
  <Lines>20</Lines>
  <Paragraphs>5</Paragraphs>
  <ScaleCrop>false</ScaleCrop>
  <Company>Georgia Tech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2017-07-27T12:42:00Z</dcterms:created>
  <dcterms:modified xsi:type="dcterms:W3CDTF">2017-07-27T12:45:00Z</dcterms:modified>
</cp:coreProperties>
</file>