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 xml:space="preserve">ARCH 6352:  Architecture Theory II, 3 credits </w:t>
      </w:r>
    </w:p>
    <w:p w:rsidR="00412D21" w:rsidRPr="00A4449C" w:rsidRDefault="00412D21" w:rsidP="00412D21">
      <w:pPr>
        <w:tabs>
          <w:tab w:val="left" w:pos="-2610"/>
        </w:tabs>
        <w:rPr>
          <w:rFonts w:ascii="Calibri" w:hAnsi="Calibri" w:cs="Calibri"/>
          <w:b/>
          <w:sz w:val="22"/>
          <w:szCs w:val="22"/>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Course Description:</w:t>
      </w:r>
    </w:p>
    <w:p w:rsidR="00412D21" w:rsidRPr="00A4449C" w:rsidRDefault="00412D21" w:rsidP="00412D21">
      <w:pPr>
        <w:rPr>
          <w:rFonts w:ascii="Calibri" w:hAnsi="Calibri"/>
          <w:sz w:val="22"/>
          <w:szCs w:val="22"/>
        </w:rPr>
      </w:pPr>
      <w:proofErr w:type="gramStart"/>
      <w:r w:rsidRPr="00A4449C">
        <w:rPr>
          <w:rFonts w:ascii="Calibri" w:hAnsi="Calibri"/>
          <w:sz w:val="22"/>
          <w:szCs w:val="22"/>
        </w:rPr>
        <w:t>Approaches to architectural form, style, and tectonics from aesthetic, social, and technological perspectives.</w:t>
      </w:r>
      <w:proofErr w:type="gramEnd"/>
      <w:r w:rsidRPr="00A4449C">
        <w:rPr>
          <w:rFonts w:ascii="Calibri" w:hAnsi="Calibri"/>
          <w:sz w:val="22"/>
          <w:szCs w:val="22"/>
        </w:rPr>
        <w:t xml:space="preserve"> </w:t>
      </w:r>
      <w:proofErr w:type="gramStart"/>
      <w:r w:rsidRPr="00A4449C">
        <w:rPr>
          <w:rFonts w:ascii="Calibri" w:hAnsi="Calibri"/>
          <w:sz w:val="22"/>
          <w:szCs w:val="22"/>
        </w:rPr>
        <w:t>Instrumental and symbolic uses of architectural media in design and building production.</w:t>
      </w:r>
      <w:proofErr w:type="gramEnd"/>
      <w:r w:rsidRPr="00A4449C">
        <w:rPr>
          <w:rFonts w:ascii="Calibri" w:hAnsi="Calibri"/>
          <w:sz w:val="22"/>
          <w:szCs w:val="22"/>
        </w:rPr>
        <w:t xml:space="preserve"> </w:t>
      </w:r>
    </w:p>
    <w:p w:rsidR="00412D21" w:rsidRPr="00A4449C" w:rsidRDefault="00412D21" w:rsidP="00412D21">
      <w:pPr>
        <w:tabs>
          <w:tab w:val="left" w:pos="-2610"/>
        </w:tabs>
        <w:rPr>
          <w:rFonts w:ascii="Calibri" w:hAnsi="Calibri" w:cs="Calibri"/>
          <w:sz w:val="22"/>
          <w:szCs w:val="22"/>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Course Goals and Objectives:</w:t>
      </w:r>
    </w:p>
    <w:p w:rsidR="00412D21" w:rsidRPr="00A4449C" w:rsidRDefault="00412D21" w:rsidP="00412D21">
      <w:pPr>
        <w:rPr>
          <w:rFonts w:ascii="Calibri" w:hAnsi="Calibri"/>
          <w:sz w:val="22"/>
          <w:szCs w:val="22"/>
        </w:rPr>
      </w:pPr>
      <w:r w:rsidRPr="00A4449C">
        <w:rPr>
          <w:rFonts w:ascii="Calibri" w:hAnsi="Calibri"/>
          <w:sz w:val="22"/>
          <w:szCs w:val="22"/>
        </w:rPr>
        <w:t xml:space="preserve">To ensure that students can: </w:t>
      </w:r>
    </w:p>
    <w:p w:rsidR="00D96EA8" w:rsidRDefault="00D96EA8" w:rsidP="00D96EA8">
      <w:pPr>
        <w:numPr>
          <w:ilvl w:val="0"/>
          <w:numId w:val="1"/>
        </w:numPr>
        <w:ind w:left="360"/>
        <w:rPr>
          <w:rFonts w:ascii="Calibri" w:hAnsi="Calibri"/>
          <w:sz w:val="22"/>
          <w:szCs w:val="22"/>
        </w:rPr>
      </w:pPr>
      <w:r>
        <w:rPr>
          <w:rFonts w:ascii="Calibri" w:hAnsi="Calibri"/>
          <w:sz w:val="22"/>
          <w:szCs w:val="22"/>
        </w:rPr>
        <w:t>Understand how architectural intensions and values are expressed in the detailing of buildings.</w:t>
      </w:r>
    </w:p>
    <w:p w:rsidR="00D96EA8" w:rsidRDefault="00D96EA8" w:rsidP="00D96EA8">
      <w:pPr>
        <w:numPr>
          <w:ilvl w:val="0"/>
          <w:numId w:val="1"/>
        </w:numPr>
        <w:ind w:left="360"/>
        <w:rPr>
          <w:rFonts w:ascii="Calibri" w:hAnsi="Calibri"/>
          <w:sz w:val="22"/>
          <w:szCs w:val="22"/>
        </w:rPr>
      </w:pPr>
      <w:r>
        <w:rPr>
          <w:rFonts w:ascii="Calibri" w:hAnsi="Calibri"/>
          <w:sz w:val="22"/>
          <w:szCs w:val="22"/>
        </w:rPr>
        <w:t xml:space="preserve">Understand the relationship between the construction of buildings and the </w:t>
      </w:r>
      <w:proofErr w:type="spellStart"/>
      <w:r>
        <w:rPr>
          <w:rFonts w:ascii="Calibri" w:hAnsi="Calibri"/>
          <w:sz w:val="22"/>
          <w:szCs w:val="22"/>
        </w:rPr>
        <w:t>affect</w:t>
      </w:r>
      <w:proofErr w:type="spellEnd"/>
      <w:r>
        <w:rPr>
          <w:rFonts w:ascii="Calibri" w:hAnsi="Calibri"/>
          <w:sz w:val="22"/>
          <w:szCs w:val="22"/>
        </w:rPr>
        <w:t xml:space="preserve"> of architecture on imagination, feeling and emotion. </w:t>
      </w:r>
    </w:p>
    <w:p w:rsidR="005449D9" w:rsidRDefault="005449D9" w:rsidP="00D96EA8">
      <w:pPr>
        <w:numPr>
          <w:ilvl w:val="0"/>
          <w:numId w:val="1"/>
        </w:numPr>
        <w:ind w:left="360"/>
        <w:rPr>
          <w:rFonts w:ascii="Calibri" w:hAnsi="Calibri"/>
          <w:sz w:val="22"/>
          <w:szCs w:val="22"/>
        </w:rPr>
      </w:pPr>
      <w:r>
        <w:rPr>
          <w:rFonts w:ascii="Calibri" w:hAnsi="Calibri"/>
          <w:sz w:val="22"/>
          <w:szCs w:val="22"/>
        </w:rPr>
        <w:t>Understand the relationship between style and technology.</w:t>
      </w:r>
      <w:bookmarkStart w:id="0" w:name="_GoBack"/>
      <w:bookmarkEnd w:id="0"/>
    </w:p>
    <w:p w:rsidR="00D96EA8" w:rsidRDefault="00D96EA8" w:rsidP="00D96EA8">
      <w:pPr>
        <w:numPr>
          <w:ilvl w:val="0"/>
          <w:numId w:val="1"/>
        </w:numPr>
        <w:ind w:left="360"/>
        <w:rPr>
          <w:rFonts w:ascii="Calibri" w:hAnsi="Calibri"/>
          <w:sz w:val="22"/>
          <w:szCs w:val="22"/>
        </w:rPr>
      </w:pPr>
      <w:r>
        <w:rPr>
          <w:rFonts w:ascii="Calibri" w:hAnsi="Calibri"/>
          <w:sz w:val="22"/>
          <w:szCs w:val="22"/>
        </w:rPr>
        <w:t>Understanding of how drawings reflect models and conventions of professional practice</w:t>
      </w:r>
      <w:r w:rsidR="00401159">
        <w:rPr>
          <w:rFonts w:ascii="Calibri" w:hAnsi="Calibri"/>
          <w:sz w:val="22"/>
          <w:szCs w:val="22"/>
        </w:rPr>
        <w:t>.</w:t>
      </w:r>
    </w:p>
    <w:p w:rsidR="00412D21" w:rsidRPr="005449D9" w:rsidRDefault="00D96EA8" w:rsidP="005449D9">
      <w:pPr>
        <w:numPr>
          <w:ilvl w:val="0"/>
          <w:numId w:val="1"/>
        </w:numPr>
        <w:ind w:left="360"/>
        <w:rPr>
          <w:rFonts w:ascii="Calibri" w:hAnsi="Calibri"/>
          <w:sz w:val="22"/>
          <w:szCs w:val="22"/>
        </w:rPr>
      </w:pPr>
      <w:r>
        <w:rPr>
          <w:rFonts w:ascii="Calibri" w:hAnsi="Calibri"/>
          <w:sz w:val="22"/>
          <w:szCs w:val="22"/>
        </w:rPr>
        <w:t>Understand the</w:t>
      </w:r>
      <w:r w:rsidR="00412D21" w:rsidRPr="00A4449C">
        <w:rPr>
          <w:rFonts w:ascii="Calibri" w:hAnsi="Calibri"/>
          <w:sz w:val="22"/>
          <w:szCs w:val="22"/>
        </w:rPr>
        <w:t xml:space="preserve"> use of sketches, drawings, computational models, physical models, labels and captions not only to describe a building so that it can be constructed, but also to convey design intention, to notate critical aspects of intended building performance and function, or to represent the anticipated perceptual, cognitive, affective or emotive effects of a design. </w:t>
      </w:r>
    </w:p>
    <w:p w:rsidR="00412D21" w:rsidRPr="00A4449C" w:rsidRDefault="00412D21" w:rsidP="00412D21">
      <w:pPr>
        <w:spacing w:line="239" w:lineRule="exact"/>
        <w:rPr>
          <w:rFonts w:ascii="Calibri" w:hAnsi="Calibri" w:cs="Calibri"/>
          <w:sz w:val="22"/>
          <w:szCs w:val="22"/>
        </w:rPr>
      </w:pPr>
    </w:p>
    <w:p w:rsidR="00D96EA8" w:rsidRDefault="00412D21" w:rsidP="00D96EA8">
      <w:pPr>
        <w:tabs>
          <w:tab w:val="left" w:pos="-2610"/>
        </w:tabs>
        <w:rPr>
          <w:rFonts w:ascii="Calibri" w:hAnsi="Calibri" w:cs="Calibri"/>
          <w:b/>
          <w:sz w:val="22"/>
          <w:szCs w:val="22"/>
        </w:rPr>
      </w:pPr>
      <w:r w:rsidRPr="00A4449C">
        <w:rPr>
          <w:rFonts w:ascii="Calibri" w:hAnsi="Calibri" w:cs="Calibri"/>
          <w:b/>
          <w:sz w:val="22"/>
          <w:szCs w:val="22"/>
        </w:rPr>
        <w:t>Student Performance Criterion/</w:t>
      </w:r>
      <w:proofErr w:type="gramStart"/>
      <w:r w:rsidRPr="00A4449C">
        <w:rPr>
          <w:rFonts w:ascii="Calibri" w:hAnsi="Calibri" w:cs="Calibri"/>
          <w:b/>
          <w:sz w:val="22"/>
          <w:szCs w:val="22"/>
        </w:rPr>
        <w:t>a</w:t>
      </w:r>
      <w:proofErr w:type="gramEnd"/>
      <w:r w:rsidRPr="00A4449C">
        <w:rPr>
          <w:rFonts w:ascii="Calibri" w:hAnsi="Calibri" w:cs="Calibri"/>
          <w:b/>
          <w:sz w:val="22"/>
          <w:szCs w:val="22"/>
        </w:rPr>
        <w:t xml:space="preserve"> Addressed:</w:t>
      </w:r>
    </w:p>
    <w:p w:rsidR="00412D21" w:rsidRDefault="00D96EA8" w:rsidP="00D96EA8">
      <w:pPr>
        <w:tabs>
          <w:tab w:val="left" w:pos="-2610"/>
        </w:tabs>
        <w:rPr>
          <w:rFonts w:ascii="Calibri" w:hAnsi="Calibri" w:cs="Calibri"/>
          <w:sz w:val="22"/>
          <w:szCs w:val="22"/>
        </w:rPr>
      </w:pPr>
      <w:r>
        <w:rPr>
          <w:rFonts w:ascii="Calibri" w:hAnsi="Calibri" w:cs="Calibri"/>
          <w:sz w:val="22"/>
          <w:szCs w:val="22"/>
        </w:rPr>
        <w:t xml:space="preserve"> </w:t>
      </w:r>
      <w:r w:rsidR="00412D21">
        <w:rPr>
          <w:rFonts w:ascii="Calibri" w:hAnsi="Calibri" w:cs="Calibri"/>
          <w:sz w:val="22"/>
          <w:szCs w:val="22"/>
        </w:rPr>
        <w:t>A.1. Communication Skills (A)</w:t>
      </w:r>
    </w:p>
    <w:p w:rsidR="00412D21" w:rsidRDefault="00412D21" w:rsidP="00412D21">
      <w:pPr>
        <w:tabs>
          <w:tab w:val="left" w:pos="-2610"/>
        </w:tabs>
        <w:rPr>
          <w:rFonts w:ascii="Calibri" w:hAnsi="Calibri" w:cs="Calibri"/>
          <w:sz w:val="22"/>
          <w:szCs w:val="22"/>
        </w:rPr>
      </w:pPr>
      <w:r>
        <w:rPr>
          <w:rFonts w:ascii="Calibri" w:hAnsi="Calibri" w:cs="Calibri"/>
          <w:sz w:val="22"/>
          <w:szCs w:val="22"/>
        </w:rPr>
        <w:t>A.2. Design Thinking Skills (A)</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412D21" w:rsidRDefault="00412D21" w:rsidP="00412D21">
      <w:pPr>
        <w:tabs>
          <w:tab w:val="left" w:pos="-2610"/>
        </w:tabs>
        <w:rPr>
          <w:rFonts w:ascii="Calibri" w:hAnsi="Calibri" w:cs="Calibri"/>
          <w:sz w:val="22"/>
          <w:szCs w:val="22"/>
        </w:rPr>
      </w:pPr>
      <w:r>
        <w:rPr>
          <w:rFonts w:ascii="Calibri" w:hAnsi="Calibri" w:cs="Calibri"/>
          <w:sz w:val="22"/>
          <w:szCs w:val="22"/>
        </w:rPr>
        <w:t>A.3. Visual Communication Skills (A)</w:t>
      </w:r>
      <w:r>
        <w:rPr>
          <w:rFonts w:ascii="Calibri" w:hAnsi="Calibri" w:cs="Calibri"/>
          <w:sz w:val="22"/>
          <w:szCs w:val="22"/>
        </w:rPr>
        <w:tab/>
      </w:r>
      <w:r>
        <w:rPr>
          <w:rFonts w:ascii="Calibri" w:hAnsi="Calibri" w:cs="Calibri"/>
          <w:sz w:val="22"/>
          <w:szCs w:val="22"/>
        </w:rPr>
        <w:tab/>
      </w:r>
    </w:p>
    <w:p w:rsidR="00412D21" w:rsidRPr="00A4449C" w:rsidRDefault="00412D21" w:rsidP="00412D21">
      <w:pPr>
        <w:tabs>
          <w:tab w:val="left" w:pos="-2610"/>
        </w:tabs>
        <w:rPr>
          <w:rFonts w:ascii="Calibri" w:hAnsi="Calibri" w:cs="Calibri"/>
          <w:sz w:val="22"/>
          <w:szCs w:val="22"/>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Topical Outline:</w:t>
      </w:r>
    </w:p>
    <w:p w:rsidR="00412D21" w:rsidRDefault="005449D9" w:rsidP="00412D21">
      <w:pPr>
        <w:tabs>
          <w:tab w:val="left" w:pos="-2610"/>
        </w:tabs>
        <w:rPr>
          <w:rFonts w:ascii="Calibri" w:hAnsi="Calibri" w:cs="Calibri"/>
          <w:sz w:val="22"/>
          <w:szCs w:val="22"/>
        </w:rPr>
      </w:pPr>
      <w:r>
        <w:rPr>
          <w:rFonts w:ascii="Calibri" w:hAnsi="Calibri" w:cs="Calibri"/>
          <w:sz w:val="22"/>
          <w:szCs w:val="22"/>
        </w:rPr>
        <w:t>Types of drawings and drawing conventions 20%</w:t>
      </w:r>
    </w:p>
    <w:p w:rsidR="005449D9" w:rsidRDefault="005449D9" w:rsidP="00412D21">
      <w:pPr>
        <w:tabs>
          <w:tab w:val="left" w:pos="-2610"/>
        </w:tabs>
        <w:rPr>
          <w:rFonts w:ascii="Calibri" w:hAnsi="Calibri" w:cs="Calibri"/>
          <w:sz w:val="22"/>
          <w:szCs w:val="22"/>
        </w:rPr>
      </w:pPr>
      <w:r>
        <w:rPr>
          <w:rFonts w:ascii="Calibri" w:hAnsi="Calibri" w:cs="Calibri"/>
          <w:sz w:val="22"/>
          <w:szCs w:val="22"/>
        </w:rPr>
        <w:t>Drawings and the practice of architecture 20%</w:t>
      </w:r>
    </w:p>
    <w:p w:rsidR="005449D9" w:rsidRDefault="005449D9" w:rsidP="00412D21">
      <w:pPr>
        <w:tabs>
          <w:tab w:val="left" w:pos="-2610"/>
        </w:tabs>
        <w:rPr>
          <w:rFonts w:ascii="Calibri" w:hAnsi="Calibri" w:cs="Calibri"/>
          <w:sz w:val="22"/>
          <w:szCs w:val="22"/>
        </w:rPr>
      </w:pPr>
      <w:r>
        <w:rPr>
          <w:rFonts w:ascii="Calibri" w:hAnsi="Calibri" w:cs="Calibri"/>
          <w:sz w:val="22"/>
          <w:szCs w:val="22"/>
        </w:rPr>
        <w:t>Drawings, specifications and constructions in architecture 10%</w:t>
      </w:r>
    </w:p>
    <w:p w:rsidR="005449D9" w:rsidRDefault="005449D9" w:rsidP="00412D21">
      <w:pPr>
        <w:tabs>
          <w:tab w:val="left" w:pos="-2610"/>
        </w:tabs>
        <w:rPr>
          <w:rFonts w:ascii="Calibri" w:hAnsi="Calibri" w:cs="Calibri"/>
          <w:sz w:val="22"/>
          <w:szCs w:val="22"/>
        </w:rPr>
      </w:pPr>
      <w:r>
        <w:rPr>
          <w:rFonts w:ascii="Calibri" w:hAnsi="Calibri" w:cs="Calibri"/>
          <w:sz w:val="22"/>
          <w:szCs w:val="22"/>
        </w:rPr>
        <w:t>Principles of architectural tectonics 16%</w:t>
      </w:r>
    </w:p>
    <w:p w:rsidR="005449D9" w:rsidRDefault="005449D9" w:rsidP="00412D21">
      <w:pPr>
        <w:tabs>
          <w:tab w:val="left" w:pos="-2610"/>
        </w:tabs>
        <w:rPr>
          <w:rFonts w:ascii="Calibri" w:hAnsi="Calibri" w:cs="Calibri"/>
          <w:sz w:val="22"/>
          <w:szCs w:val="22"/>
        </w:rPr>
      </w:pPr>
      <w:r>
        <w:rPr>
          <w:rFonts w:ascii="Calibri" w:hAnsi="Calibri" w:cs="Calibri"/>
          <w:sz w:val="22"/>
          <w:szCs w:val="22"/>
        </w:rPr>
        <w:t>Architectural details as an expression of values 17%</w:t>
      </w:r>
    </w:p>
    <w:p w:rsidR="005449D9" w:rsidRDefault="005449D9" w:rsidP="00412D21">
      <w:pPr>
        <w:tabs>
          <w:tab w:val="left" w:pos="-2610"/>
        </w:tabs>
        <w:rPr>
          <w:rFonts w:ascii="Calibri" w:hAnsi="Calibri" w:cs="Calibri"/>
          <w:sz w:val="22"/>
          <w:szCs w:val="22"/>
        </w:rPr>
      </w:pPr>
      <w:r>
        <w:rPr>
          <w:rFonts w:ascii="Calibri" w:hAnsi="Calibri" w:cs="Calibri"/>
          <w:sz w:val="22"/>
          <w:szCs w:val="22"/>
        </w:rPr>
        <w:t>Case studies in architectural tectonics 17%</w:t>
      </w:r>
    </w:p>
    <w:p w:rsidR="00D96EA8" w:rsidRPr="00A4449C" w:rsidRDefault="00D96EA8" w:rsidP="00412D21">
      <w:pPr>
        <w:tabs>
          <w:tab w:val="left" w:pos="-2610"/>
        </w:tabs>
        <w:rPr>
          <w:rFonts w:ascii="Calibri" w:hAnsi="Calibri" w:cs="Calibri"/>
          <w:b/>
          <w:sz w:val="22"/>
          <w:szCs w:val="22"/>
        </w:rPr>
      </w:pPr>
    </w:p>
    <w:p w:rsidR="00412D21" w:rsidRPr="005449D9" w:rsidRDefault="005449D9" w:rsidP="00412D21">
      <w:pPr>
        <w:tabs>
          <w:tab w:val="left" w:pos="-2610"/>
        </w:tabs>
        <w:rPr>
          <w:rFonts w:ascii="Calibri" w:hAnsi="Calibri" w:cs="Calibri"/>
          <w:b/>
          <w:sz w:val="22"/>
          <w:szCs w:val="22"/>
        </w:rPr>
      </w:pPr>
      <w:r>
        <w:rPr>
          <w:rFonts w:ascii="Calibri" w:hAnsi="Calibri" w:cs="Calibri"/>
          <w:b/>
          <w:sz w:val="22"/>
          <w:szCs w:val="22"/>
        </w:rPr>
        <w:t xml:space="preserve">Prerequisites: </w:t>
      </w:r>
      <w:r w:rsidR="00412D21" w:rsidRPr="00A4449C">
        <w:rPr>
          <w:rFonts w:ascii="Calibri" w:hAnsi="Calibri"/>
          <w:sz w:val="22"/>
          <w:szCs w:val="22"/>
        </w:rPr>
        <w:t>None</w:t>
      </w:r>
    </w:p>
    <w:p w:rsidR="00412D21" w:rsidRPr="00A4449C" w:rsidRDefault="00412D21" w:rsidP="00412D21">
      <w:pPr>
        <w:tabs>
          <w:tab w:val="left" w:pos="-2610"/>
        </w:tabs>
        <w:rPr>
          <w:rFonts w:ascii="Calibri" w:hAnsi="Calibri" w:cs="Calibri"/>
          <w:b/>
          <w:sz w:val="22"/>
          <w:szCs w:val="22"/>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Textbooks/Learning Resources:</w:t>
      </w:r>
    </w:p>
    <w:p w:rsidR="006A4385" w:rsidRDefault="00D96EA8" w:rsidP="006A4385">
      <w:pPr>
        <w:widowControl/>
        <w:adjustRightInd w:val="0"/>
        <w:rPr>
          <w:rFonts w:ascii="Segoe UI" w:eastAsiaTheme="minorHAnsi" w:hAnsi="Segoe UI" w:cs="Segoe UI"/>
          <w:sz w:val="18"/>
          <w:szCs w:val="18"/>
        </w:rPr>
      </w:pPr>
      <w:r>
        <w:rPr>
          <w:rFonts w:asciiTheme="minorHAnsi" w:hAnsiTheme="minorHAnsi" w:cstheme="minorHAnsi"/>
          <w:sz w:val="22"/>
          <w:szCs w:val="22"/>
        </w:rPr>
        <w:t>A variety of articles and book chapters from texts such as:</w:t>
      </w:r>
      <w:r>
        <w:rPr>
          <w:rFonts w:asciiTheme="minorHAnsi" w:hAnsiTheme="minorHAnsi" w:cstheme="minorHAnsi"/>
          <w:sz w:val="22"/>
          <w:szCs w:val="22"/>
        </w:rPr>
        <w:t xml:space="preserve"> </w:t>
      </w:r>
      <w:r w:rsidR="006A4385">
        <w:rPr>
          <w:rFonts w:ascii="Segoe UI" w:eastAsiaTheme="minorHAnsi" w:hAnsi="Segoe UI" w:cs="Segoe UI"/>
          <w:sz w:val="18"/>
          <w:szCs w:val="18"/>
        </w:rPr>
        <w:t xml:space="preserve">Carpo M, </w:t>
      </w:r>
      <w:proofErr w:type="spellStart"/>
      <w:r w:rsidR="006A4385">
        <w:rPr>
          <w:rFonts w:ascii="Segoe UI" w:eastAsiaTheme="minorHAnsi" w:hAnsi="Segoe UI" w:cs="Segoe UI"/>
          <w:sz w:val="18"/>
          <w:szCs w:val="18"/>
        </w:rPr>
        <w:t>Lemerle</w:t>
      </w:r>
      <w:proofErr w:type="spellEnd"/>
      <w:r w:rsidR="006A4385">
        <w:rPr>
          <w:rFonts w:ascii="Segoe UI" w:eastAsiaTheme="minorHAnsi" w:hAnsi="Segoe UI" w:cs="Segoe UI"/>
          <w:sz w:val="18"/>
          <w:szCs w:val="18"/>
        </w:rPr>
        <w:t xml:space="preserve"> F, 2008 </w:t>
      </w:r>
      <w:r w:rsidR="006A4385">
        <w:rPr>
          <w:rFonts w:ascii="Segoe UI" w:eastAsiaTheme="minorHAnsi" w:hAnsi="Segoe UI" w:cs="Segoe UI"/>
          <w:i/>
          <w:iCs/>
          <w:sz w:val="18"/>
          <w:szCs w:val="18"/>
        </w:rPr>
        <w:t>Perspective, projections and design</w:t>
      </w:r>
      <w:r w:rsidR="006A4385">
        <w:rPr>
          <w:rFonts w:ascii="Segoe UI" w:eastAsiaTheme="minorHAnsi" w:hAnsi="Segoe UI" w:cs="Segoe UI"/>
          <w:sz w:val="18"/>
          <w:szCs w:val="18"/>
        </w:rPr>
        <w:t xml:space="preserve"> (</w:t>
      </w:r>
      <w:proofErr w:type="spellStart"/>
      <w:r w:rsidR="006A4385">
        <w:rPr>
          <w:rFonts w:ascii="Segoe UI" w:eastAsiaTheme="minorHAnsi" w:hAnsi="Segoe UI" w:cs="Segoe UI"/>
          <w:sz w:val="18"/>
          <w:szCs w:val="18"/>
        </w:rPr>
        <w:t>Routledge</w:t>
      </w:r>
      <w:proofErr w:type="spellEnd"/>
      <w:r w:rsidR="006A4385">
        <w:rPr>
          <w:rFonts w:ascii="Segoe UI" w:eastAsiaTheme="minorHAnsi" w:hAnsi="Segoe UI" w:cs="Segoe UI"/>
          <w:sz w:val="18"/>
          <w:szCs w:val="18"/>
        </w:rPr>
        <w:t xml:space="preserve">, London); </w:t>
      </w:r>
      <w:r>
        <w:rPr>
          <w:rFonts w:ascii="Segoe UI" w:eastAsiaTheme="minorHAnsi" w:hAnsi="Segoe UI" w:cs="Segoe UI"/>
          <w:sz w:val="18"/>
          <w:szCs w:val="18"/>
        </w:rPr>
        <w:t xml:space="preserve">Evans R, 1995 </w:t>
      </w:r>
      <w:r>
        <w:rPr>
          <w:rFonts w:ascii="Segoe UI" w:eastAsiaTheme="minorHAnsi" w:hAnsi="Segoe UI" w:cs="Segoe UI"/>
          <w:i/>
          <w:iCs/>
          <w:sz w:val="18"/>
          <w:szCs w:val="18"/>
        </w:rPr>
        <w:t>The projective cast : architecture and its three geometries</w:t>
      </w:r>
      <w:r>
        <w:rPr>
          <w:rFonts w:ascii="Segoe UI" w:eastAsiaTheme="minorHAnsi" w:hAnsi="Segoe UI" w:cs="Segoe UI"/>
          <w:sz w:val="18"/>
          <w:szCs w:val="18"/>
        </w:rPr>
        <w:t xml:space="preserve"> (MIT Press, Cambridge, Mass.)</w:t>
      </w:r>
      <w:r>
        <w:rPr>
          <w:rFonts w:ascii="Segoe UI" w:eastAsiaTheme="minorHAnsi" w:hAnsi="Segoe UI" w:cs="Segoe UI"/>
          <w:sz w:val="18"/>
          <w:szCs w:val="18"/>
        </w:rPr>
        <w:t xml:space="preserve">; </w:t>
      </w:r>
      <w:r w:rsidR="006A4385">
        <w:rPr>
          <w:rFonts w:ascii="Segoe UI" w:eastAsiaTheme="minorHAnsi" w:hAnsi="Segoe UI" w:cs="Segoe UI"/>
          <w:sz w:val="18"/>
          <w:szCs w:val="18"/>
        </w:rPr>
        <w:t xml:space="preserve">Frampton K, 1995 </w:t>
      </w:r>
      <w:r w:rsidR="006A4385">
        <w:rPr>
          <w:rFonts w:ascii="Segoe UI" w:eastAsiaTheme="minorHAnsi" w:hAnsi="Segoe UI" w:cs="Segoe UI"/>
          <w:i/>
          <w:iCs/>
          <w:sz w:val="18"/>
          <w:szCs w:val="18"/>
        </w:rPr>
        <w:t>Studies in tectonic culture: the poetics of construction in nineteenth and twentieth century architecture</w:t>
      </w:r>
      <w:r w:rsidR="006A4385">
        <w:rPr>
          <w:rFonts w:ascii="Segoe UI" w:eastAsiaTheme="minorHAnsi" w:hAnsi="Segoe UI" w:cs="Segoe UI"/>
          <w:sz w:val="18"/>
          <w:szCs w:val="18"/>
        </w:rPr>
        <w:t xml:space="preserve"> (MIT Pre</w:t>
      </w:r>
      <w:r w:rsidR="006A4385">
        <w:rPr>
          <w:rFonts w:ascii="Segoe UI" w:eastAsiaTheme="minorHAnsi" w:hAnsi="Segoe UI" w:cs="Segoe UI"/>
          <w:sz w:val="18"/>
          <w:szCs w:val="18"/>
        </w:rPr>
        <w:t>ss, Cambridge, MA);</w:t>
      </w:r>
      <w:r w:rsidR="006A4385">
        <w:rPr>
          <w:rFonts w:ascii="Segoe UI" w:eastAsiaTheme="minorHAnsi" w:hAnsi="Segoe UI" w:cs="Segoe UI"/>
          <w:sz w:val="18"/>
          <w:szCs w:val="18"/>
        </w:rPr>
        <w:t xml:space="preserve">Johnston G, 2008 </w:t>
      </w:r>
      <w:r w:rsidR="006A4385">
        <w:rPr>
          <w:rFonts w:ascii="Segoe UI" w:eastAsiaTheme="minorHAnsi" w:hAnsi="Segoe UI" w:cs="Segoe UI"/>
          <w:i/>
          <w:iCs/>
          <w:sz w:val="18"/>
          <w:szCs w:val="18"/>
        </w:rPr>
        <w:t>Drafting culture</w:t>
      </w:r>
      <w:r w:rsidR="006A4385">
        <w:rPr>
          <w:rFonts w:ascii="Segoe UI" w:eastAsiaTheme="minorHAnsi" w:hAnsi="Segoe UI" w:cs="Segoe UI"/>
          <w:sz w:val="18"/>
          <w:szCs w:val="18"/>
        </w:rPr>
        <w:t xml:space="preserve"> (Cambridge, MA, Cambridge)</w:t>
      </w:r>
      <w:r w:rsidR="006A4385">
        <w:rPr>
          <w:rFonts w:ascii="Segoe UI" w:eastAsiaTheme="minorHAnsi" w:hAnsi="Segoe UI" w:cs="Segoe UI"/>
          <w:sz w:val="18"/>
          <w:szCs w:val="18"/>
        </w:rPr>
        <w:t xml:space="preserve">; </w:t>
      </w:r>
      <w:r w:rsidR="006A4385">
        <w:rPr>
          <w:rFonts w:ascii="Segoe UI" w:eastAsiaTheme="minorHAnsi" w:hAnsi="Segoe UI" w:cs="Segoe UI"/>
          <w:sz w:val="18"/>
          <w:szCs w:val="18"/>
        </w:rPr>
        <w:t xml:space="preserve">Spuybroek L, 2011 </w:t>
      </w:r>
      <w:r w:rsidR="006A4385">
        <w:rPr>
          <w:rFonts w:ascii="Segoe UI" w:eastAsiaTheme="minorHAnsi" w:hAnsi="Segoe UI" w:cs="Segoe UI"/>
          <w:i/>
          <w:iCs/>
          <w:sz w:val="18"/>
          <w:szCs w:val="18"/>
        </w:rPr>
        <w:t>The sympathy of things; Ruskin and the ecology of design</w:t>
      </w:r>
      <w:r w:rsidR="006A4385">
        <w:rPr>
          <w:rFonts w:ascii="Segoe UI" w:eastAsiaTheme="minorHAnsi" w:hAnsi="Segoe UI" w:cs="Segoe UI"/>
          <w:sz w:val="18"/>
          <w:szCs w:val="18"/>
        </w:rPr>
        <w:t xml:space="preserve"> (</w:t>
      </w:r>
      <w:r w:rsidR="006A4385">
        <w:rPr>
          <w:rFonts w:ascii="Segoe UI" w:eastAsiaTheme="minorHAnsi" w:hAnsi="Segoe UI" w:cs="Segoe UI"/>
          <w:sz w:val="18"/>
          <w:szCs w:val="18"/>
        </w:rPr>
        <w:t xml:space="preserve">V2 - </w:t>
      </w:r>
      <w:proofErr w:type="spellStart"/>
      <w:r w:rsidR="006A4385">
        <w:rPr>
          <w:rFonts w:ascii="Segoe UI" w:eastAsiaTheme="minorHAnsi" w:hAnsi="Segoe UI" w:cs="Segoe UI"/>
          <w:sz w:val="18"/>
          <w:szCs w:val="18"/>
        </w:rPr>
        <w:t>NAi</w:t>
      </w:r>
      <w:proofErr w:type="spellEnd"/>
      <w:r w:rsidR="006A4385">
        <w:rPr>
          <w:rFonts w:ascii="Segoe UI" w:eastAsiaTheme="minorHAnsi" w:hAnsi="Segoe UI" w:cs="Segoe UI"/>
          <w:sz w:val="18"/>
          <w:szCs w:val="18"/>
        </w:rPr>
        <w:t xml:space="preserve"> Publishers, Rotterdam); </w:t>
      </w:r>
      <w:proofErr w:type="spellStart"/>
      <w:r w:rsidR="006A4385">
        <w:rPr>
          <w:rFonts w:ascii="Segoe UI" w:eastAsiaTheme="minorHAnsi" w:hAnsi="Segoe UI" w:cs="Segoe UI"/>
          <w:sz w:val="18"/>
          <w:szCs w:val="18"/>
        </w:rPr>
        <w:t>Vidler</w:t>
      </w:r>
      <w:proofErr w:type="spellEnd"/>
      <w:r w:rsidR="006A4385">
        <w:rPr>
          <w:rFonts w:ascii="Segoe UI" w:eastAsiaTheme="minorHAnsi" w:hAnsi="Segoe UI" w:cs="Segoe UI"/>
          <w:sz w:val="18"/>
          <w:szCs w:val="18"/>
        </w:rPr>
        <w:t xml:space="preserve"> A, 1992 </w:t>
      </w:r>
      <w:r w:rsidR="006A4385">
        <w:rPr>
          <w:rFonts w:ascii="Segoe UI" w:eastAsiaTheme="minorHAnsi" w:hAnsi="Segoe UI" w:cs="Segoe UI"/>
          <w:i/>
          <w:iCs/>
          <w:sz w:val="18"/>
          <w:szCs w:val="18"/>
        </w:rPr>
        <w:t xml:space="preserve">The architectural uncanny : essays in the modern </w:t>
      </w:r>
      <w:proofErr w:type="spellStart"/>
      <w:r w:rsidR="006A4385">
        <w:rPr>
          <w:rFonts w:ascii="Segoe UI" w:eastAsiaTheme="minorHAnsi" w:hAnsi="Segoe UI" w:cs="Segoe UI"/>
          <w:i/>
          <w:iCs/>
          <w:sz w:val="18"/>
          <w:szCs w:val="18"/>
        </w:rPr>
        <w:t>unhomely</w:t>
      </w:r>
      <w:proofErr w:type="spellEnd"/>
      <w:r w:rsidR="006A4385">
        <w:rPr>
          <w:rFonts w:ascii="Segoe UI" w:eastAsiaTheme="minorHAnsi" w:hAnsi="Segoe UI" w:cs="Segoe UI"/>
          <w:sz w:val="18"/>
          <w:szCs w:val="18"/>
        </w:rPr>
        <w:t xml:space="preserve"> (MIT Press, Cambridge, Mass.)</w:t>
      </w:r>
    </w:p>
    <w:p w:rsidR="006A4385" w:rsidRDefault="006A4385" w:rsidP="006A4385">
      <w:pPr>
        <w:widowControl/>
        <w:adjustRightInd w:val="0"/>
        <w:rPr>
          <w:rFonts w:ascii="Segoe UI" w:eastAsiaTheme="minorHAnsi" w:hAnsi="Segoe UI" w:cs="Segoe UI"/>
          <w:sz w:val="18"/>
          <w:szCs w:val="18"/>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Semester Offered:</w:t>
      </w:r>
    </w:p>
    <w:p w:rsidR="00412D21" w:rsidRPr="00A4449C" w:rsidRDefault="006A4385" w:rsidP="00412D21">
      <w:pPr>
        <w:tabs>
          <w:tab w:val="left" w:pos="-2610"/>
        </w:tabs>
        <w:rPr>
          <w:rFonts w:ascii="Calibri" w:hAnsi="Calibri" w:cs="Calibri"/>
          <w:sz w:val="22"/>
          <w:szCs w:val="22"/>
        </w:rPr>
      </w:pPr>
      <w:r>
        <w:rPr>
          <w:rFonts w:ascii="Calibri" w:hAnsi="Calibri" w:cs="Calibri"/>
          <w:sz w:val="22"/>
          <w:szCs w:val="22"/>
        </w:rPr>
        <w:t>Spring</w:t>
      </w:r>
      <w:r w:rsidR="00412D21" w:rsidRPr="00A4449C">
        <w:rPr>
          <w:rFonts w:ascii="Calibri" w:hAnsi="Calibri" w:cs="Calibri"/>
          <w:sz w:val="22"/>
          <w:szCs w:val="22"/>
        </w:rPr>
        <w:t>; annually</w:t>
      </w:r>
    </w:p>
    <w:p w:rsidR="00412D21" w:rsidRPr="00A4449C" w:rsidRDefault="00412D21" w:rsidP="00412D21">
      <w:pPr>
        <w:tabs>
          <w:tab w:val="left" w:pos="-2610"/>
        </w:tabs>
        <w:rPr>
          <w:rFonts w:ascii="Calibri" w:hAnsi="Calibri" w:cs="Calibri"/>
          <w:sz w:val="22"/>
          <w:szCs w:val="22"/>
        </w:rPr>
      </w:pPr>
    </w:p>
    <w:p w:rsidR="00412D21" w:rsidRPr="00A4449C" w:rsidRDefault="00412D21" w:rsidP="00412D21">
      <w:pPr>
        <w:tabs>
          <w:tab w:val="left" w:pos="-2610"/>
        </w:tabs>
        <w:rPr>
          <w:rFonts w:ascii="Calibri" w:hAnsi="Calibri" w:cs="Calibri"/>
          <w:b/>
          <w:sz w:val="22"/>
          <w:szCs w:val="22"/>
        </w:rPr>
      </w:pPr>
      <w:r w:rsidRPr="00A4449C">
        <w:rPr>
          <w:rFonts w:ascii="Calibri" w:hAnsi="Calibri" w:cs="Calibri"/>
          <w:b/>
          <w:sz w:val="22"/>
          <w:szCs w:val="22"/>
        </w:rPr>
        <w:t>Faculty Assigned:</w:t>
      </w:r>
    </w:p>
    <w:p w:rsidR="005449D9" w:rsidRPr="006A4385" w:rsidRDefault="006A4385" w:rsidP="006A4385">
      <w:pPr>
        <w:tabs>
          <w:tab w:val="left" w:pos="-2610"/>
        </w:tabs>
        <w:rPr>
          <w:rFonts w:ascii="Calibri" w:hAnsi="Calibri" w:cs="Calibri"/>
          <w:sz w:val="22"/>
          <w:szCs w:val="22"/>
        </w:rPr>
      </w:pPr>
      <w:r>
        <w:rPr>
          <w:rFonts w:ascii="Calibri" w:hAnsi="Calibri" w:cs="Calibri"/>
          <w:sz w:val="22"/>
          <w:szCs w:val="22"/>
        </w:rPr>
        <w:t>George Johnston</w:t>
      </w:r>
      <w:r w:rsidR="005449D9">
        <w:rPr>
          <w:rFonts w:ascii="Calibri" w:hAnsi="Calibri" w:cs="Calibri"/>
          <w:sz w:val="22"/>
          <w:szCs w:val="22"/>
        </w:rPr>
        <w:t>, Mark Cottle, Lars Spuybroek</w:t>
      </w:r>
    </w:p>
    <w:sectPr w:rsidR="005449D9" w:rsidRPr="006A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0AA"/>
    <w:multiLevelType w:val="hybridMultilevel"/>
    <w:tmpl w:val="8B0C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21"/>
    <w:rsid w:val="00401159"/>
    <w:rsid w:val="00412D21"/>
    <w:rsid w:val="005449D9"/>
    <w:rsid w:val="006672A2"/>
    <w:rsid w:val="006A4385"/>
    <w:rsid w:val="007A2624"/>
    <w:rsid w:val="009833E2"/>
    <w:rsid w:val="00993DEE"/>
    <w:rsid w:val="00B6474E"/>
    <w:rsid w:val="00C51E94"/>
    <w:rsid w:val="00D9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21"/>
    <w:pPr>
      <w:widowControl w:val="0"/>
      <w:autoSpaceDE w:val="0"/>
      <w:autoSpaceDN w:val="0"/>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21"/>
    <w:pPr>
      <w:widowControl w:val="0"/>
      <w:autoSpaceDE w:val="0"/>
      <w:autoSpaceDN w:val="0"/>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jp2</dc:creator>
  <cp:lastModifiedBy>jp2</cp:lastModifiedBy>
  <cp:revision>3</cp:revision>
  <dcterms:created xsi:type="dcterms:W3CDTF">2013-08-27T20:26:00Z</dcterms:created>
  <dcterms:modified xsi:type="dcterms:W3CDTF">2013-08-27T20:55:00Z</dcterms:modified>
</cp:coreProperties>
</file>