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bCs/>
          <w:sz w:val="28"/>
          <w:szCs w:val="28"/>
        </w:rPr>
      </w:pPr>
      <w:r>
        <w:rPr>
          <w:b/>
          <w:bCs/>
          <w:sz w:val="28"/>
          <w:szCs w:val="28"/>
        </w:rPr>
        <w:t>Human Genetics B</w:t>
      </w:r>
      <w:r>
        <w:rPr>
          <w:b/>
          <w:bCs/>
          <w:sz w:val="28"/>
          <w:szCs w:val="28"/>
        </w:rPr>
        <w:t>IOS</w:t>
      </w:r>
      <w:r>
        <w:rPr>
          <w:b/>
          <w:bCs/>
          <w:sz w:val="28"/>
          <w:szCs w:val="28"/>
        </w:rPr>
        <w:t xml:space="preserve"> 4545</w:t>
      </w:r>
    </w:p>
    <w:p>
      <w:pPr>
        <w:pStyle w:val="Normal"/>
        <w:rPr/>
      </w:pPr>
      <w:r>
        <w:rPr/>
      </w:r>
    </w:p>
    <w:p>
      <w:pPr>
        <w:pStyle w:val="Normal"/>
        <w:rPr>
          <w:lang w:val="de-DE"/>
        </w:rPr>
      </w:pPr>
      <w:r>
        <w:rPr>
          <w:lang w:val="de-DE"/>
        </w:rPr>
        <w:t xml:space="preserve">Instructor: </w:t>
        <w:tab/>
        <w:t xml:space="preserve">Greg Gibson </w:t>
        <w:tab/>
        <w:tab/>
        <w:t>greg.gibson@biology.gatech.edu</w:t>
      </w:r>
    </w:p>
    <w:p>
      <w:pPr>
        <w:pStyle w:val="Normal"/>
        <w:rPr/>
      </w:pPr>
      <w:r>
        <w:rPr/>
      </w:r>
    </w:p>
    <w:p>
      <w:pPr>
        <w:pStyle w:val="Normal"/>
        <w:rPr/>
      </w:pPr>
      <w:r>
        <w:rPr>
          <w:b/>
          <w:bCs/>
        </w:rPr>
        <w:t>Required testbook:</w:t>
      </w:r>
      <w:r>
        <w:rPr>
          <w:b/>
          <w:bCs/>
          <w:i/>
          <w:iCs/>
        </w:rPr>
        <w:t xml:space="preserve"> </w:t>
      </w:r>
      <w:r>
        <w:rPr>
          <w:i/>
          <w:iCs/>
        </w:rPr>
        <w:t xml:space="preserve">Gibson, A Primer of Human Genetics, Oxford University Press 2014 </w:t>
      </w:r>
    </w:p>
    <w:p>
      <w:pPr>
        <w:pStyle w:val="Normal"/>
        <w:rPr/>
      </w:pPr>
      <w:r>
        <w:rPr/>
      </w:r>
    </w:p>
    <w:p>
      <w:pPr>
        <w:pStyle w:val="Normal"/>
        <w:rPr/>
      </w:pPr>
      <w:r>
        <w:rPr>
          <w:b/>
          <w:bCs/>
        </w:rPr>
        <w:t>Learning objectives:</w:t>
      </w:r>
      <w:r>
        <w:rPr>
          <w:b/>
          <w:bCs/>
          <w:i/>
          <w:iCs/>
        </w:rPr>
        <w:t xml:space="preserve">  </w:t>
      </w:r>
      <w:r>
        <w:rPr/>
        <w:t>This course explores how modern genomics technologies revolutionizes the study of human genetics. By the end of this course, students should be able to:.</w:t>
      </w:r>
    </w:p>
    <w:p>
      <w:pPr>
        <w:pStyle w:val="Normal"/>
        <w:rPr/>
      </w:pPr>
      <w:r>
        <w:rPr/>
      </w:r>
    </w:p>
    <w:p>
      <w:pPr>
        <w:pStyle w:val="Normal"/>
        <w:rPr/>
      </w:pPr>
      <w:r>
        <w:rPr/>
        <w:t>1.  Define heritability and how it is measured or quantified for complex human traits.</w:t>
      </w:r>
    </w:p>
    <w:p>
      <w:pPr>
        <w:pStyle w:val="Normal"/>
        <w:rPr/>
      </w:pPr>
      <w:r>
        <w:rPr/>
        <w:t xml:space="preserve">2.  Describe the design and limitations of genome-wide association studies (GWAS). </w:t>
      </w:r>
    </w:p>
    <w:p>
      <w:pPr>
        <w:pStyle w:val="Normal"/>
        <w:rPr/>
      </w:pPr>
      <w:r>
        <w:rPr/>
        <w:t xml:space="preserve">3.  Explain methods for transcriptome profiling and the influence of epigenetics on gene expression. </w:t>
      </w:r>
    </w:p>
    <w:p>
      <w:pPr>
        <w:pStyle w:val="Normal"/>
        <w:rPr/>
      </w:pPr>
      <w:r>
        <w:rPr/>
        <w:t xml:space="preserve">4.  Analyze and evaluate recent literature applying genome-scale technologies to explore the relationship between human genetic variation, environmental factors, and complex pathologies such as diabetes, cancer, and neurological disorders.  </w:t>
      </w:r>
    </w:p>
    <w:p>
      <w:pPr>
        <w:pStyle w:val="Normal"/>
        <w:rPr/>
      </w:pPr>
      <w:r>
        <w:rPr/>
      </w:r>
    </w:p>
    <w:p>
      <w:pPr>
        <w:pStyle w:val="Normal"/>
        <w:rPr/>
      </w:pPr>
      <w:r>
        <w:rPr>
          <w:b/>
          <w:bCs/>
        </w:rPr>
        <w:t xml:space="preserve">Grades: </w:t>
      </w:r>
      <w:r>
        <w:rPr>
          <w:b/>
          <w:bCs/>
          <w:i/>
          <w:iCs/>
        </w:rPr>
        <w:t xml:space="preserve"> </w:t>
      </w:r>
    </w:p>
    <w:p>
      <w:pPr>
        <w:pStyle w:val="Normal"/>
        <w:rPr>
          <w:b/>
          <w:b/>
          <w:bCs/>
          <w:i/>
          <w:i/>
          <w:iCs/>
        </w:rPr>
      </w:pPr>
      <w:r>
        <w:rPr>
          <w:b/>
          <w:bCs/>
          <w:i/>
          <w:iCs/>
        </w:rPr>
        <w:tab/>
      </w:r>
    </w:p>
    <w:tbl>
      <w:tblPr>
        <w:tblW w:w="8219" w:type="dxa"/>
        <w:jc w:val="left"/>
        <w:tblInd w:w="85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98"/>
        <w:gridCol w:w="6921"/>
      </w:tblGrid>
      <w:tr>
        <w:trPr>
          <w:tblHeader w:val="true"/>
        </w:trPr>
        <w:tc>
          <w:tcPr>
            <w:tcW w:w="129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napToGrid w:val="false"/>
              <w:rPr>
                <w:i w:val="false"/>
                <w:i w:val="false"/>
                <w:iCs w:val="false"/>
              </w:rPr>
            </w:pPr>
            <w:r>
              <w:rPr>
                <w:i w:val="false"/>
                <w:iCs w:val="false"/>
              </w:rPr>
              <w:t>25%</w:t>
            </w:r>
          </w:p>
        </w:tc>
        <w:tc>
          <w:tcPr>
            <w:tcW w:w="69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napToGrid w:val="false"/>
              <w:jc w:val="left"/>
              <w:rPr>
                <w:b w:val="false"/>
                <w:b w:val="false"/>
                <w:bCs w:val="false"/>
                <w:i w:val="false"/>
                <w:i w:val="false"/>
                <w:iCs w:val="false"/>
              </w:rPr>
            </w:pPr>
            <w:r>
              <w:rPr>
                <w:b w:val="false"/>
                <w:bCs w:val="false"/>
                <w:i w:val="false"/>
                <w:iCs w:val="false"/>
              </w:rPr>
              <w:t>Midterm exam</w:t>
            </w:r>
          </w:p>
        </w:tc>
      </w:tr>
      <w:tr>
        <w:trPr/>
        <w:tc>
          <w:tcPr>
            <w:tcW w:w="1298"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jc w:val="center"/>
              <w:rPr>
                <w:b/>
                <w:b/>
                <w:bCs/>
              </w:rPr>
            </w:pPr>
            <w:r>
              <w:rPr>
                <w:b/>
                <w:bCs/>
              </w:rPr>
              <w:t>25%</w:t>
            </w:r>
          </w:p>
        </w:tc>
        <w:tc>
          <w:tcPr>
            <w:tcW w:w="69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rPr/>
            </w:pPr>
            <w:r>
              <w:rPr/>
              <w:t>Final exam</w:t>
            </w:r>
          </w:p>
        </w:tc>
      </w:tr>
      <w:tr>
        <w:trPr/>
        <w:tc>
          <w:tcPr>
            <w:tcW w:w="1298"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jc w:val="center"/>
              <w:rPr>
                <w:b/>
                <w:b/>
                <w:bCs/>
              </w:rPr>
            </w:pPr>
            <w:r>
              <w:rPr>
                <w:b/>
                <w:bCs/>
              </w:rPr>
              <w:t>20%</w:t>
            </w:r>
          </w:p>
        </w:tc>
        <w:tc>
          <w:tcPr>
            <w:tcW w:w="69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rPr/>
            </w:pPr>
            <w:r>
              <w:rPr/>
              <w:t>Term paper</w:t>
            </w:r>
          </w:p>
        </w:tc>
      </w:tr>
      <w:tr>
        <w:trPr/>
        <w:tc>
          <w:tcPr>
            <w:tcW w:w="1298"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jc w:val="center"/>
              <w:rPr>
                <w:b/>
                <w:b/>
                <w:bCs/>
              </w:rPr>
            </w:pPr>
            <w:r>
              <w:rPr>
                <w:b/>
                <w:bCs/>
              </w:rPr>
              <w:t>20%</w:t>
            </w:r>
          </w:p>
        </w:tc>
        <w:tc>
          <w:tcPr>
            <w:tcW w:w="69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rPr/>
            </w:pPr>
            <w:r>
              <w:rPr/>
              <w:t>Literature Critiques</w:t>
            </w:r>
          </w:p>
        </w:tc>
      </w:tr>
      <w:tr>
        <w:trPr/>
        <w:tc>
          <w:tcPr>
            <w:tcW w:w="1298"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jc w:val="center"/>
              <w:rPr>
                <w:b/>
                <w:b/>
                <w:bCs/>
              </w:rPr>
            </w:pPr>
            <w:r>
              <w:rPr>
                <w:b/>
                <w:bCs/>
              </w:rPr>
              <w:t>10%</w:t>
            </w:r>
          </w:p>
        </w:tc>
        <w:tc>
          <w:tcPr>
            <w:tcW w:w="69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rPr/>
            </w:pPr>
            <w:r>
              <w:rPr/>
              <w:t xml:space="preserve">Participation in class discussions </w:t>
            </w:r>
          </w:p>
        </w:tc>
      </w:tr>
    </w:tbl>
    <w:p>
      <w:pPr>
        <w:pStyle w:val="Normal"/>
        <w:rPr/>
      </w:pPr>
      <w:r>
        <w:rPr/>
      </w:r>
    </w:p>
    <w:p>
      <w:pPr>
        <w:pStyle w:val="Normal"/>
        <w:rPr/>
      </w:pPr>
      <w:r>
        <w:rPr/>
      </w:r>
    </w:p>
    <w:p>
      <w:pPr>
        <w:pStyle w:val="Normal"/>
        <w:rPr/>
      </w:pPr>
      <w:r>
        <w:rPr>
          <w:b/>
          <w:bCs/>
        </w:rPr>
        <w:t>Policy on collaboration and the Honor Code:</w:t>
      </w:r>
      <w:r>
        <w:rPr/>
        <w:t xml:space="preserve">  Discussion with peers is encouraged, especially during class group discussions of paper presentations. However, all work turned in must be of your own original efforts.  Using the work of your peers (copying and pasting, even with  alterations) or from any other sources, on-line or in print, without attribution is plagiarism.  Plagiarism will result in zero credit for the assignment, and possible further penalties as an Honor Code violation. All students are expected to abide by Georgia Tech's </w:t>
      </w:r>
      <w:hyperlink r:id="rId2">
        <w:r>
          <w:rPr>
            <w:rStyle w:val="InternetLink"/>
          </w:rPr>
          <w:t>Honor Code</w:t>
        </w:r>
      </w:hyperlink>
      <w:r>
        <w:rPr/>
        <w:t>.</w:t>
      </w:r>
    </w:p>
    <w:p>
      <w:pPr>
        <w:pStyle w:val="Normal"/>
        <w:rPr/>
      </w:pPr>
      <w:r>
        <w:rPr/>
      </w:r>
    </w:p>
    <w:p>
      <w:pPr>
        <w:sectPr>
          <w:type w:val="nextPage"/>
          <w:pgSz w:w="12240" w:h="15840"/>
          <w:pgMar w:left="1296" w:right="1296" w:header="0" w:top="1296" w:footer="0" w:bottom="1296" w:gutter="0"/>
          <w:pgNumType w:fmt="decimal"/>
          <w:formProt w:val="false"/>
          <w:textDirection w:val="lrTb"/>
          <w:docGrid w:type="default" w:linePitch="360" w:charSpace="0"/>
        </w:sectPr>
        <w:pStyle w:val="Normal"/>
        <w:rPr/>
      </w:pPr>
      <w:r>
        <w:rPr>
          <w:b/>
          <w:bCs/>
        </w:rPr>
        <w:t>Learning Accommodations:</w:t>
      </w:r>
      <w:r>
        <w:rPr>
          <w:b/>
          <w:bCs/>
          <w:i/>
          <w:iCs/>
        </w:rPr>
        <w:t xml:space="preserve"> </w:t>
      </w:r>
      <w:r>
        <w:rPr/>
        <w:t xml:space="preserve"> As needed, we will accommodate students with disabilities. These accommodations must be arranged in advance and in accordance with the Office of Disability Services (</w:t>
      </w:r>
      <w:hyperlink r:id="rId3">
        <w:r>
          <w:rPr>
            <w:rStyle w:val="InternetLink"/>
          </w:rPr>
          <w:t>disabilityservices.gatech.edu</w:t>
        </w:r>
      </w:hyperlink>
      <w:r>
        <w:rPr/>
        <w:t>).</w:t>
      </w:r>
    </w:p>
    <w:p>
      <w:pPr>
        <w:pStyle w:val="Normal"/>
        <w:spacing w:before="0" w:after="120"/>
        <w:jc w:val="center"/>
        <w:rPr>
          <w:b/>
          <w:b/>
        </w:rPr>
      </w:pPr>
      <w:r>
        <w:rPr>
          <w:b/>
        </w:rPr>
        <w:t>Schedule of Topics:</w:t>
        <w:tab/>
        <w:t xml:space="preserve"> BIOL 4545   “HUMAN GENETICS”</w:t>
        <w:tab/>
        <w:tab/>
        <w:t>Fall 2018</w:t>
      </w:r>
    </w:p>
    <w:p>
      <w:pPr>
        <w:pStyle w:val="Normal"/>
        <w:spacing w:before="0" w:after="120"/>
        <w:jc w:val="center"/>
        <w:rPr>
          <w:b/>
          <w:b/>
        </w:rPr>
      </w:pPr>
      <w:r>
        <w:rPr>
          <w:b/>
        </w:rPr>
        <w:t>4:30 – 5:45    ES&amp;T L1125</w:t>
      </w:r>
    </w:p>
    <w:p>
      <w:pPr>
        <w:pStyle w:val="Normal"/>
        <w:spacing w:before="0" w:after="80"/>
        <w:rPr/>
      </w:pPr>
      <w:r>
        <w:rPr/>
        <w:t>Tue</w:t>
        <w:tab/>
        <w:t>Aug 21</w:t>
        <w:tab/>
        <w:t>Introductory Lecture</w:t>
      </w:r>
    </w:p>
    <w:p>
      <w:pPr>
        <w:pStyle w:val="Normal"/>
        <w:spacing w:before="0" w:after="80"/>
        <w:rPr/>
      </w:pPr>
      <w:r>
        <w:rPr/>
        <w:t>Thu</w:t>
        <w:tab/>
        <w:t>Aug 23</w:t>
        <w:tab/>
        <w:t>Heritability and Genetic Models of Disease</w:t>
        <w:tab/>
        <w:tab/>
        <w:tab/>
        <w:tab/>
      </w:r>
    </w:p>
    <w:p>
      <w:pPr>
        <w:pStyle w:val="Normal"/>
        <w:spacing w:before="0" w:after="80"/>
        <w:rPr/>
      </w:pPr>
      <w:r>
        <w:rPr/>
        <w:t>Tue</w:t>
        <w:tab/>
        <w:t>Aug 28</w:t>
        <w:tab/>
        <w:t>Structure and Content of the Human Genome – Ch 2</w:t>
      </w:r>
    </w:p>
    <w:p>
      <w:pPr>
        <w:pStyle w:val="Normal"/>
        <w:spacing w:before="0" w:after="80"/>
        <w:rPr/>
      </w:pPr>
      <w:r>
        <w:rPr/>
        <w:t>Thu</w:t>
        <w:tab/>
        <w:t>Aug 30</w:t>
        <w:tab/>
        <w:t>Human Evolutionary Genetics – Ch 3</w:t>
      </w:r>
    </w:p>
    <w:p>
      <w:pPr>
        <w:pStyle w:val="Normal"/>
        <w:spacing w:before="0" w:after="80"/>
        <w:rPr/>
      </w:pPr>
      <w:r>
        <w:rPr/>
        <w:t>Tue</w:t>
        <w:tab/>
        <w:t>Sep 4</w:t>
        <w:tab/>
        <w:tab/>
        <w:t>Normal Human Variation – Ch 4</w:t>
        <w:tab/>
        <w:tab/>
        <w:tab/>
      </w:r>
    </w:p>
    <w:p>
      <w:pPr>
        <w:pStyle w:val="Normal"/>
        <w:spacing w:before="0" w:after="80"/>
        <w:rPr/>
      </w:pPr>
      <w:r>
        <w:rPr/>
        <w:t>Thu</w:t>
        <w:tab/>
        <w:t xml:space="preserve">Sep 6 </w:t>
        <w:tab/>
        <w:tab/>
        <w:t>Presentation 1:Genetic History of Iceland</w:t>
        <w:tab/>
        <w:tab/>
      </w:r>
    </w:p>
    <w:p>
      <w:pPr>
        <w:pStyle w:val="Normal"/>
        <w:spacing w:before="0" w:after="80"/>
        <w:rPr/>
      </w:pPr>
      <w:r>
        <w:rPr/>
        <w:t>Tue</w:t>
        <w:tab/>
        <w:t>Sep 11</w:t>
        <w:tab/>
        <w:tab/>
        <w:t>Genome-Wide Association Studies – Ch 6</w:t>
      </w:r>
    </w:p>
    <w:p>
      <w:pPr>
        <w:pStyle w:val="Normal"/>
        <w:spacing w:before="0" w:after="80"/>
        <w:rPr/>
      </w:pPr>
      <w:r>
        <w:rPr/>
        <w:t>Thu</w:t>
        <w:tab/>
        <w:t>Sep 13</w:t>
        <w:tab/>
        <w:tab/>
        <w:t>GWAS Practical Exercise</w:t>
      </w:r>
    </w:p>
    <w:p>
      <w:pPr>
        <w:pStyle w:val="Normal"/>
        <w:spacing w:before="0" w:after="80"/>
        <w:ind w:left="0" w:right="-180" w:hanging="0"/>
        <w:rPr/>
      </w:pPr>
      <w:r>
        <w:rPr/>
        <w:t>Tue</w:t>
        <w:tab/>
        <w:t>Sep 18</w:t>
        <w:tab/>
        <w:tab/>
        <w:t>Whole Genome Sequencing – Ch 7</w:t>
        <w:tab/>
        <w:tab/>
        <w:tab/>
        <w:tab/>
        <w:tab/>
      </w:r>
    </w:p>
    <w:p>
      <w:pPr>
        <w:pStyle w:val="Normal"/>
        <w:spacing w:before="0" w:after="80"/>
        <w:rPr/>
      </w:pPr>
      <w:r>
        <w:rPr/>
        <w:t>Thu</w:t>
        <w:tab/>
        <w:t>Sep 20</w:t>
        <w:tab/>
        <w:tab/>
        <w:t>Gene Expression Profiling – Ch 8</w:t>
      </w:r>
    </w:p>
    <w:p>
      <w:pPr>
        <w:pStyle w:val="Normal"/>
        <w:spacing w:before="0" w:after="80"/>
        <w:rPr/>
      </w:pPr>
      <w:r>
        <w:rPr/>
        <w:t>Tue</w:t>
        <w:tab/>
        <w:t>Sep 25</w:t>
        <w:tab/>
        <w:tab/>
        <w:t>Presentation 2: Transcriptomics of Neuropathology</w:t>
        <w:tab/>
      </w:r>
    </w:p>
    <w:p>
      <w:pPr>
        <w:pStyle w:val="Normal"/>
        <w:spacing w:before="0" w:after="80"/>
        <w:rPr/>
      </w:pPr>
      <w:r>
        <w:rPr/>
        <w:t>Thu</w:t>
        <w:tab/>
        <w:t>Sep 27</w:t>
        <w:tab/>
        <w:tab/>
        <w:t>Epigenetic Profiling – Ch 9</w:t>
      </w:r>
    </w:p>
    <w:p>
      <w:pPr>
        <w:pStyle w:val="Normal"/>
        <w:spacing w:before="0" w:after="80"/>
        <w:rPr/>
      </w:pPr>
      <w:r>
        <w:rPr/>
        <w:t>Tue</w:t>
        <w:tab/>
        <w:t>Oct 2</w:t>
        <w:tab/>
        <w:tab/>
        <w:t>Integrative Genomics and the Microbiome – Ch 10</w:t>
      </w:r>
    </w:p>
    <w:p>
      <w:pPr>
        <w:pStyle w:val="Normal"/>
        <w:spacing w:before="0" w:after="80"/>
        <w:rPr>
          <w:i/>
          <w:i/>
        </w:rPr>
      </w:pPr>
      <w:r>
        <w:rPr>
          <w:i/>
        </w:rPr>
        <w:t>Thu</w:t>
        <w:tab/>
        <w:t>Oct 4</w:t>
        <w:tab/>
        <w:tab/>
        <w:t>3:00 – 4:30</w:t>
        <w:tab/>
        <w:t>Mid-Term Exam</w:t>
        <w:tab/>
        <w:t xml:space="preserve"> </w:t>
      </w:r>
    </w:p>
    <w:p>
      <w:pPr>
        <w:pStyle w:val="Normal"/>
        <w:spacing w:before="0" w:after="80"/>
        <w:rPr/>
      </w:pPr>
      <w:r>
        <w:rPr>
          <w:b/>
          <w:i/>
        </w:rPr>
        <w:t>Tue</w:t>
        <w:tab/>
        <w:t>Oct 9</w:t>
      </w:r>
      <w:r>
        <w:rPr>
          <w:i/>
        </w:rPr>
        <w:tab/>
        <w:tab/>
      </w:r>
      <w:r>
        <w:rPr>
          <w:b/>
          <w:i/>
        </w:rPr>
        <w:t>Fall Break</w:t>
      </w:r>
      <w:r>
        <w:rPr>
          <w:i/>
        </w:rPr>
        <w:t xml:space="preserve"> </w:t>
      </w:r>
    </w:p>
    <w:p>
      <w:pPr>
        <w:pStyle w:val="Normal"/>
        <w:spacing w:before="0" w:after="80"/>
        <w:ind w:left="0" w:right="-180" w:hanging="0"/>
        <w:rPr/>
      </w:pPr>
      <w:r>
        <w:rPr/>
        <w:t>Thu</w:t>
        <w:tab/>
      </w:r>
      <w:r>
        <w:rPr>
          <w:i/>
        </w:rPr>
        <w:t>Oct 11</w:t>
        <w:tab/>
        <w:tab/>
      </w:r>
      <w:r>
        <w:rPr/>
        <w:t>Presentation 3: Environmental determinants of the Microbiome</w:t>
        <w:tab/>
        <w:tab/>
      </w:r>
    </w:p>
    <w:p>
      <w:pPr>
        <w:pStyle w:val="Normal"/>
        <w:spacing w:before="0" w:after="80"/>
        <w:rPr/>
      </w:pPr>
      <w:r>
        <w:rPr/>
        <w:t>Tue</w:t>
        <w:tab/>
        <w:t>Oct 16</w:t>
        <w:tab/>
        <w:tab/>
        <w:t>Predictive Health Genomics – Ch 5</w:t>
      </w:r>
    </w:p>
    <w:p>
      <w:pPr>
        <w:pStyle w:val="Normal"/>
        <w:spacing w:before="0" w:after="80"/>
        <w:rPr/>
      </w:pPr>
      <w:r>
        <w:rPr/>
        <w:t>Thu</w:t>
        <w:tab/>
        <w:t>Oct 18</w:t>
        <w:tab/>
        <w:tab/>
        <w:t>Inflammatory Disease – Ch 11</w:t>
      </w:r>
    </w:p>
    <w:p>
      <w:pPr>
        <w:pStyle w:val="Normal"/>
        <w:spacing w:before="0" w:after="80"/>
        <w:rPr/>
      </w:pPr>
      <w:r>
        <w:rPr/>
        <w:t>Tue</w:t>
        <w:tab/>
        <w:t>Oct 23</w:t>
        <w:tab/>
        <w:tab/>
        <w:t>Auto-immune Disease – Ch 11</w:t>
      </w:r>
    </w:p>
    <w:p>
      <w:pPr>
        <w:pStyle w:val="Normal"/>
        <w:spacing w:before="0" w:after="80"/>
        <w:rPr/>
      </w:pPr>
      <w:r>
        <w:rPr/>
        <w:t>Thu</w:t>
        <w:tab/>
        <w:t>Oct 25</w:t>
        <w:tab/>
        <w:tab/>
        <w:t xml:space="preserve">Presentation 4: Somatic neuronal mutations with age </w:t>
      </w:r>
    </w:p>
    <w:p>
      <w:pPr>
        <w:pStyle w:val="Normal"/>
        <w:spacing w:before="0" w:after="80"/>
        <w:rPr/>
      </w:pPr>
      <w:r>
        <w:rPr/>
        <w:t>Tue</w:t>
        <w:tab/>
        <w:t>Oct 30</w:t>
        <w:tab/>
        <w:tab/>
        <w:t>Metabolic Syndrome – Ch 12</w:t>
      </w:r>
    </w:p>
    <w:p>
      <w:pPr>
        <w:pStyle w:val="Normal"/>
        <w:spacing w:before="0" w:after="80"/>
        <w:rPr/>
      </w:pPr>
      <w:r>
        <w:rPr/>
        <w:t>Thu</w:t>
        <w:tab/>
        <w:t>Nov 1</w:t>
        <w:tab/>
        <w:tab/>
        <w:t>Type 2 Diabetes – Ch 12</w:t>
      </w:r>
    </w:p>
    <w:p>
      <w:pPr>
        <w:pStyle w:val="Normal"/>
        <w:spacing w:before="0" w:after="80"/>
        <w:rPr/>
      </w:pPr>
      <w:r>
        <w:rPr/>
        <w:t>Tue</w:t>
        <w:tab/>
        <w:t>Nov 6</w:t>
        <w:tab/>
        <w:tab/>
        <w:t>Cardiovascular Disease – Ch 13</w:t>
      </w:r>
    </w:p>
    <w:p>
      <w:pPr>
        <w:pStyle w:val="Normal"/>
        <w:spacing w:before="0" w:after="80"/>
        <w:ind w:left="0" w:right="-450" w:hanging="0"/>
        <w:rPr/>
      </w:pPr>
      <w:r>
        <w:rPr/>
        <w:t>Thu</w:t>
        <w:tab/>
        <w:t>Nov 8</w:t>
        <w:tab/>
        <w:tab/>
        <w:t>Presentation 5: Personalized organoid models of Colorectal Cancer</w:t>
      </w:r>
    </w:p>
    <w:p>
      <w:pPr>
        <w:pStyle w:val="Normal"/>
        <w:spacing w:before="0" w:after="80"/>
        <w:rPr/>
      </w:pPr>
      <w:r>
        <w:rPr/>
        <w:t>Tue</w:t>
        <w:tab/>
        <w:t>Nov 13</w:t>
        <w:tab/>
        <w:t>Breast and Prostate Cancer – Ch 14</w:t>
      </w:r>
    </w:p>
    <w:p>
      <w:pPr>
        <w:pStyle w:val="Normal"/>
        <w:spacing w:before="0" w:after="80"/>
        <w:rPr/>
      </w:pPr>
      <w:r>
        <w:rPr/>
        <w:t>Thu</w:t>
        <w:tab/>
        <w:t xml:space="preserve">Nov 15 </w:t>
        <w:tab/>
        <w:t>Lymphoma, Lung, and Skin Cancer – Ch 14</w:t>
      </w:r>
    </w:p>
    <w:p>
      <w:pPr>
        <w:pStyle w:val="Normal"/>
        <w:spacing w:before="0" w:after="80"/>
        <w:rPr/>
      </w:pPr>
      <w:r>
        <w:rPr/>
        <w:t>Tue</w:t>
        <w:tab/>
        <w:t>Nov 20</w:t>
        <w:tab/>
        <w:t>Presentation 6: Genetics of educational attainment</w:t>
      </w:r>
    </w:p>
    <w:p>
      <w:pPr>
        <w:pStyle w:val="Normal"/>
        <w:spacing w:before="0" w:after="80"/>
        <w:rPr/>
      </w:pPr>
      <w:r>
        <w:rPr>
          <w:b/>
        </w:rPr>
        <w:t>Thu</w:t>
        <w:tab/>
        <w:t>Nov 22</w:t>
      </w:r>
      <w:r>
        <w:rPr/>
        <w:tab/>
      </w:r>
      <w:r>
        <w:rPr>
          <w:b/>
        </w:rPr>
        <w:t>Thanksgiving</w:t>
      </w:r>
      <w:r>
        <w:rPr/>
        <w:t xml:space="preserve"> </w:t>
      </w:r>
    </w:p>
    <w:p>
      <w:pPr>
        <w:pStyle w:val="Normal"/>
        <w:spacing w:before="0" w:after="80"/>
        <w:rPr/>
      </w:pPr>
      <w:r>
        <w:rPr/>
        <w:t>Tue</w:t>
        <w:tab/>
        <w:t>Nov 27</w:t>
        <w:tab/>
        <w:t>Psychiatric Genetics  - Ch 15</w:t>
      </w:r>
    </w:p>
    <w:p>
      <w:pPr>
        <w:pStyle w:val="Normal"/>
        <w:spacing w:before="0" w:after="80"/>
        <w:rPr/>
      </w:pPr>
      <w:bookmarkStart w:id="0" w:name="_GoBack"/>
      <w:bookmarkEnd w:id="0"/>
      <w:r>
        <w:rPr/>
        <w:t>Thu</w:t>
        <w:tab/>
        <w:t>Nov 29</w:t>
        <w:tab/>
        <w:t>Cognitive decline – Ch 16</w:t>
      </w:r>
    </w:p>
    <w:p>
      <w:pPr>
        <w:pStyle w:val="Normal"/>
        <w:spacing w:before="0" w:after="80"/>
        <w:rPr/>
      </w:pPr>
      <w:r>
        <w:rPr/>
        <w:t>Tue</w:t>
        <w:tab/>
        <w:t>Dec 4</w:t>
        <w:tab/>
        <w:tab/>
        <w:t>Ageing   Final Exam Take-home due</w:t>
      </w:r>
    </w:p>
    <w:p>
      <w:pPr>
        <w:pStyle w:val="Normal"/>
        <w:spacing w:before="0" w:after="80"/>
        <w:rPr/>
      </w:pPr>
      <w:r>
        <w:rPr/>
      </w:r>
      <w:r>
        <w:br w:type="page"/>
      </w:r>
    </w:p>
    <w:p>
      <w:pPr>
        <w:pStyle w:val="Normal"/>
        <w:jc w:val="center"/>
        <w:rPr/>
      </w:pPr>
      <w:r>
        <w:rPr/>
        <w:t xml:space="preserve">Current Literature for </w:t>
      </w:r>
      <w:r>
        <w:rPr>
          <w:b/>
        </w:rPr>
        <w:t>Human Genetics</w:t>
      </w:r>
      <w:r>
        <w:rPr/>
        <w:t>, BIOL 4545    Fall 2016</w:t>
      </w:r>
    </w:p>
    <w:p>
      <w:pPr>
        <w:pStyle w:val="Normal"/>
        <w:rPr/>
      </w:pPr>
      <w:r>
        <w:rPr/>
      </w:r>
    </w:p>
    <w:p>
      <w:pPr>
        <w:pStyle w:val="Normal"/>
        <w:rPr/>
      </w:pPr>
      <w:r>
        <w:rPr/>
        <w:t xml:space="preserve">1.   Ebenesersdóttir et al </w:t>
      </w:r>
      <w:r>
        <w:rPr>
          <w:i/>
        </w:rPr>
        <w:t xml:space="preserve">Science </w:t>
      </w:r>
      <w:r>
        <w:rPr>
          <w:b/>
        </w:rPr>
        <w:t>360</w:t>
      </w:r>
      <w:r>
        <w:rPr/>
        <w:t>: 1028-1032 Jun 1, 2018</w:t>
        <w:tab/>
      </w:r>
    </w:p>
    <w:p>
      <w:pPr>
        <w:pStyle w:val="Normal"/>
        <w:rPr/>
      </w:pPr>
      <w:r>
        <w:rPr>
          <w:rFonts w:eastAsia="Times New Roman" w:cs="Times New Roman"/>
        </w:rPr>
        <w:t>“</w:t>
      </w:r>
      <w:r>
        <w:rPr/>
        <w:t xml:space="preserve">Ancient genomes from Iceland reveal the making of a human population” </w:t>
      </w:r>
    </w:p>
    <w:p>
      <w:pPr>
        <w:pStyle w:val="Normal"/>
        <w:rPr/>
      </w:pPr>
      <w:r>
        <w:rPr/>
      </w:r>
    </w:p>
    <w:p>
      <w:pPr>
        <w:pStyle w:val="Normal"/>
        <w:rPr/>
      </w:pPr>
      <w:r>
        <w:rPr/>
        <w:t xml:space="preserve">2.   Gandal et al </w:t>
      </w:r>
      <w:r>
        <w:rPr>
          <w:i/>
        </w:rPr>
        <w:t xml:space="preserve">Science </w:t>
      </w:r>
      <w:r>
        <w:rPr>
          <w:b/>
        </w:rPr>
        <w:t>359</w:t>
      </w:r>
      <w:r>
        <w:rPr/>
        <w:t>: 693-697 Feb 9, 2018</w:t>
      </w:r>
    </w:p>
    <w:p>
      <w:pPr>
        <w:pStyle w:val="Normal"/>
        <w:rPr/>
      </w:pPr>
      <w:r>
        <w:rPr>
          <w:rFonts w:eastAsia="Times New Roman" w:cs="Times New Roman"/>
        </w:rPr>
        <w:t>“</w:t>
      </w:r>
      <w:r>
        <w:rPr/>
        <w:t xml:space="preserve">Shared molecular neuropathology across major psychiatric disorders parallels polygenic overlap” </w:t>
      </w:r>
    </w:p>
    <w:p>
      <w:pPr>
        <w:pStyle w:val="Normal"/>
        <w:rPr/>
      </w:pPr>
      <w:r>
        <w:rPr/>
      </w:r>
    </w:p>
    <w:p>
      <w:pPr>
        <w:pStyle w:val="Normal"/>
        <w:rPr/>
      </w:pPr>
      <w:r>
        <w:rPr/>
        <w:t xml:space="preserve">3.   Rothschild et al </w:t>
      </w:r>
      <w:r>
        <w:rPr>
          <w:i/>
        </w:rPr>
        <w:t xml:space="preserve">Nature </w:t>
      </w:r>
      <w:r>
        <w:rPr>
          <w:b/>
        </w:rPr>
        <w:t>555</w:t>
      </w:r>
      <w:r>
        <w:rPr/>
        <w:t xml:space="preserve">: 210-215 Mar 8, 2018    </w:t>
        <w:tab/>
      </w:r>
    </w:p>
    <w:p>
      <w:pPr>
        <w:pStyle w:val="Normal"/>
        <w:rPr/>
      </w:pPr>
      <w:r>
        <w:rPr>
          <w:rFonts w:eastAsia="Times New Roman" w:cs="Times New Roman"/>
        </w:rPr>
        <w:t>“</w:t>
      </w:r>
      <w:r>
        <w:rPr/>
        <w:t>Environment dominates over host genetics in shaping human gut microbiota”</w:t>
      </w:r>
    </w:p>
    <w:p>
      <w:pPr>
        <w:pStyle w:val="Normal"/>
        <w:rPr/>
      </w:pPr>
      <w:r>
        <w:rPr/>
      </w:r>
    </w:p>
    <w:p>
      <w:pPr>
        <w:pStyle w:val="Normal"/>
        <w:rPr/>
      </w:pPr>
      <w:r>
        <w:rPr/>
        <w:t xml:space="preserve">4.   Lodato et al </w:t>
      </w:r>
      <w:r>
        <w:rPr>
          <w:i/>
        </w:rPr>
        <w:t>Science</w:t>
      </w:r>
      <w:r>
        <w:rPr/>
        <w:t xml:space="preserve"> </w:t>
      </w:r>
      <w:r>
        <w:rPr>
          <w:b/>
        </w:rPr>
        <w:t>359</w:t>
      </w:r>
      <w:r>
        <w:rPr/>
        <w:t>: 555-559 Feb 2, 2018</w:t>
        <w:tab/>
      </w:r>
    </w:p>
    <w:p>
      <w:pPr>
        <w:pStyle w:val="Normal"/>
        <w:rPr/>
      </w:pPr>
      <w:r>
        <w:rPr>
          <w:rFonts w:eastAsia="Times New Roman" w:cs="Times New Roman"/>
        </w:rPr>
        <w:t>“</w:t>
      </w:r>
      <w:r>
        <w:rPr/>
        <w:t>Aging and neurodegeneration are associated with increased mutations in single human neurons”</w:t>
      </w:r>
    </w:p>
    <w:p>
      <w:pPr>
        <w:pStyle w:val="Normal"/>
        <w:rPr/>
      </w:pPr>
      <w:r>
        <w:rPr/>
      </w:r>
    </w:p>
    <w:p>
      <w:pPr>
        <w:pStyle w:val="Normal"/>
        <w:rPr/>
      </w:pPr>
      <w:r>
        <w:rPr/>
        <w:t xml:space="preserve">5.   Vlachogiannis et al </w:t>
      </w:r>
      <w:r>
        <w:rPr>
          <w:i/>
        </w:rPr>
        <w:t xml:space="preserve">Science </w:t>
      </w:r>
      <w:r>
        <w:rPr>
          <w:b/>
        </w:rPr>
        <w:t>359</w:t>
      </w:r>
      <w:r>
        <w:rPr/>
        <w:t>: 920-926 Feb 23, 2018</w:t>
        <w:tab/>
      </w:r>
    </w:p>
    <w:p>
      <w:pPr>
        <w:pStyle w:val="Normal"/>
        <w:rPr/>
      </w:pPr>
      <w:r>
        <w:rPr>
          <w:rFonts w:eastAsia="Times New Roman" w:cs="Times New Roman"/>
        </w:rPr>
        <w:t>“</w:t>
      </w:r>
      <w:r>
        <w:rPr/>
        <w:t>Patient-derived organoids model treatment response of metastatic gastrointestinal cancers”</w:t>
      </w:r>
    </w:p>
    <w:p>
      <w:pPr>
        <w:pStyle w:val="Normal"/>
        <w:rPr/>
      </w:pPr>
      <w:r>
        <w:rPr/>
      </w:r>
    </w:p>
    <w:p>
      <w:pPr>
        <w:pStyle w:val="Normal"/>
        <w:rPr/>
      </w:pPr>
      <w:r>
        <w:rPr/>
        <w:t xml:space="preserve">6.   Lee et al </w:t>
      </w:r>
      <w:r>
        <w:rPr>
          <w:i/>
        </w:rPr>
        <w:t>Nature Genetics</w:t>
      </w:r>
      <w:r>
        <w:rPr/>
        <w:t xml:space="preserve"> </w:t>
      </w:r>
      <w:r>
        <w:rPr>
          <w:b/>
        </w:rPr>
        <w:t>50</w:t>
      </w:r>
      <w:r>
        <w:rPr/>
        <w:t>: 1112-1121</w:t>
        <w:tab/>
        <w:t xml:space="preserve"> August, 2018</w:t>
      </w:r>
    </w:p>
    <w:p>
      <w:pPr>
        <w:pStyle w:val="Normal"/>
        <w:spacing w:before="0" w:after="80"/>
        <w:rPr/>
      </w:pPr>
      <w:r>
        <w:rPr>
          <w:rFonts w:eastAsia="Times New Roman" w:cs="Times New Roman"/>
        </w:rPr>
        <w:t>“</w:t>
      </w:r>
      <w:r>
        <w:rPr/>
        <w:t>Gene discovery and polygenic prediction from a genome-wide association study of educational attainment in 1.1 million individuals”</w:t>
      </w:r>
    </w:p>
    <w:sectPr>
      <w:type w:val="nextPage"/>
      <w:pgSz w:w="12240" w:h="15840"/>
      <w:pgMar w:left="1296" w:right="1296" w:header="0" w:top="1296" w:footer="0" w:bottom="129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auto"/>
    <w:pitch w:val="default"/>
  </w:font>
</w:fonts>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Lucida Sans Unicode" w:cs="Tahoma"/>
      <w:color w:val="auto"/>
      <w:sz w:val="24"/>
      <w:szCs w:val="24"/>
      <w:lang w:val="en-US" w:eastAsia="zh-CN" w:bidi="en-US"/>
    </w:rPr>
  </w:style>
  <w:style w:type="character" w:styleId="DefaultParagraphFont">
    <w:name w:val="Default Paragraph Font"/>
    <w:qFormat/>
    <w:rPr/>
  </w:style>
  <w:style w:type="character" w:styleId="AbsatzStandardschriftart">
    <w:name w:val="Absatz-Standardschriftart"/>
    <w:qFormat/>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AbsatzStandardschriftart">
    <w:name w:val="WW-Absatz-Standardschriftart"/>
    <w:qFormat/>
    <w:rPr/>
  </w:style>
  <w:style w:type="character" w:styleId="WWDefaultParagraphFont">
    <w:name w:val="WW-Default Paragraph Font"/>
    <w:qFormat/>
    <w:rPr/>
  </w:style>
  <w:style w:type="character" w:styleId="WWDefaultParagraphFont1">
    <w:name w:val="WW-Default Paragraph Font1"/>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paragraph" w:styleId="Heading">
    <w:name w:val="Heading"/>
    <w:basedOn w:val="Normal"/>
    <w:next w:val="TextBody"/>
    <w:qFormat/>
    <w:pPr>
      <w:keepNext/>
      <w:spacing w:before="240" w:after="120"/>
    </w:pPr>
    <w:rPr>
      <w:rFonts w:ascii="Times New Roman" w:hAnsi="Times New Roman" w:eastAsia="Bitstream Vera Sans"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0"/>
      <w:szCs w:val="20"/>
    </w:rPr>
  </w:style>
  <w:style w:type="paragraph" w:styleId="Index">
    <w:name w:val="Index"/>
    <w:basedOn w:val="Normal"/>
    <w:qFormat/>
    <w:pPr>
      <w:suppressLineNumbers/>
    </w:pPr>
    <w:rPr>
      <w:rFonts w:cs="Tahom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onor.gatech.edu/plugins/content/index.php?id=9" TargetMode="External"/><Relationship Id="rId3" Type="http://schemas.openxmlformats.org/officeDocument/2006/relationships/hyperlink" Target="http://disabilityservices.gatech.ed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643</Words>
  <Characters>3521</Characters>
  <CharactersWithSpaces>4219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2009-08-30T00:23:00Z</dcterms:created>
  <dc:creator>Jung Choi</dc:creator>
  <dc:description/>
  <dc:language>en-US</dc:language>
  <cp:lastModifiedBy/>
  <cp:lastPrinted>2113-01-01T00:00:00Z</cp:lastPrinted>
  <dcterms:modified xsi:type="dcterms:W3CDTF">2018-10-23T16:37:58Z</dcterms:modified>
  <cp:revision>3</cp:revision>
  <dc:subject/>
  <dc:title>Genomics and Applied Bioinformatics Biol 4150/8803B, Fall 2008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