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0D4" w:rsidRDefault="003220D4" w:rsidP="003220D4">
      <w:pPr>
        <w:spacing w:after="240"/>
        <w:jc w:val="center"/>
        <w:rPr>
          <w:b/>
          <w:sz w:val="22"/>
        </w:rPr>
      </w:pPr>
      <w:r>
        <w:rPr>
          <w:b/>
          <w:sz w:val="22"/>
        </w:rPr>
        <w:t>Course Syllabus</w:t>
      </w:r>
    </w:p>
    <w:p w:rsidR="003220D4" w:rsidRDefault="003220D4" w:rsidP="003220D4">
      <w:pPr>
        <w:spacing w:after="240"/>
        <w:jc w:val="center"/>
        <w:rPr>
          <w:b/>
          <w:sz w:val="22"/>
        </w:rPr>
      </w:pPr>
      <w:r>
        <w:rPr>
          <w:b/>
          <w:sz w:val="22"/>
        </w:rPr>
        <w:t>ChBE/ME 4730</w:t>
      </w:r>
      <w:bookmarkStart w:id="0" w:name="_GoBack"/>
      <w:bookmarkEnd w:id="0"/>
    </w:p>
    <w:p w:rsidR="003220D4" w:rsidRDefault="003220D4" w:rsidP="003220D4">
      <w:pPr>
        <w:spacing w:after="240"/>
        <w:jc w:val="center"/>
        <w:rPr>
          <w:b/>
          <w:sz w:val="22"/>
        </w:rPr>
      </w:pPr>
      <w:r>
        <w:rPr>
          <w:b/>
          <w:sz w:val="22"/>
        </w:rPr>
        <w:t xml:space="preserve">Emerging Markets for Forest </w:t>
      </w:r>
      <w:proofErr w:type="spellStart"/>
      <w:r>
        <w:rPr>
          <w:b/>
          <w:sz w:val="22"/>
        </w:rPr>
        <w:t>Bioproducts</w:t>
      </w:r>
      <w:proofErr w:type="spellEnd"/>
    </w:p>
    <w:p w:rsidR="003220D4" w:rsidRDefault="003220D4" w:rsidP="003220D4">
      <w:pPr>
        <w:spacing w:after="240"/>
        <w:ind w:left="1440" w:hanging="1440"/>
        <w:rPr>
          <w:sz w:val="22"/>
        </w:rPr>
      </w:pPr>
      <w:r w:rsidRPr="0008747D">
        <w:rPr>
          <w:b/>
          <w:sz w:val="22"/>
        </w:rPr>
        <w:t>Instructors:</w:t>
      </w:r>
      <w:r w:rsidRPr="0008747D">
        <w:rPr>
          <w:sz w:val="22"/>
        </w:rPr>
        <w:t xml:space="preserve"> </w:t>
      </w:r>
      <w:r w:rsidRPr="0008747D">
        <w:rPr>
          <w:sz w:val="22"/>
        </w:rPr>
        <w:tab/>
        <w:t xml:space="preserve">Dr. </w:t>
      </w:r>
      <w:r>
        <w:rPr>
          <w:sz w:val="22"/>
        </w:rPr>
        <w:t>Chris Luettgen, Dr. Sandra Pettit</w:t>
      </w:r>
      <w:r w:rsidRPr="0008747D">
        <w:rPr>
          <w:sz w:val="22"/>
        </w:rPr>
        <w:t xml:space="preserve">, School of Chemical and </w:t>
      </w:r>
      <w:proofErr w:type="spellStart"/>
      <w:r w:rsidRPr="0008747D">
        <w:rPr>
          <w:sz w:val="22"/>
        </w:rPr>
        <w:t>Biomolecular</w:t>
      </w:r>
      <w:proofErr w:type="spellEnd"/>
      <w:r w:rsidRPr="0008747D">
        <w:rPr>
          <w:sz w:val="22"/>
        </w:rPr>
        <w:t xml:space="preserve"> Engineering</w:t>
      </w:r>
    </w:p>
    <w:p w:rsidR="003220D4" w:rsidRPr="000F43BF" w:rsidRDefault="003220D4" w:rsidP="003220D4">
      <w:pPr>
        <w:spacing w:after="240"/>
        <w:ind w:left="1440" w:hanging="1440"/>
        <w:rPr>
          <w:sz w:val="22"/>
        </w:rPr>
      </w:pPr>
      <w:r w:rsidRPr="000F43BF">
        <w:rPr>
          <w:sz w:val="22"/>
        </w:rPr>
        <w:t xml:space="preserve">Other Professors:  Dr. Norman </w:t>
      </w:r>
      <w:proofErr w:type="spellStart"/>
      <w:r w:rsidRPr="000F43BF">
        <w:rPr>
          <w:sz w:val="22"/>
        </w:rPr>
        <w:t>Marsolan</w:t>
      </w:r>
      <w:proofErr w:type="spellEnd"/>
      <w:r w:rsidRPr="000F43BF">
        <w:rPr>
          <w:sz w:val="22"/>
        </w:rPr>
        <w:t xml:space="preserve"> (ChBE), Dr. Carsten </w:t>
      </w:r>
      <w:proofErr w:type="spellStart"/>
      <w:r w:rsidRPr="000F43BF">
        <w:rPr>
          <w:sz w:val="22"/>
        </w:rPr>
        <w:t>Seivers</w:t>
      </w:r>
      <w:proofErr w:type="spellEnd"/>
      <w:r w:rsidRPr="000F43BF">
        <w:rPr>
          <w:sz w:val="22"/>
        </w:rPr>
        <w:t xml:space="preserve"> (ChBE), Dr. </w:t>
      </w:r>
      <w:proofErr w:type="spellStart"/>
      <w:r w:rsidRPr="000F43BF">
        <w:rPr>
          <w:sz w:val="22"/>
        </w:rPr>
        <w:t>Yulin</w:t>
      </w:r>
      <w:proofErr w:type="spellEnd"/>
      <w:r w:rsidRPr="000F43BF">
        <w:rPr>
          <w:sz w:val="22"/>
        </w:rPr>
        <w:t xml:space="preserve"> Deng (ChBE)</w:t>
      </w:r>
    </w:p>
    <w:p w:rsidR="003220D4" w:rsidRDefault="003220D4" w:rsidP="003220D4">
      <w:pPr>
        <w:ind w:left="1440" w:hanging="1440"/>
        <w:jc w:val="both"/>
        <w:rPr>
          <w:b/>
          <w:sz w:val="22"/>
        </w:rPr>
      </w:pPr>
    </w:p>
    <w:p w:rsidR="003220D4" w:rsidRDefault="003220D4" w:rsidP="003220D4">
      <w:pPr>
        <w:ind w:left="1440" w:hanging="1440"/>
        <w:jc w:val="both"/>
        <w:rPr>
          <w:sz w:val="22"/>
          <w:szCs w:val="22"/>
        </w:rPr>
      </w:pPr>
      <w:r w:rsidRPr="0008747D">
        <w:rPr>
          <w:b/>
          <w:sz w:val="22"/>
        </w:rPr>
        <w:t>Description:</w:t>
      </w:r>
      <w:r w:rsidRPr="0008747D">
        <w:rPr>
          <w:sz w:val="22"/>
        </w:rPr>
        <w:tab/>
      </w:r>
      <w:r>
        <w:rPr>
          <w:sz w:val="22"/>
          <w:szCs w:val="22"/>
        </w:rPr>
        <w:t xml:space="preserve">This course concerns the development and manufacturing of nontraditional products with forest </w:t>
      </w:r>
      <w:proofErr w:type="spellStart"/>
      <w:r>
        <w:rPr>
          <w:sz w:val="22"/>
          <w:szCs w:val="22"/>
        </w:rPr>
        <w:t>bioproducts</w:t>
      </w:r>
      <w:proofErr w:type="spellEnd"/>
      <w:r>
        <w:rPr>
          <w:sz w:val="22"/>
          <w:szCs w:val="22"/>
        </w:rPr>
        <w:t xml:space="preserve"> and other biomass.  The course builds upon foundational knowledge in the manufacturing of forest </w:t>
      </w:r>
      <w:proofErr w:type="spellStart"/>
      <w:r>
        <w:rPr>
          <w:sz w:val="22"/>
          <w:szCs w:val="22"/>
        </w:rPr>
        <w:t>bioproducts</w:t>
      </w:r>
      <w:proofErr w:type="spellEnd"/>
      <w:r>
        <w:rPr>
          <w:sz w:val="22"/>
          <w:szCs w:val="22"/>
        </w:rPr>
        <w:t xml:space="preserve"> to analyze and assess emerging manufacturing markets.  Topics include the processes needed to produce raw materials as well as materials construction and characterization.  Mastery of the technical content is supported by several case studies that challenge the student to identify aspects of leadership that enable technology and/or product development.</w:t>
      </w:r>
    </w:p>
    <w:p w:rsidR="003220D4" w:rsidRDefault="003220D4" w:rsidP="003220D4">
      <w:pPr>
        <w:ind w:left="1440" w:hanging="1440"/>
        <w:jc w:val="both"/>
        <w:rPr>
          <w:sz w:val="22"/>
        </w:rPr>
      </w:pPr>
    </w:p>
    <w:p w:rsidR="003220D4" w:rsidRPr="0008747D" w:rsidRDefault="003220D4" w:rsidP="003220D4">
      <w:pPr>
        <w:tabs>
          <w:tab w:val="left" w:pos="1440"/>
        </w:tabs>
        <w:ind w:left="1800" w:hanging="1800"/>
        <w:rPr>
          <w:sz w:val="22"/>
        </w:rPr>
      </w:pPr>
      <w:r w:rsidRPr="0008747D">
        <w:rPr>
          <w:b/>
          <w:sz w:val="22"/>
        </w:rPr>
        <w:t>Class Text:</w:t>
      </w:r>
      <w:r w:rsidRPr="0008747D">
        <w:rPr>
          <w:sz w:val="22"/>
        </w:rPr>
        <w:tab/>
      </w:r>
      <w:r>
        <w:rPr>
          <w:sz w:val="22"/>
        </w:rPr>
        <w:t>Selected literature readings and case studies</w:t>
      </w:r>
    </w:p>
    <w:p w:rsidR="003220D4" w:rsidRPr="0008747D" w:rsidRDefault="003220D4" w:rsidP="003220D4">
      <w:pPr>
        <w:tabs>
          <w:tab w:val="left" w:pos="1440"/>
        </w:tabs>
        <w:ind w:left="1800" w:hanging="1800"/>
        <w:rPr>
          <w:sz w:val="22"/>
        </w:rPr>
      </w:pPr>
    </w:p>
    <w:p w:rsidR="003220D4" w:rsidRPr="0008747D" w:rsidRDefault="003220D4" w:rsidP="003220D4">
      <w:pPr>
        <w:tabs>
          <w:tab w:val="left" w:pos="1440"/>
        </w:tabs>
        <w:ind w:left="1800" w:hanging="1800"/>
        <w:rPr>
          <w:sz w:val="22"/>
        </w:rPr>
      </w:pPr>
    </w:p>
    <w:p w:rsidR="003220D4" w:rsidRDefault="003220D4" w:rsidP="003220D4">
      <w:pPr>
        <w:widowControl w:val="0"/>
        <w:jc w:val="both"/>
        <w:rPr>
          <w:b/>
          <w:sz w:val="22"/>
        </w:rPr>
      </w:pPr>
      <w:r>
        <w:rPr>
          <w:b/>
          <w:sz w:val="22"/>
        </w:rPr>
        <w:t>Learning Outcomes:</w:t>
      </w:r>
    </w:p>
    <w:p w:rsidR="003220D4" w:rsidRDefault="003220D4" w:rsidP="003220D4">
      <w:pPr>
        <w:widowControl w:val="0"/>
        <w:ind w:left="1440"/>
        <w:jc w:val="both"/>
        <w:rPr>
          <w:sz w:val="22"/>
        </w:rPr>
      </w:pPr>
      <w:r>
        <w:rPr>
          <w:sz w:val="22"/>
        </w:rPr>
        <w:t>By the end of this course a student should:</w:t>
      </w:r>
    </w:p>
    <w:p w:rsidR="003220D4" w:rsidRDefault="003220D4" w:rsidP="003220D4">
      <w:pPr>
        <w:widowControl w:val="0"/>
        <w:numPr>
          <w:ilvl w:val="0"/>
          <w:numId w:val="1"/>
        </w:numPr>
        <w:ind w:left="1440" w:firstLine="0"/>
        <w:jc w:val="both"/>
        <w:rPr>
          <w:sz w:val="22"/>
        </w:rPr>
      </w:pPr>
      <w:r>
        <w:rPr>
          <w:sz w:val="22"/>
        </w:rPr>
        <w:t xml:space="preserve">Be knowledgeable of the physical and chemical structure of lignin and cellulose and the beneficial uses being examined for the future </w:t>
      </w:r>
      <w:proofErr w:type="spellStart"/>
      <w:r>
        <w:rPr>
          <w:sz w:val="22"/>
        </w:rPr>
        <w:t>bioeconomy</w:t>
      </w:r>
      <w:proofErr w:type="spellEnd"/>
      <w:r>
        <w:rPr>
          <w:sz w:val="22"/>
        </w:rPr>
        <w:t>.</w:t>
      </w:r>
    </w:p>
    <w:p w:rsidR="003220D4" w:rsidRDefault="003220D4" w:rsidP="003220D4">
      <w:pPr>
        <w:widowControl w:val="0"/>
        <w:numPr>
          <w:ilvl w:val="0"/>
          <w:numId w:val="1"/>
        </w:numPr>
        <w:ind w:left="1440" w:firstLine="0"/>
        <w:jc w:val="both"/>
        <w:rPr>
          <w:sz w:val="22"/>
        </w:rPr>
      </w:pPr>
      <w:r>
        <w:rPr>
          <w:sz w:val="22"/>
        </w:rPr>
        <w:t>Have an understanding of biomass and the processes of converting it into value-added products, both in commercial operation today and those in development and pilot.</w:t>
      </w:r>
    </w:p>
    <w:p w:rsidR="003220D4" w:rsidRDefault="003220D4" w:rsidP="003220D4">
      <w:pPr>
        <w:widowControl w:val="0"/>
        <w:numPr>
          <w:ilvl w:val="0"/>
          <w:numId w:val="1"/>
        </w:numPr>
        <w:ind w:left="1440" w:firstLine="0"/>
        <w:jc w:val="both"/>
        <w:rPr>
          <w:sz w:val="22"/>
        </w:rPr>
      </w:pPr>
      <w:r>
        <w:rPr>
          <w:sz w:val="22"/>
        </w:rPr>
        <w:t xml:space="preserve">Obtain an understanding of the diversity of products which cellulose can be deployed and why there is widespread belief that forms of cellulose, such as </w:t>
      </w:r>
      <w:proofErr w:type="spellStart"/>
      <w:r>
        <w:rPr>
          <w:sz w:val="22"/>
        </w:rPr>
        <w:t>nano</w:t>
      </w:r>
      <w:proofErr w:type="spellEnd"/>
      <w:r>
        <w:rPr>
          <w:sz w:val="22"/>
        </w:rPr>
        <w:t xml:space="preserve"> and micro fibrillary and crystalline, hold such promise for widespread application.</w:t>
      </w:r>
    </w:p>
    <w:p w:rsidR="003220D4" w:rsidRPr="009C23BD" w:rsidRDefault="003220D4" w:rsidP="003220D4">
      <w:pPr>
        <w:widowControl w:val="0"/>
        <w:numPr>
          <w:ilvl w:val="0"/>
          <w:numId w:val="1"/>
        </w:numPr>
        <w:ind w:left="1440" w:firstLine="0"/>
        <w:jc w:val="both"/>
        <w:rPr>
          <w:sz w:val="22"/>
        </w:rPr>
      </w:pPr>
      <w:r>
        <w:rPr>
          <w:sz w:val="22"/>
        </w:rPr>
        <w:t xml:space="preserve">Be well versed in case studies of startup and venture capital operations and the economics of the Forest </w:t>
      </w:r>
      <w:proofErr w:type="spellStart"/>
      <w:r>
        <w:rPr>
          <w:sz w:val="22"/>
        </w:rPr>
        <w:t>Bioeconomy</w:t>
      </w:r>
      <w:proofErr w:type="spellEnd"/>
      <w:r>
        <w:rPr>
          <w:sz w:val="22"/>
        </w:rPr>
        <w:t>.</w:t>
      </w:r>
    </w:p>
    <w:p w:rsidR="003220D4" w:rsidRDefault="003220D4" w:rsidP="003220D4">
      <w:pPr>
        <w:widowControl w:val="0"/>
        <w:jc w:val="both"/>
        <w:rPr>
          <w:b/>
          <w:sz w:val="22"/>
        </w:rPr>
      </w:pPr>
    </w:p>
    <w:p w:rsidR="003220D4" w:rsidRDefault="003220D4" w:rsidP="003220D4">
      <w:pPr>
        <w:widowControl w:val="0"/>
        <w:jc w:val="both"/>
        <w:rPr>
          <w:b/>
          <w:sz w:val="22"/>
        </w:rPr>
      </w:pPr>
      <w:r w:rsidRPr="0008747D">
        <w:rPr>
          <w:b/>
          <w:sz w:val="22"/>
        </w:rPr>
        <w:t>Academic</w:t>
      </w:r>
      <w:r>
        <w:rPr>
          <w:b/>
          <w:sz w:val="22"/>
        </w:rPr>
        <w:t xml:space="preserve"> </w:t>
      </w:r>
      <w:r w:rsidRPr="0008747D">
        <w:rPr>
          <w:b/>
          <w:sz w:val="22"/>
        </w:rPr>
        <w:t>Integrity:</w:t>
      </w:r>
      <w:r w:rsidRPr="0008747D">
        <w:rPr>
          <w:b/>
          <w:sz w:val="22"/>
        </w:rPr>
        <w:tab/>
      </w:r>
    </w:p>
    <w:p w:rsidR="003220D4" w:rsidRPr="0008747D" w:rsidRDefault="003220D4" w:rsidP="003220D4">
      <w:pPr>
        <w:widowControl w:val="0"/>
        <w:ind w:left="1440"/>
        <w:jc w:val="both"/>
        <w:rPr>
          <w:b/>
          <w:sz w:val="22"/>
        </w:rPr>
      </w:pPr>
      <w:r w:rsidRPr="0008747D">
        <w:rPr>
          <w:sz w:val="22"/>
        </w:rPr>
        <w:t>Students are encouraged to study</w:t>
      </w:r>
      <w:r>
        <w:rPr>
          <w:sz w:val="22"/>
        </w:rPr>
        <w:t xml:space="preserve"> together</w:t>
      </w:r>
      <w:r w:rsidRPr="0008747D">
        <w:rPr>
          <w:sz w:val="22"/>
        </w:rPr>
        <w:t xml:space="preserve"> and collaborate on case studies, but each student must submit their own work unless the assignment is specifically structured as a group assignment/project.</w:t>
      </w:r>
    </w:p>
    <w:p w:rsidR="003220D4" w:rsidRPr="0008747D" w:rsidRDefault="003220D4" w:rsidP="003220D4">
      <w:pPr>
        <w:widowControl w:val="0"/>
        <w:spacing w:after="60"/>
        <w:ind w:left="1440"/>
        <w:jc w:val="both"/>
        <w:rPr>
          <w:sz w:val="22"/>
        </w:rPr>
      </w:pPr>
      <w:r w:rsidRPr="0008747D">
        <w:rPr>
          <w:sz w:val="22"/>
        </w:rPr>
        <w:t>Any reference sources (including online sources) used to prepare written assignments must be paraphrased in your own words and cited.</w:t>
      </w:r>
    </w:p>
    <w:p w:rsidR="003220D4" w:rsidRPr="0008747D" w:rsidRDefault="003220D4" w:rsidP="003220D4">
      <w:pPr>
        <w:pStyle w:val="BodyText"/>
        <w:widowControl w:val="0"/>
        <w:spacing w:after="60"/>
        <w:ind w:left="1440"/>
        <w:rPr>
          <w:sz w:val="22"/>
        </w:rPr>
      </w:pPr>
      <w:r w:rsidRPr="0008747D">
        <w:rPr>
          <w:sz w:val="22"/>
        </w:rPr>
        <w:t>Students are to neither receive nor provide help to others during exams.</w:t>
      </w:r>
    </w:p>
    <w:p w:rsidR="003220D4" w:rsidRPr="0008747D" w:rsidRDefault="003220D4" w:rsidP="003220D4">
      <w:pPr>
        <w:pStyle w:val="BodyText"/>
        <w:widowControl w:val="0"/>
        <w:ind w:left="1440"/>
        <w:rPr>
          <w:sz w:val="22"/>
        </w:rPr>
      </w:pPr>
      <w:r w:rsidRPr="0008747D">
        <w:rPr>
          <w:sz w:val="22"/>
        </w:rPr>
        <w:t>Any student suspected of behavior in violation of the Georgia Tech Honor Code will be referred to the Office of Student Integrity.  The Georgia Tech Honor Code is available on the Office of Student Integrity website (</w:t>
      </w:r>
      <w:hyperlink r:id="rId5" w:history="1">
        <w:r w:rsidRPr="0008747D">
          <w:rPr>
            <w:rStyle w:val="Hyperlink"/>
            <w:sz w:val="22"/>
          </w:rPr>
          <w:t>http://www.osi.gatech.edu</w:t>
        </w:r>
      </w:hyperlink>
      <w:r w:rsidRPr="0008747D">
        <w:rPr>
          <w:sz w:val="22"/>
        </w:rPr>
        <w:t>)</w:t>
      </w:r>
    </w:p>
    <w:p w:rsidR="003220D4" w:rsidRDefault="003220D4" w:rsidP="003220D4">
      <w:pPr>
        <w:pStyle w:val="BodyText"/>
        <w:widowControl w:val="0"/>
        <w:ind w:left="1440"/>
        <w:rPr>
          <w:sz w:val="22"/>
        </w:rPr>
      </w:pPr>
    </w:p>
    <w:p w:rsidR="003220D4" w:rsidRDefault="003220D4" w:rsidP="003220D4">
      <w:pPr>
        <w:pStyle w:val="Heading1"/>
        <w:ind w:left="0"/>
        <w:jc w:val="both"/>
        <w:rPr>
          <w:rFonts w:eastAsia="Times New Roman"/>
        </w:rPr>
      </w:pPr>
      <w:r>
        <w:rPr>
          <w:rFonts w:eastAsia="Times New Roman"/>
        </w:rPr>
        <w:t xml:space="preserve">Learning Accommodations:  </w:t>
      </w:r>
    </w:p>
    <w:p w:rsidR="003220D4" w:rsidRPr="00394452" w:rsidRDefault="003220D4" w:rsidP="003220D4">
      <w:pPr>
        <w:ind w:left="1440"/>
        <w:rPr>
          <w:rFonts w:eastAsia="Calibri"/>
        </w:rPr>
      </w:pPr>
      <w:r>
        <w:t>If needed, we will make accommodations for students with documented disabilities. These accommodations must be arranged in advance and in accordance with the Office of Disability Services (</w:t>
      </w:r>
      <w:hyperlink r:id="rId6" w:history="1">
        <w:r>
          <w:rPr>
            <w:rStyle w:val="Hyperlink"/>
          </w:rPr>
          <w:t>http://disabilityservices.gatech.edu</w:t>
        </w:r>
      </w:hyperlink>
      <w:r>
        <w:t>).</w:t>
      </w:r>
    </w:p>
    <w:p w:rsidR="003220D4" w:rsidRDefault="003220D4" w:rsidP="003220D4">
      <w:pPr>
        <w:pStyle w:val="BodyText"/>
        <w:widowControl w:val="0"/>
        <w:ind w:left="2880"/>
        <w:rPr>
          <w:sz w:val="22"/>
        </w:rPr>
      </w:pPr>
    </w:p>
    <w:p w:rsidR="003220D4" w:rsidRPr="0008747D" w:rsidRDefault="003220D4" w:rsidP="003220D4">
      <w:pPr>
        <w:pStyle w:val="BodyText"/>
        <w:widowControl w:val="0"/>
        <w:ind w:left="1440"/>
        <w:rPr>
          <w:sz w:val="22"/>
        </w:rPr>
      </w:pPr>
    </w:p>
    <w:p w:rsidR="003220D4" w:rsidRDefault="003220D4" w:rsidP="003220D4">
      <w:pPr>
        <w:tabs>
          <w:tab w:val="left" w:pos="1440"/>
        </w:tabs>
        <w:rPr>
          <w:sz w:val="22"/>
        </w:rPr>
      </w:pPr>
      <w:r w:rsidRPr="0008747D">
        <w:rPr>
          <w:b/>
          <w:sz w:val="22"/>
        </w:rPr>
        <w:lastRenderedPageBreak/>
        <w:t>Lectures:</w:t>
      </w:r>
      <w:r w:rsidRPr="0008747D">
        <w:rPr>
          <w:sz w:val="22"/>
        </w:rPr>
        <w:tab/>
      </w:r>
      <w:r>
        <w:rPr>
          <w:sz w:val="22"/>
        </w:rPr>
        <w:t xml:space="preserve">Introduction to </w:t>
      </w:r>
      <w:proofErr w:type="spellStart"/>
      <w:r>
        <w:rPr>
          <w:sz w:val="22"/>
        </w:rPr>
        <w:t>Lignocellulosic</w:t>
      </w:r>
      <w:proofErr w:type="spellEnd"/>
      <w:r>
        <w:rPr>
          <w:sz w:val="22"/>
        </w:rPr>
        <w:t xml:space="preserve"> Materials – what is Biomass</w:t>
      </w:r>
    </w:p>
    <w:p w:rsidR="003220D4" w:rsidRDefault="003220D4" w:rsidP="003220D4">
      <w:pPr>
        <w:tabs>
          <w:tab w:val="left" w:pos="1440"/>
        </w:tabs>
        <w:rPr>
          <w:sz w:val="22"/>
        </w:rPr>
      </w:pPr>
      <w:r>
        <w:rPr>
          <w:sz w:val="22"/>
        </w:rPr>
        <w:tab/>
        <w:t>Fluff Pulp and Dissolving Pulps</w:t>
      </w:r>
    </w:p>
    <w:p w:rsidR="003220D4" w:rsidRDefault="003220D4" w:rsidP="003220D4">
      <w:pPr>
        <w:tabs>
          <w:tab w:val="left" w:pos="1440"/>
        </w:tabs>
        <w:rPr>
          <w:sz w:val="22"/>
        </w:rPr>
      </w:pPr>
      <w:r>
        <w:rPr>
          <w:sz w:val="22"/>
        </w:rPr>
        <w:tab/>
        <w:t>Specialty Papers</w:t>
      </w:r>
    </w:p>
    <w:p w:rsidR="003220D4" w:rsidRDefault="003220D4" w:rsidP="003220D4">
      <w:pPr>
        <w:tabs>
          <w:tab w:val="left" w:pos="1440"/>
        </w:tabs>
        <w:rPr>
          <w:sz w:val="22"/>
        </w:rPr>
      </w:pPr>
      <w:r>
        <w:rPr>
          <w:sz w:val="22"/>
        </w:rPr>
        <w:tab/>
        <w:t>Packaging and Printed Electronics</w:t>
      </w:r>
    </w:p>
    <w:p w:rsidR="003220D4" w:rsidRDefault="003220D4" w:rsidP="003220D4">
      <w:pPr>
        <w:tabs>
          <w:tab w:val="left" w:pos="1440"/>
        </w:tabs>
        <w:rPr>
          <w:sz w:val="22"/>
        </w:rPr>
      </w:pPr>
      <w:r>
        <w:rPr>
          <w:sz w:val="22"/>
        </w:rPr>
        <w:tab/>
      </w:r>
      <w:proofErr w:type="spellStart"/>
      <w:r w:rsidRPr="00AA3439">
        <w:rPr>
          <w:sz w:val="22"/>
        </w:rPr>
        <w:t>Biorefining</w:t>
      </w:r>
      <w:proofErr w:type="spellEnd"/>
      <w:r w:rsidRPr="00AA3439">
        <w:rPr>
          <w:sz w:val="22"/>
        </w:rPr>
        <w:t xml:space="preserve"> Technologies and Products</w:t>
      </w:r>
    </w:p>
    <w:p w:rsidR="003220D4" w:rsidRDefault="003220D4" w:rsidP="003220D4">
      <w:pPr>
        <w:tabs>
          <w:tab w:val="left" w:pos="1440"/>
        </w:tabs>
        <w:ind w:left="1440"/>
        <w:rPr>
          <w:i/>
          <w:sz w:val="22"/>
        </w:rPr>
      </w:pPr>
      <w:r>
        <w:rPr>
          <w:sz w:val="22"/>
        </w:rPr>
        <w:tab/>
      </w:r>
      <w:r w:rsidRPr="00AA3439">
        <w:rPr>
          <w:i/>
          <w:sz w:val="22"/>
        </w:rPr>
        <w:t>Case Study: Biochemical PLA for Cups</w:t>
      </w:r>
    </w:p>
    <w:p w:rsidR="003220D4" w:rsidRPr="00AA3439" w:rsidRDefault="003220D4" w:rsidP="003220D4">
      <w:pPr>
        <w:tabs>
          <w:tab w:val="left" w:pos="1440"/>
        </w:tabs>
        <w:ind w:left="1440"/>
        <w:rPr>
          <w:i/>
          <w:sz w:val="22"/>
        </w:rPr>
      </w:pPr>
      <w:r>
        <w:rPr>
          <w:i/>
          <w:sz w:val="22"/>
        </w:rPr>
        <w:tab/>
        <w:t xml:space="preserve">Case Study: </w:t>
      </w:r>
      <w:proofErr w:type="spellStart"/>
      <w:r>
        <w:rPr>
          <w:i/>
          <w:sz w:val="22"/>
        </w:rPr>
        <w:t>Biocatalysis</w:t>
      </w:r>
      <w:proofErr w:type="spellEnd"/>
    </w:p>
    <w:p w:rsidR="003220D4" w:rsidRDefault="003220D4" w:rsidP="003220D4">
      <w:pPr>
        <w:tabs>
          <w:tab w:val="left" w:pos="1440"/>
        </w:tabs>
        <w:rPr>
          <w:sz w:val="22"/>
        </w:rPr>
      </w:pPr>
      <w:r>
        <w:rPr>
          <w:sz w:val="22"/>
        </w:rPr>
        <w:tab/>
      </w:r>
      <w:r w:rsidRPr="00AA3439">
        <w:rPr>
          <w:sz w:val="22"/>
        </w:rPr>
        <w:t>Renewable Chemistry Industry Analysis</w:t>
      </w:r>
    </w:p>
    <w:p w:rsidR="003220D4" w:rsidRPr="00AA3439" w:rsidRDefault="003220D4" w:rsidP="003220D4">
      <w:pPr>
        <w:tabs>
          <w:tab w:val="left" w:pos="1440"/>
        </w:tabs>
        <w:ind w:left="1440"/>
        <w:rPr>
          <w:i/>
          <w:sz w:val="22"/>
        </w:rPr>
      </w:pPr>
      <w:r>
        <w:rPr>
          <w:sz w:val="22"/>
        </w:rPr>
        <w:tab/>
      </w:r>
      <w:r w:rsidRPr="00AA3439">
        <w:rPr>
          <w:i/>
          <w:sz w:val="22"/>
        </w:rPr>
        <w:t xml:space="preserve">Case Study: </w:t>
      </w:r>
      <w:proofErr w:type="spellStart"/>
      <w:r w:rsidRPr="00AA3439">
        <w:rPr>
          <w:i/>
          <w:sz w:val="22"/>
        </w:rPr>
        <w:t>Catchlight</w:t>
      </w:r>
      <w:proofErr w:type="spellEnd"/>
      <w:r w:rsidRPr="00AA3439">
        <w:rPr>
          <w:i/>
          <w:sz w:val="22"/>
        </w:rPr>
        <w:t xml:space="preserve"> Energy, Inc.</w:t>
      </w:r>
    </w:p>
    <w:p w:rsidR="003220D4" w:rsidRDefault="003220D4" w:rsidP="003220D4">
      <w:pPr>
        <w:tabs>
          <w:tab w:val="left" w:pos="1440"/>
        </w:tabs>
        <w:rPr>
          <w:sz w:val="22"/>
        </w:rPr>
      </w:pPr>
      <w:r>
        <w:rPr>
          <w:sz w:val="22"/>
        </w:rPr>
        <w:tab/>
      </w:r>
      <w:r w:rsidRPr="00AA3439">
        <w:rPr>
          <w:sz w:val="22"/>
        </w:rPr>
        <w:t xml:space="preserve">Micro and </w:t>
      </w:r>
      <w:proofErr w:type="spellStart"/>
      <w:r w:rsidRPr="00AA3439">
        <w:rPr>
          <w:sz w:val="22"/>
        </w:rPr>
        <w:t>Nanocellulose</w:t>
      </w:r>
      <w:proofErr w:type="spellEnd"/>
      <w:r w:rsidRPr="00AA3439">
        <w:rPr>
          <w:sz w:val="22"/>
        </w:rPr>
        <w:t xml:space="preserve"> Characteristics and Manufacture</w:t>
      </w:r>
    </w:p>
    <w:p w:rsidR="003220D4" w:rsidRPr="00AA3439" w:rsidRDefault="003220D4" w:rsidP="003220D4">
      <w:pPr>
        <w:tabs>
          <w:tab w:val="left" w:pos="1440"/>
        </w:tabs>
        <w:ind w:left="1440"/>
        <w:rPr>
          <w:i/>
          <w:sz w:val="22"/>
        </w:rPr>
      </w:pPr>
      <w:r>
        <w:rPr>
          <w:sz w:val="22"/>
        </w:rPr>
        <w:tab/>
      </w:r>
      <w:r w:rsidRPr="00AA3439">
        <w:rPr>
          <w:i/>
          <w:sz w:val="22"/>
        </w:rPr>
        <w:t xml:space="preserve">Case Study: </w:t>
      </w:r>
      <w:proofErr w:type="spellStart"/>
      <w:r w:rsidRPr="00AA3439">
        <w:rPr>
          <w:i/>
          <w:sz w:val="22"/>
        </w:rPr>
        <w:t>Nanocellulose</w:t>
      </w:r>
      <w:proofErr w:type="spellEnd"/>
      <w:r w:rsidRPr="00AA3439">
        <w:rPr>
          <w:i/>
          <w:sz w:val="22"/>
        </w:rPr>
        <w:t xml:space="preserve"> Market Analysis</w:t>
      </w:r>
    </w:p>
    <w:p w:rsidR="003220D4" w:rsidRDefault="003220D4" w:rsidP="003220D4">
      <w:pPr>
        <w:tabs>
          <w:tab w:val="left" w:pos="1440"/>
        </w:tabs>
        <w:rPr>
          <w:sz w:val="22"/>
        </w:rPr>
      </w:pPr>
      <w:r>
        <w:rPr>
          <w:sz w:val="22"/>
        </w:rPr>
        <w:tab/>
      </w:r>
      <w:r w:rsidRPr="00AA3439">
        <w:rPr>
          <w:sz w:val="22"/>
        </w:rPr>
        <w:t>Renewable Polymer and Composite Materials: Science and Characteristics</w:t>
      </w:r>
    </w:p>
    <w:p w:rsidR="003220D4" w:rsidRPr="00AA3439" w:rsidRDefault="003220D4" w:rsidP="003220D4">
      <w:pPr>
        <w:tabs>
          <w:tab w:val="left" w:pos="1440"/>
        </w:tabs>
        <w:ind w:left="1440"/>
        <w:rPr>
          <w:i/>
          <w:sz w:val="22"/>
        </w:rPr>
      </w:pPr>
      <w:r>
        <w:rPr>
          <w:sz w:val="22"/>
        </w:rPr>
        <w:tab/>
      </w:r>
      <w:r w:rsidRPr="00AA3439">
        <w:rPr>
          <w:i/>
          <w:sz w:val="22"/>
        </w:rPr>
        <w:t>Case Study: Carbon Fiber from Lignin</w:t>
      </w:r>
    </w:p>
    <w:p w:rsidR="003220D4" w:rsidRPr="00AA3439" w:rsidRDefault="003220D4" w:rsidP="003220D4">
      <w:pPr>
        <w:tabs>
          <w:tab w:val="left" w:pos="1440"/>
        </w:tabs>
        <w:rPr>
          <w:sz w:val="22"/>
        </w:rPr>
      </w:pPr>
      <w:r>
        <w:rPr>
          <w:sz w:val="22"/>
        </w:rPr>
        <w:tab/>
      </w:r>
      <w:r w:rsidRPr="00AA3439">
        <w:rPr>
          <w:sz w:val="22"/>
        </w:rPr>
        <w:t>Composite Materials: Manufacture and Performance</w:t>
      </w:r>
    </w:p>
    <w:p w:rsidR="003220D4" w:rsidRDefault="003220D4" w:rsidP="003220D4">
      <w:pPr>
        <w:tabs>
          <w:tab w:val="left" w:pos="1440"/>
        </w:tabs>
        <w:rPr>
          <w:sz w:val="22"/>
        </w:rPr>
      </w:pPr>
      <w:r>
        <w:rPr>
          <w:sz w:val="22"/>
        </w:rPr>
        <w:tab/>
      </w:r>
      <w:proofErr w:type="spellStart"/>
      <w:r w:rsidRPr="00AA3439">
        <w:rPr>
          <w:sz w:val="22"/>
        </w:rPr>
        <w:t>Biocomposite</w:t>
      </w:r>
      <w:proofErr w:type="spellEnd"/>
      <w:r w:rsidRPr="00AA3439">
        <w:rPr>
          <w:sz w:val="22"/>
        </w:rPr>
        <w:t xml:space="preserve"> Industry Analysis</w:t>
      </w:r>
    </w:p>
    <w:p w:rsidR="003220D4" w:rsidRPr="00AA3439" w:rsidRDefault="003220D4" w:rsidP="003220D4">
      <w:pPr>
        <w:tabs>
          <w:tab w:val="left" w:pos="1440"/>
        </w:tabs>
        <w:ind w:left="1440"/>
        <w:rPr>
          <w:i/>
          <w:sz w:val="22"/>
        </w:rPr>
      </w:pPr>
      <w:r>
        <w:rPr>
          <w:sz w:val="22"/>
        </w:rPr>
        <w:tab/>
      </w:r>
      <w:r w:rsidRPr="00AA3439">
        <w:rPr>
          <w:i/>
          <w:sz w:val="22"/>
        </w:rPr>
        <w:t>Case Study: Automotive Bio-Composite Panels</w:t>
      </w:r>
    </w:p>
    <w:p w:rsidR="003220D4" w:rsidRPr="0008747D" w:rsidRDefault="003220D4" w:rsidP="003220D4">
      <w:pPr>
        <w:tabs>
          <w:tab w:val="left" w:pos="1440"/>
        </w:tabs>
        <w:rPr>
          <w:i/>
          <w:sz w:val="22"/>
        </w:rPr>
      </w:pPr>
      <w:r>
        <w:rPr>
          <w:sz w:val="22"/>
        </w:rPr>
        <w:tab/>
      </w:r>
      <w:r w:rsidRPr="00AA3439">
        <w:rPr>
          <w:sz w:val="22"/>
        </w:rPr>
        <w:t>Future Forest and Corporate Strategic Planning and Project Management</w:t>
      </w:r>
    </w:p>
    <w:p w:rsidR="003220D4" w:rsidRPr="0037509E" w:rsidRDefault="003220D4" w:rsidP="003220D4">
      <w:pPr>
        <w:rPr>
          <w:bCs/>
          <w:sz w:val="22"/>
          <w:szCs w:val="22"/>
        </w:rPr>
      </w:pPr>
    </w:p>
    <w:p w:rsidR="003220D4" w:rsidRDefault="003220D4" w:rsidP="003220D4">
      <w:pPr>
        <w:jc w:val="right"/>
        <w:outlineLvl w:val="0"/>
      </w:pPr>
    </w:p>
    <w:p w:rsidR="00AD6469" w:rsidRDefault="00AD6469"/>
    <w:sectPr w:rsidR="00AD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35888"/>
    <w:multiLevelType w:val="hybridMultilevel"/>
    <w:tmpl w:val="43E632F6"/>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D4"/>
    <w:rsid w:val="003220D4"/>
    <w:rsid w:val="00AD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B9A3"/>
  <w15:chartTrackingRefBased/>
  <w15:docId w15:val="{E85D6A28-C82E-443A-AC83-51BF5D68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0D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1"/>
    <w:qFormat/>
    <w:rsid w:val="003220D4"/>
    <w:pPr>
      <w:ind w:left="100"/>
      <w:outlineLvl w:val="0"/>
    </w:pPr>
    <w:rPr>
      <w:rFonts w:eastAsiaTheme="minorHAnsi"/>
      <w:b/>
      <w:bCs/>
      <w:kern w:val="3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20D4"/>
    <w:rPr>
      <w:rFonts w:ascii="Times New Roman" w:hAnsi="Times New Roman" w:cs="Times New Roman"/>
      <w:b/>
      <w:bCs/>
      <w:kern w:val="36"/>
    </w:rPr>
  </w:style>
  <w:style w:type="character" w:styleId="Hyperlink">
    <w:name w:val="Hyperlink"/>
    <w:basedOn w:val="DefaultParagraphFont"/>
    <w:uiPriority w:val="99"/>
    <w:unhideWhenUsed/>
    <w:rsid w:val="003220D4"/>
    <w:rPr>
      <w:color w:val="0563C1" w:themeColor="hyperlink"/>
      <w:u w:val="single"/>
    </w:rPr>
  </w:style>
  <w:style w:type="paragraph" w:styleId="BodyText">
    <w:name w:val="Body Text"/>
    <w:basedOn w:val="Normal"/>
    <w:link w:val="BodyTextChar"/>
    <w:rsid w:val="003220D4"/>
    <w:pPr>
      <w:jc w:val="both"/>
    </w:pPr>
    <w:rPr>
      <w:sz w:val="24"/>
      <w:szCs w:val="24"/>
    </w:rPr>
  </w:style>
  <w:style w:type="character" w:customStyle="1" w:styleId="BodyTextChar">
    <w:name w:val="Body Text Char"/>
    <w:basedOn w:val="DefaultParagraphFont"/>
    <w:link w:val="BodyText"/>
    <w:rsid w:val="003220D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abilityservices.gatech.edu" TargetMode="External"/><Relationship Id="rId5" Type="http://schemas.openxmlformats.org/officeDocument/2006/relationships/hyperlink" Target="http://www.osi.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Amy D</dc:creator>
  <cp:keywords/>
  <dc:description/>
  <cp:lastModifiedBy>Hodges, Amy D</cp:lastModifiedBy>
  <cp:revision>1</cp:revision>
  <dcterms:created xsi:type="dcterms:W3CDTF">2016-04-13T13:31:00Z</dcterms:created>
  <dcterms:modified xsi:type="dcterms:W3CDTF">2016-04-13T13:31:00Z</dcterms:modified>
</cp:coreProperties>
</file>