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D5" w:rsidRPr="007D1C56" w:rsidRDefault="009B0A9D" w:rsidP="00263B81">
      <w:pPr>
        <w:shd w:val="clear" w:color="auto" w:fill="FFFFFF"/>
        <w:tabs>
          <w:tab w:val="left" w:pos="0"/>
        </w:tabs>
        <w:spacing w:line="355" w:lineRule="exact"/>
        <w:ind w:right="49"/>
        <w:jc w:val="center"/>
        <w:rPr>
          <w:rFonts w:ascii="Arial" w:hAnsi="Arial" w:cs="Arial"/>
          <w:b/>
          <w:bCs/>
          <w:color w:val="000000"/>
          <w:spacing w:val="-9"/>
          <w:sz w:val="36"/>
          <w:szCs w:val="36"/>
        </w:rPr>
      </w:pPr>
      <w:bookmarkStart w:id="0" w:name="_GoBack"/>
      <w:bookmarkEnd w:id="0"/>
      <w:r w:rsidRPr="007D1C56">
        <w:rPr>
          <w:rFonts w:ascii="Arial" w:hAnsi="Arial" w:cs="Arial"/>
          <w:b/>
          <w:bCs/>
          <w:color w:val="000000"/>
          <w:spacing w:val="-9"/>
          <w:sz w:val="36"/>
          <w:szCs w:val="36"/>
        </w:rPr>
        <w:t>Sustainable Urban Development</w:t>
      </w:r>
    </w:p>
    <w:p w:rsidR="00B87C3F" w:rsidRPr="007D1C56" w:rsidRDefault="00B87C3F" w:rsidP="00263B81">
      <w:pPr>
        <w:shd w:val="clear" w:color="auto" w:fill="FFFFFF"/>
        <w:tabs>
          <w:tab w:val="left" w:pos="0"/>
        </w:tabs>
        <w:spacing w:line="355" w:lineRule="exact"/>
        <w:ind w:right="49"/>
        <w:jc w:val="center"/>
        <w:rPr>
          <w:rFonts w:ascii="Arial Narrow" w:hAnsi="Arial Narrow"/>
          <w:b/>
          <w:bCs/>
          <w:color w:val="000000"/>
          <w:spacing w:val="-12"/>
          <w:sz w:val="36"/>
          <w:szCs w:val="36"/>
        </w:rPr>
      </w:pPr>
      <w:r w:rsidRPr="007D1C56">
        <w:rPr>
          <w:rFonts w:ascii="Arial" w:hAnsi="Arial" w:cs="Arial"/>
          <w:b/>
          <w:bCs/>
          <w:color w:val="000000"/>
          <w:spacing w:val="-12"/>
          <w:sz w:val="36"/>
          <w:szCs w:val="36"/>
        </w:rPr>
        <w:t>CP</w:t>
      </w:r>
      <w:r w:rsidR="006A614E">
        <w:rPr>
          <w:rFonts w:ascii="Arial" w:hAnsi="Arial" w:cs="Arial"/>
          <w:b/>
          <w:bCs/>
          <w:color w:val="000000"/>
          <w:spacing w:val="-12"/>
          <w:sz w:val="36"/>
          <w:szCs w:val="36"/>
        </w:rPr>
        <w:t xml:space="preserve"> </w:t>
      </w:r>
      <w:r w:rsidR="00546609">
        <w:rPr>
          <w:rFonts w:ascii="Arial" w:hAnsi="Arial" w:cs="Arial"/>
          <w:b/>
          <w:bCs/>
          <w:color w:val="000000"/>
          <w:spacing w:val="-12"/>
          <w:sz w:val="36"/>
          <w:szCs w:val="36"/>
        </w:rPr>
        <w:t>2</w:t>
      </w:r>
      <w:r w:rsidR="00C7134A">
        <w:rPr>
          <w:rFonts w:ascii="Arial" w:hAnsi="Arial" w:cs="Arial"/>
          <w:b/>
          <w:bCs/>
          <w:color w:val="000000"/>
          <w:spacing w:val="-12"/>
          <w:sz w:val="36"/>
          <w:szCs w:val="36"/>
        </w:rPr>
        <w:t>233</w:t>
      </w:r>
    </w:p>
    <w:p w:rsidR="009B0A9D" w:rsidRPr="007D1C56" w:rsidRDefault="009B0A9D" w:rsidP="009B0A9D">
      <w:pPr>
        <w:rPr>
          <w:sz w:val="24"/>
          <w:szCs w:val="24"/>
        </w:rPr>
      </w:pPr>
    </w:p>
    <w:p w:rsidR="009B0A9D" w:rsidRPr="007D1C56" w:rsidRDefault="009B0A9D" w:rsidP="00046EF5">
      <w:pPr>
        <w:tabs>
          <w:tab w:val="left" w:pos="720"/>
          <w:tab w:val="left" w:pos="1260"/>
        </w:tabs>
        <w:rPr>
          <w:rFonts w:ascii="Arial Narrow" w:hAnsi="Arial Narrow"/>
          <w:sz w:val="22"/>
          <w:szCs w:val="22"/>
        </w:rPr>
      </w:pPr>
      <w:r w:rsidRPr="007D1C56">
        <w:rPr>
          <w:rFonts w:ascii="Arial Narrow" w:hAnsi="Arial Narrow"/>
          <w:b/>
          <w:sz w:val="22"/>
          <w:szCs w:val="22"/>
        </w:rPr>
        <w:t>Lecture:</w:t>
      </w:r>
      <w:r w:rsidRPr="007D1C56">
        <w:rPr>
          <w:rFonts w:ascii="Arial Narrow" w:hAnsi="Arial Narrow"/>
          <w:b/>
          <w:sz w:val="22"/>
          <w:szCs w:val="22"/>
        </w:rPr>
        <w:tab/>
      </w:r>
      <w:r w:rsidRPr="007D1C56">
        <w:rPr>
          <w:rFonts w:ascii="Arial Narrow" w:hAnsi="Arial Narrow"/>
          <w:b/>
          <w:sz w:val="22"/>
          <w:szCs w:val="22"/>
        </w:rPr>
        <w:tab/>
      </w:r>
      <w:r w:rsidR="00C546E7">
        <w:rPr>
          <w:rFonts w:ascii="Arial Narrow" w:hAnsi="Arial Narrow"/>
          <w:sz w:val="22"/>
          <w:szCs w:val="22"/>
        </w:rPr>
        <w:t>Tuesday/Thursday</w:t>
      </w:r>
      <w:r w:rsidR="006E7221">
        <w:rPr>
          <w:rFonts w:ascii="Arial Narrow" w:hAnsi="Arial Narrow"/>
          <w:sz w:val="22"/>
          <w:szCs w:val="22"/>
        </w:rPr>
        <w:t xml:space="preserve"> 1:35 p.m. – 2:55 p</w:t>
      </w:r>
      <w:r w:rsidRPr="007D1C56">
        <w:rPr>
          <w:rFonts w:ascii="Arial Narrow" w:hAnsi="Arial Narrow"/>
          <w:sz w:val="22"/>
          <w:szCs w:val="22"/>
        </w:rPr>
        <w:t>.m.</w:t>
      </w:r>
    </w:p>
    <w:p w:rsidR="009B0A9D" w:rsidRDefault="009B0A9D" w:rsidP="006E7221">
      <w:pPr>
        <w:tabs>
          <w:tab w:val="left" w:pos="720"/>
          <w:tab w:val="left" w:pos="1260"/>
        </w:tabs>
        <w:rPr>
          <w:rFonts w:ascii="Verdana" w:hAnsi="Verdana"/>
          <w:color w:val="000000"/>
          <w:sz w:val="21"/>
          <w:szCs w:val="21"/>
          <w:shd w:val="clear" w:color="auto" w:fill="FFFFFF"/>
        </w:rPr>
      </w:pPr>
      <w:r w:rsidRPr="007D1C56">
        <w:rPr>
          <w:rFonts w:ascii="Arial Narrow" w:hAnsi="Arial Narrow"/>
          <w:sz w:val="22"/>
          <w:szCs w:val="22"/>
        </w:rPr>
        <w:tab/>
      </w:r>
      <w:r w:rsidRPr="007D1C56">
        <w:rPr>
          <w:rFonts w:ascii="Arial Narrow" w:hAnsi="Arial Narrow"/>
          <w:sz w:val="22"/>
          <w:szCs w:val="22"/>
        </w:rPr>
        <w:tab/>
      </w:r>
      <w:r w:rsidR="006E7221" w:rsidRPr="006E7221">
        <w:rPr>
          <w:rFonts w:ascii="Arial Narrow" w:hAnsi="Arial Narrow"/>
          <w:sz w:val="22"/>
          <w:szCs w:val="22"/>
        </w:rPr>
        <w:t>Architecture (West) 258</w:t>
      </w:r>
    </w:p>
    <w:p w:rsidR="006E7221" w:rsidRPr="007D1C56" w:rsidRDefault="006E7221" w:rsidP="006E7221">
      <w:pPr>
        <w:tabs>
          <w:tab w:val="left" w:pos="720"/>
          <w:tab w:val="left" w:pos="1260"/>
        </w:tabs>
        <w:rPr>
          <w:sz w:val="24"/>
          <w:szCs w:val="24"/>
        </w:rPr>
      </w:pPr>
    </w:p>
    <w:p w:rsidR="009B0A9D" w:rsidRPr="00DD6DEC" w:rsidRDefault="006E7221" w:rsidP="007D0FDC">
      <w:pPr>
        <w:pStyle w:val="BodyText"/>
        <w:tabs>
          <w:tab w:val="clear" w:pos="600"/>
          <w:tab w:val="clear" w:pos="1080"/>
          <w:tab w:val="clear" w:pos="1440"/>
          <w:tab w:val="clear" w:pos="3120"/>
          <w:tab w:val="clear" w:pos="4800"/>
          <w:tab w:val="clear" w:pos="6000"/>
          <w:tab w:val="clear" w:pos="6840"/>
          <w:tab w:val="clear" w:pos="7320"/>
          <w:tab w:val="clear" w:pos="7800"/>
          <w:tab w:val="clear" w:pos="8400"/>
          <w:tab w:val="left" w:pos="1260"/>
          <w:tab w:val="left" w:pos="3420"/>
          <w:tab w:val="left" w:pos="5760"/>
          <w:tab w:val="left" w:pos="6930"/>
          <w:tab w:val="right" w:pos="8640"/>
        </w:tabs>
        <w:spacing w:after="0"/>
        <w:rPr>
          <w:rFonts w:ascii="Arial Narrow" w:hAnsi="Arial Narrow"/>
          <w:sz w:val="22"/>
          <w:szCs w:val="22"/>
        </w:rPr>
      </w:pPr>
      <w:r>
        <w:rPr>
          <w:rFonts w:ascii="Arial Narrow" w:hAnsi="Arial Narrow"/>
          <w:b/>
          <w:sz w:val="22"/>
          <w:szCs w:val="22"/>
        </w:rPr>
        <w:t>Instructor</w:t>
      </w:r>
      <w:r w:rsidR="009B0A9D" w:rsidRPr="00DD6DEC">
        <w:rPr>
          <w:rFonts w:ascii="Arial Narrow" w:hAnsi="Arial Narrow"/>
          <w:b/>
          <w:sz w:val="22"/>
          <w:szCs w:val="22"/>
        </w:rPr>
        <w:t>:</w:t>
      </w:r>
      <w:r w:rsidR="009B0A9D" w:rsidRPr="00DD6DEC">
        <w:rPr>
          <w:rFonts w:ascii="Arial Narrow" w:hAnsi="Arial Narrow"/>
          <w:sz w:val="22"/>
          <w:szCs w:val="22"/>
        </w:rPr>
        <w:tab/>
        <w:t>Catherine L. Ross</w:t>
      </w:r>
      <w:r w:rsidR="009B0A9D" w:rsidRPr="00DD6DEC">
        <w:rPr>
          <w:rFonts w:ascii="Arial Narrow" w:hAnsi="Arial Narrow"/>
          <w:sz w:val="22"/>
          <w:szCs w:val="22"/>
        </w:rPr>
        <w:tab/>
      </w:r>
      <w:r w:rsidR="009B0A9D" w:rsidRPr="00DD6DEC">
        <w:rPr>
          <w:rFonts w:ascii="Arial Narrow" w:hAnsi="Arial Narrow"/>
          <w:sz w:val="22"/>
          <w:szCs w:val="22"/>
        </w:rPr>
        <w:tab/>
        <w:t>Office Hours:</w:t>
      </w:r>
      <w:r w:rsidR="009B0A9D" w:rsidRPr="00DD6DEC">
        <w:rPr>
          <w:rFonts w:ascii="Arial Narrow" w:hAnsi="Arial Narrow"/>
          <w:sz w:val="22"/>
          <w:szCs w:val="22"/>
        </w:rPr>
        <w:tab/>
      </w:r>
      <w:r w:rsidR="00AA0368">
        <w:rPr>
          <w:rFonts w:ascii="Arial Narrow" w:hAnsi="Arial Narrow"/>
          <w:sz w:val="22"/>
          <w:szCs w:val="22"/>
        </w:rPr>
        <w:t>T</w:t>
      </w:r>
      <w:r w:rsidR="00D722B5" w:rsidRPr="00DD6DEC">
        <w:rPr>
          <w:rFonts w:ascii="Arial Narrow" w:hAnsi="Arial Narrow"/>
          <w:sz w:val="22"/>
          <w:szCs w:val="22"/>
        </w:rPr>
        <w:t>/</w:t>
      </w:r>
      <w:r w:rsidR="00AA0368">
        <w:rPr>
          <w:rFonts w:ascii="Arial Narrow" w:hAnsi="Arial Narrow"/>
          <w:sz w:val="22"/>
          <w:szCs w:val="22"/>
        </w:rPr>
        <w:t>R</w:t>
      </w:r>
      <w:r w:rsidR="009B0A9D" w:rsidRPr="00DD6DEC">
        <w:rPr>
          <w:rFonts w:ascii="Arial Narrow" w:hAnsi="Arial Narrow"/>
          <w:sz w:val="22"/>
          <w:szCs w:val="22"/>
        </w:rPr>
        <w:t xml:space="preserve"> 1</w:t>
      </w:r>
      <w:r w:rsidR="00D722B5" w:rsidRPr="00DD6DEC">
        <w:rPr>
          <w:rFonts w:ascii="Arial Narrow" w:hAnsi="Arial Narrow"/>
          <w:sz w:val="22"/>
          <w:szCs w:val="22"/>
        </w:rPr>
        <w:t>1</w:t>
      </w:r>
      <w:r w:rsidR="009B0A9D" w:rsidRPr="00DD6DEC">
        <w:rPr>
          <w:rFonts w:ascii="Arial Narrow" w:hAnsi="Arial Narrow"/>
          <w:sz w:val="22"/>
          <w:szCs w:val="22"/>
        </w:rPr>
        <w:t xml:space="preserve">:00 </w:t>
      </w:r>
      <w:r w:rsidR="00D722B5" w:rsidRPr="00DD6DEC">
        <w:rPr>
          <w:rFonts w:ascii="Arial Narrow" w:hAnsi="Arial Narrow"/>
          <w:sz w:val="22"/>
          <w:szCs w:val="22"/>
        </w:rPr>
        <w:t xml:space="preserve">a.m. </w:t>
      </w:r>
      <w:r w:rsidR="009B0A9D" w:rsidRPr="00DD6DEC">
        <w:rPr>
          <w:rFonts w:ascii="Arial Narrow" w:hAnsi="Arial Narrow"/>
          <w:sz w:val="22"/>
          <w:szCs w:val="22"/>
        </w:rPr>
        <w:t xml:space="preserve">– </w:t>
      </w:r>
      <w:r w:rsidR="00D722B5" w:rsidRPr="00DD6DEC">
        <w:rPr>
          <w:rFonts w:ascii="Arial Narrow" w:hAnsi="Arial Narrow"/>
          <w:sz w:val="22"/>
          <w:szCs w:val="22"/>
        </w:rPr>
        <w:t>1</w:t>
      </w:r>
      <w:r w:rsidR="009B0A9D" w:rsidRPr="00DD6DEC">
        <w:rPr>
          <w:rFonts w:ascii="Arial Narrow" w:hAnsi="Arial Narrow"/>
          <w:sz w:val="22"/>
          <w:szCs w:val="22"/>
        </w:rPr>
        <w:t>2:30 p.m</w:t>
      </w:r>
      <w:r w:rsidR="00D722B5" w:rsidRPr="00DD6DEC">
        <w:rPr>
          <w:rFonts w:ascii="Arial Narrow" w:hAnsi="Arial Narrow"/>
          <w:sz w:val="22"/>
          <w:szCs w:val="22"/>
        </w:rPr>
        <w:t>.</w:t>
      </w:r>
    </w:p>
    <w:p w:rsidR="009B0A9D" w:rsidRPr="00DD6DEC" w:rsidRDefault="009B0A9D" w:rsidP="007D0FDC">
      <w:pPr>
        <w:tabs>
          <w:tab w:val="left" w:pos="1260"/>
          <w:tab w:val="left" w:pos="3420"/>
          <w:tab w:val="left" w:pos="5760"/>
          <w:tab w:val="left" w:pos="6930"/>
        </w:tabs>
        <w:spacing w:line="240" w:lineRule="exact"/>
        <w:rPr>
          <w:rFonts w:ascii="Arial Narrow" w:hAnsi="Arial Narrow"/>
          <w:sz w:val="22"/>
          <w:szCs w:val="22"/>
        </w:rPr>
      </w:pPr>
      <w:r w:rsidRPr="00DD6DEC">
        <w:rPr>
          <w:rFonts w:ascii="Arial Narrow" w:hAnsi="Arial Narrow"/>
          <w:sz w:val="22"/>
          <w:szCs w:val="22"/>
        </w:rPr>
        <w:tab/>
        <w:t xml:space="preserve">Center for Quality Growth &amp; </w:t>
      </w:r>
      <w:r w:rsidR="007D0FDC" w:rsidRPr="00DD6DEC">
        <w:rPr>
          <w:rFonts w:ascii="Arial Narrow" w:hAnsi="Arial Narrow"/>
          <w:sz w:val="22"/>
          <w:szCs w:val="22"/>
        </w:rPr>
        <w:t>Regional Development</w:t>
      </w:r>
      <w:r w:rsidRPr="00DD6DEC">
        <w:rPr>
          <w:rFonts w:ascii="Arial Narrow" w:hAnsi="Arial Narrow"/>
          <w:sz w:val="22"/>
          <w:szCs w:val="22"/>
        </w:rPr>
        <w:tab/>
      </w:r>
      <w:r w:rsidRPr="00DD6DEC">
        <w:rPr>
          <w:rFonts w:ascii="Arial Narrow" w:hAnsi="Arial Narrow"/>
          <w:sz w:val="22"/>
          <w:szCs w:val="22"/>
        </w:rPr>
        <w:tab/>
      </w:r>
      <w:r w:rsidR="00D722B5" w:rsidRPr="00DD6DEC">
        <w:rPr>
          <w:rFonts w:ascii="Arial Narrow" w:hAnsi="Arial Narrow"/>
          <w:sz w:val="22"/>
          <w:szCs w:val="22"/>
        </w:rPr>
        <w:t>and others by appointment</w:t>
      </w:r>
    </w:p>
    <w:p w:rsidR="009B0A9D" w:rsidRPr="00DD6DEC" w:rsidRDefault="009B0A9D" w:rsidP="007D0FDC">
      <w:pPr>
        <w:tabs>
          <w:tab w:val="left" w:pos="1260"/>
          <w:tab w:val="left" w:pos="3420"/>
          <w:tab w:val="left" w:pos="5760"/>
          <w:tab w:val="left" w:pos="6930"/>
        </w:tabs>
        <w:spacing w:line="240" w:lineRule="exact"/>
        <w:rPr>
          <w:rFonts w:ascii="Arial Narrow" w:hAnsi="Arial Narrow"/>
          <w:sz w:val="22"/>
          <w:szCs w:val="22"/>
        </w:rPr>
      </w:pPr>
      <w:r w:rsidRPr="00DD6DEC">
        <w:rPr>
          <w:rFonts w:ascii="Arial Narrow" w:hAnsi="Arial Narrow"/>
          <w:sz w:val="22"/>
          <w:szCs w:val="22"/>
        </w:rPr>
        <w:tab/>
      </w:r>
      <w:r w:rsidR="007D0FDC" w:rsidRPr="00DD6DEC">
        <w:rPr>
          <w:rFonts w:ascii="Arial Narrow" w:hAnsi="Arial Narrow"/>
          <w:sz w:val="22"/>
          <w:szCs w:val="22"/>
        </w:rPr>
        <w:t>760 Spring Street, Suite 213</w:t>
      </w:r>
      <w:r w:rsidRPr="00DD6DEC">
        <w:rPr>
          <w:rFonts w:ascii="Arial Narrow" w:hAnsi="Arial Narrow"/>
          <w:sz w:val="22"/>
          <w:szCs w:val="22"/>
        </w:rPr>
        <w:tab/>
      </w:r>
      <w:r w:rsidRPr="00DD6DEC">
        <w:rPr>
          <w:rFonts w:ascii="Arial Narrow" w:hAnsi="Arial Narrow"/>
          <w:sz w:val="22"/>
          <w:szCs w:val="22"/>
        </w:rPr>
        <w:tab/>
      </w:r>
    </w:p>
    <w:p w:rsidR="00A05F92" w:rsidRPr="007D1C56" w:rsidRDefault="009B0A9D" w:rsidP="0067117B">
      <w:pPr>
        <w:tabs>
          <w:tab w:val="left" w:pos="1260"/>
          <w:tab w:val="left" w:pos="3240"/>
          <w:tab w:val="left" w:pos="3420"/>
          <w:tab w:val="left" w:pos="5760"/>
          <w:tab w:val="left" w:pos="6930"/>
        </w:tabs>
        <w:spacing w:line="240" w:lineRule="exact"/>
        <w:rPr>
          <w:rFonts w:ascii="Arial Narrow" w:hAnsi="Arial Narrow"/>
          <w:sz w:val="22"/>
          <w:szCs w:val="22"/>
        </w:rPr>
      </w:pPr>
      <w:r w:rsidRPr="00DD6DEC">
        <w:rPr>
          <w:rFonts w:ascii="Arial Narrow" w:hAnsi="Arial Narrow"/>
          <w:sz w:val="22"/>
          <w:szCs w:val="22"/>
        </w:rPr>
        <w:tab/>
      </w:r>
      <w:r w:rsidR="003F1097" w:rsidRPr="00DD6DEC">
        <w:rPr>
          <w:rFonts w:ascii="Arial Narrow" w:hAnsi="Arial Narrow"/>
          <w:sz w:val="22"/>
          <w:szCs w:val="22"/>
        </w:rPr>
        <w:t>Phone</w:t>
      </w:r>
      <w:r w:rsidRPr="00DD6DEC">
        <w:rPr>
          <w:rFonts w:ascii="Arial Narrow" w:hAnsi="Arial Narrow"/>
          <w:sz w:val="22"/>
          <w:szCs w:val="22"/>
        </w:rPr>
        <w:t>:</w:t>
      </w:r>
      <w:r w:rsidR="002B00A9" w:rsidRPr="00DD6DEC">
        <w:rPr>
          <w:rFonts w:ascii="Arial Narrow" w:hAnsi="Arial Narrow"/>
          <w:sz w:val="22"/>
          <w:szCs w:val="22"/>
        </w:rPr>
        <w:t xml:space="preserve"> </w:t>
      </w:r>
      <w:r w:rsidRPr="00DD6DEC">
        <w:rPr>
          <w:rFonts w:ascii="Arial Narrow" w:hAnsi="Arial Narrow"/>
          <w:sz w:val="22"/>
          <w:szCs w:val="22"/>
        </w:rPr>
        <w:t>404-385-5133</w:t>
      </w:r>
      <w:r w:rsidR="007D0FDC" w:rsidRPr="00DD6DEC">
        <w:rPr>
          <w:rFonts w:ascii="Arial Narrow" w:hAnsi="Arial Narrow"/>
          <w:sz w:val="22"/>
          <w:szCs w:val="22"/>
        </w:rPr>
        <w:t xml:space="preserve"> </w:t>
      </w:r>
      <w:r w:rsidR="007D0FDC" w:rsidRPr="00DD6DEC">
        <w:rPr>
          <w:rFonts w:ascii="Arial Narrow" w:hAnsi="Arial Narrow"/>
          <w:sz w:val="22"/>
          <w:szCs w:val="22"/>
        </w:rPr>
        <w:tab/>
      </w:r>
      <w:r w:rsidR="006A614E">
        <w:rPr>
          <w:rFonts w:ascii="Arial Narrow" w:hAnsi="Arial Narrow"/>
          <w:sz w:val="22"/>
          <w:szCs w:val="22"/>
        </w:rPr>
        <w:tab/>
      </w:r>
      <w:r w:rsidR="006A614E">
        <w:rPr>
          <w:rFonts w:ascii="Arial Narrow" w:hAnsi="Arial Narrow"/>
          <w:sz w:val="22"/>
          <w:szCs w:val="22"/>
        </w:rPr>
        <w:tab/>
      </w:r>
      <w:r w:rsidRPr="00DD6DEC">
        <w:rPr>
          <w:rFonts w:ascii="Arial Narrow" w:hAnsi="Arial Narrow"/>
          <w:sz w:val="22"/>
          <w:szCs w:val="22"/>
        </w:rPr>
        <w:t>E</w:t>
      </w:r>
      <w:r w:rsidR="003F1097" w:rsidRPr="00DD6DEC">
        <w:rPr>
          <w:rFonts w:ascii="Arial Narrow" w:hAnsi="Arial Narrow"/>
          <w:sz w:val="22"/>
          <w:szCs w:val="22"/>
        </w:rPr>
        <w:t>-</w:t>
      </w:r>
      <w:r w:rsidRPr="00DD6DEC">
        <w:rPr>
          <w:rFonts w:ascii="Arial Narrow" w:hAnsi="Arial Narrow"/>
          <w:sz w:val="22"/>
          <w:szCs w:val="22"/>
        </w:rPr>
        <w:t>mail:</w:t>
      </w:r>
      <w:r w:rsidR="002B00A9" w:rsidRPr="00DD6DEC">
        <w:rPr>
          <w:rFonts w:ascii="Arial Narrow" w:hAnsi="Arial Narrow"/>
          <w:sz w:val="22"/>
          <w:szCs w:val="22"/>
        </w:rPr>
        <w:t xml:space="preserve"> </w:t>
      </w:r>
      <w:r w:rsidR="00897134">
        <w:rPr>
          <w:rFonts w:ascii="Arial Narrow" w:hAnsi="Arial Narrow"/>
          <w:sz w:val="22"/>
          <w:szCs w:val="22"/>
        </w:rPr>
        <w:t>catherine.ross@coa.g</w:t>
      </w:r>
      <w:r w:rsidRPr="00DD6DEC">
        <w:rPr>
          <w:rFonts w:ascii="Arial Narrow" w:hAnsi="Arial Narrow"/>
          <w:sz w:val="22"/>
          <w:szCs w:val="22"/>
        </w:rPr>
        <w:t>atech.edu</w:t>
      </w:r>
    </w:p>
    <w:p w:rsidR="007D1C56" w:rsidRPr="007D1C56" w:rsidRDefault="007D1C56" w:rsidP="00C023C0">
      <w:pPr>
        <w:spacing w:before="100" w:beforeAutospacing="1"/>
        <w:rPr>
          <w:rFonts w:ascii="Arial" w:hAnsi="Arial" w:cs="Arial"/>
        </w:rPr>
      </w:pPr>
      <w:r w:rsidRPr="007D1C56">
        <w:rPr>
          <w:rFonts w:ascii="Arial Narrow" w:hAnsi="Arial Narrow"/>
          <w:b/>
          <w:sz w:val="22"/>
          <w:szCs w:val="22"/>
        </w:rPr>
        <w:t>Course Materials</w:t>
      </w:r>
      <w:r w:rsidR="00A05F92" w:rsidRPr="007D1C56">
        <w:rPr>
          <w:rFonts w:ascii="Arial Narrow" w:hAnsi="Arial Narrow"/>
          <w:b/>
          <w:sz w:val="22"/>
          <w:szCs w:val="22"/>
        </w:rPr>
        <w:t>:</w:t>
      </w:r>
      <w:r w:rsidR="0067117B">
        <w:rPr>
          <w:rFonts w:ascii="Arial Narrow" w:hAnsi="Arial Narrow"/>
          <w:sz w:val="22"/>
          <w:szCs w:val="22"/>
        </w:rPr>
        <w:t xml:space="preserve"> </w:t>
      </w:r>
      <w:r w:rsidRPr="007D1C56">
        <w:rPr>
          <w:rFonts w:ascii="Arial Narrow" w:hAnsi="Arial Narrow"/>
          <w:sz w:val="22"/>
          <w:szCs w:val="22"/>
        </w:rPr>
        <w:t xml:space="preserve">All course materials are available on T-Square, </w:t>
      </w:r>
      <w:r w:rsidRPr="006A614E">
        <w:rPr>
          <w:rFonts w:ascii="Arial Narrow" w:hAnsi="Arial Narrow"/>
          <w:sz w:val="22"/>
          <w:szCs w:val="22"/>
        </w:rPr>
        <w:t>ht</w:t>
      </w:r>
      <w:r w:rsidR="006A614E">
        <w:rPr>
          <w:rFonts w:ascii="Arial Narrow" w:hAnsi="Arial Narrow"/>
          <w:sz w:val="22"/>
          <w:szCs w:val="22"/>
        </w:rPr>
        <w:t>tps://t-square.gatech.edu</w:t>
      </w:r>
      <w:r w:rsidRPr="007D1C56">
        <w:rPr>
          <w:rFonts w:ascii="Arial Narrow" w:hAnsi="Arial Narrow"/>
          <w:sz w:val="22"/>
          <w:szCs w:val="22"/>
        </w:rPr>
        <w:t xml:space="preserve"> in </w:t>
      </w:r>
      <w:r w:rsidR="0067117B">
        <w:rPr>
          <w:rFonts w:ascii="Arial" w:hAnsi="Arial" w:cs="Arial"/>
        </w:rPr>
        <w:t>CP</w:t>
      </w:r>
      <w:r w:rsidR="006A614E">
        <w:rPr>
          <w:rFonts w:ascii="Arial" w:hAnsi="Arial" w:cs="Arial"/>
        </w:rPr>
        <w:t xml:space="preserve"> </w:t>
      </w:r>
      <w:r w:rsidR="00897134">
        <w:rPr>
          <w:rFonts w:ascii="Arial" w:hAnsi="Arial" w:cs="Arial"/>
        </w:rPr>
        <w:t>2</w:t>
      </w:r>
      <w:r w:rsidR="00C7134A">
        <w:rPr>
          <w:rFonts w:ascii="Arial" w:hAnsi="Arial" w:cs="Arial"/>
        </w:rPr>
        <w:t>233</w:t>
      </w:r>
      <w:r w:rsidR="0067117B">
        <w:rPr>
          <w:rFonts w:ascii="Arial" w:hAnsi="Arial" w:cs="Arial"/>
        </w:rPr>
        <w:t>.</w:t>
      </w:r>
    </w:p>
    <w:p w:rsidR="00C023C0" w:rsidRDefault="00C023C0" w:rsidP="008C1D70">
      <w:pPr>
        <w:rPr>
          <w:rFonts w:ascii="Arial Narrow" w:hAnsi="Arial Narrow"/>
          <w:sz w:val="22"/>
          <w:szCs w:val="22"/>
        </w:rPr>
      </w:pPr>
    </w:p>
    <w:p w:rsidR="007D1C56" w:rsidRPr="007D1C56" w:rsidRDefault="007D1C56" w:rsidP="008C1D70">
      <w:pPr>
        <w:rPr>
          <w:rFonts w:ascii="Arial Narrow" w:hAnsi="Arial Narrow"/>
          <w:sz w:val="22"/>
          <w:szCs w:val="22"/>
        </w:rPr>
      </w:pPr>
    </w:p>
    <w:p w:rsidR="00B705A0" w:rsidRDefault="006A6554" w:rsidP="008C1D70">
      <w:pPr>
        <w:rPr>
          <w:rFonts w:ascii="Arial Narrow" w:hAnsi="Arial Narrow"/>
          <w:b/>
          <w:sz w:val="28"/>
          <w:szCs w:val="28"/>
        </w:rPr>
      </w:pPr>
      <w:r w:rsidRPr="007D1C56">
        <w:rPr>
          <w:rFonts w:ascii="Arial Narrow" w:hAnsi="Arial Narrow"/>
          <w:b/>
          <w:sz w:val="28"/>
          <w:szCs w:val="28"/>
        </w:rPr>
        <w:t>COURSE DESCRIPTION:</w:t>
      </w:r>
    </w:p>
    <w:p w:rsidR="00E55345" w:rsidRPr="007D1C56" w:rsidRDefault="00E55345" w:rsidP="008C1D70">
      <w:pPr>
        <w:rPr>
          <w:rFonts w:ascii="Arial Narrow" w:hAnsi="Arial Narrow"/>
          <w:b/>
          <w:sz w:val="28"/>
          <w:szCs w:val="28"/>
        </w:rPr>
      </w:pPr>
    </w:p>
    <w:p w:rsidR="007D1C56" w:rsidRPr="007D1C56" w:rsidRDefault="007D1C56" w:rsidP="007D1C56">
      <w:pPr>
        <w:spacing w:line="240" w:lineRule="exact"/>
        <w:rPr>
          <w:rFonts w:ascii="Arial Narrow" w:hAnsi="Arial Narrow"/>
          <w:sz w:val="22"/>
          <w:szCs w:val="22"/>
        </w:rPr>
      </w:pPr>
      <w:r w:rsidRPr="007D1C56">
        <w:rPr>
          <w:rFonts w:ascii="Arial Narrow" w:hAnsi="Arial Narrow"/>
          <w:sz w:val="22"/>
          <w:szCs w:val="22"/>
        </w:rPr>
        <w:t xml:space="preserve">This course will explore the principles and practice of sustainable development from the building and site to the city and region. This exploration will take place while considering national and global implications. We will begin by examining the issues of sustainability, and looking at conventional development practices to ascertain how they diverge from </w:t>
      </w:r>
      <w:r w:rsidR="003A6193" w:rsidRPr="007D1C56">
        <w:rPr>
          <w:rFonts w:ascii="Arial Narrow" w:hAnsi="Arial Narrow"/>
          <w:sz w:val="22"/>
          <w:szCs w:val="22"/>
        </w:rPr>
        <w:t>sustainab</w:t>
      </w:r>
      <w:r w:rsidR="003A6193">
        <w:rPr>
          <w:rFonts w:ascii="Arial Narrow" w:hAnsi="Arial Narrow"/>
          <w:sz w:val="22"/>
          <w:szCs w:val="22"/>
        </w:rPr>
        <w:t>le</w:t>
      </w:r>
      <w:r w:rsidR="003A6193" w:rsidRPr="007D1C56">
        <w:rPr>
          <w:rFonts w:ascii="Arial Narrow" w:hAnsi="Arial Narrow"/>
          <w:sz w:val="22"/>
          <w:szCs w:val="22"/>
        </w:rPr>
        <w:t xml:space="preserve"> </w:t>
      </w:r>
      <w:r w:rsidRPr="007D1C56">
        <w:rPr>
          <w:rFonts w:ascii="Arial Narrow" w:hAnsi="Arial Narrow"/>
          <w:sz w:val="22"/>
          <w:szCs w:val="22"/>
        </w:rPr>
        <w:t xml:space="preserve">development practice.  </w:t>
      </w:r>
    </w:p>
    <w:p w:rsidR="007D1C56" w:rsidRPr="007D1C56" w:rsidRDefault="007D1C56" w:rsidP="007D1C56">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p>
    <w:p w:rsidR="007D1C56" w:rsidRPr="007D1C56" w:rsidRDefault="007D1C56" w:rsidP="007D1C56">
      <w:pPr>
        <w:spacing w:line="240" w:lineRule="exact"/>
        <w:rPr>
          <w:rFonts w:ascii="Arial Narrow" w:hAnsi="Arial Narrow"/>
          <w:sz w:val="22"/>
          <w:szCs w:val="22"/>
        </w:rPr>
      </w:pPr>
      <w:r w:rsidRPr="007D1C56">
        <w:rPr>
          <w:rFonts w:ascii="Arial Narrow" w:hAnsi="Arial Narrow"/>
          <w:sz w:val="22"/>
          <w:szCs w:val="22"/>
        </w:rPr>
        <w:t xml:space="preserve">What is sustainability? </w:t>
      </w:r>
      <w:r w:rsidR="0067117B">
        <w:rPr>
          <w:rFonts w:ascii="Arial Narrow" w:hAnsi="Arial Narrow"/>
          <w:sz w:val="22"/>
          <w:szCs w:val="22"/>
        </w:rPr>
        <w:t xml:space="preserve">How can </w:t>
      </w:r>
      <w:r w:rsidR="00684405">
        <w:rPr>
          <w:rFonts w:ascii="Arial Narrow" w:hAnsi="Arial Narrow"/>
          <w:sz w:val="22"/>
          <w:szCs w:val="22"/>
        </w:rPr>
        <w:t xml:space="preserve">planners, engineers, architects and policy makers incorporate sustainability principles into their practice? </w:t>
      </w:r>
      <w:r w:rsidR="00E55345">
        <w:rPr>
          <w:rFonts w:ascii="Arial Narrow" w:hAnsi="Arial Narrow"/>
          <w:sz w:val="22"/>
          <w:szCs w:val="22"/>
        </w:rPr>
        <w:t>H</w:t>
      </w:r>
      <w:r w:rsidRPr="007D1C56">
        <w:rPr>
          <w:rFonts w:ascii="Arial Narrow" w:hAnsi="Arial Narrow"/>
          <w:sz w:val="22"/>
          <w:szCs w:val="22"/>
        </w:rPr>
        <w:t xml:space="preserve">ow do the principles of sustainability and their application operate at various geographic scales? This course will help students answer these questions </w:t>
      </w:r>
      <w:r w:rsidR="00684405">
        <w:rPr>
          <w:rFonts w:ascii="Arial Narrow" w:hAnsi="Arial Narrow"/>
          <w:sz w:val="22"/>
          <w:szCs w:val="22"/>
        </w:rPr>
        <w:t>in light of</w:t>
      </w:r>
      <w:r w:rsidR="00684405" w:rsidRPr="007D1C56">
        <w:rPr>
          <w:rFonts w:ascii="Arial Narrow" w:hAnsi="Arial Narrow"/>
          <w:sz w:val="22"/>
          <w:szCs w:val="22"/>
        </w:rPr>
        <w:t xml:space="preserve"> </w:t>
      </w:r>
      <w:r w:rsidRPr="007D1C56">
        <w:rPr>
          <w:rFonts w:ascii="Arial Narrow" w:hAnsi="Arial Narrow"/>
          <w:sz w:val="22"/>
          <w:szCs w:val="22"/>
        </w:rPr>
        <w:t>the current international struggle to find the way forward given the need for increasing adaptation on the part of the world’s population</w:t>
      </w:r>
      <w:r w:rsidR="005005A4">
        <w:rPr>
          <w:rFonts w:ascii="Arial Narrow" w:hAnsi="Arial Narrow"/>
          <w:sz w:val="22"/>
          <w:szCs w:val="22"/>
        </w:rPr>
        <w:t xml:space="preserve"> and environment</w:t>
      </w:r>
      <w:r w:rsidRPr="007D1C56">
        <w:rPr>
          <w:rFonts w:ascii="Arial Narrow" w:hAnsi="Arial Narrow"/>
          <w:sz w:val="22"/>
          <w:szCs w:val="22"/>
        </w:rPr>
        <w:t>.</w:t>
      </w:r>
    </w:p>
    <w:p w:rsidR="007D1C56" w:rsidRPr="007D1C56" w:rsidRDefault="007D1C56" w:rsidP="007D1C56">
      <w:pPr>
        <w:spacing w:line="240" w:lineRule="exact"/>
        <w:rPr>
          <w:rFonts w:ascii="Arial Narrow" w:hAnsi="Arial Narrow"/>
          <w:sz w:val="22"/>
          <w:szCs w:val="22"/>
          <w:highlight w:val="yellow"/>
        </w:rPr>
      </w:pPr>
    </w:p>
    <w:p w:rsidR="00B705A0" w:rsidRDefault="005005A4" w:rsidP="007D1C56">
      <w:pPr>
        <w:spacing w:line="240" w:lineRule="exact"/>
        <w:rPr>
          <w:rFonts w:ascii="Arial Narrow" w:hAnsi="Arial Narrow"/>
          <w:sz w:val="22"/>
          <w:szCs w:val="22"/>
        </w:rPr>
      </w:pPr>
      <w:r w:rsidRPr="007D1C56">
        <w:rPr>
          <w:rFonts w:ascii="Arial Narrow" w:hAnsi="Arial Narrow"/>
          <w:sz w:val="22"/>
          <w:szCs w:val="22"/>
        </w:rPr>
        <w:t>Sustainability is NOT simply concerned with the natural environment. Instead, sustainable practices place equal weight on environment</w:t>
      </w:r>
      <w:r>
        <w:rPr>
          <w:rFonts w:ascii="Arial Narrow" w:hAnsi="Arial Narrow"/>
          <w:sz w:val="22"/>
          <w:szCs w:val="22"/>
        </w:rPr>
        <w:t>al preservation</w:t>
      </w:r>
      <w:r w:rsidRPr="007D1C56">
        <w:rPr>
          <w:rFonts w:ascii="Arial Narrow" w:hAnsi="Arial Narrow"/>
          <w:sz w:val="22"/>
          <w:szCs w:val="22"/>
        </w:rPr>
        <w:t>, economic</w:t>
      </w:r>
      <w:r>
        <w:rPr>
          <w:rFonts w:ascii="Arial Narrow" w:hAnsi="Arial Narrow"/>
          <w:sz w:val="22"/>
          <w:szCs w:val="22"/>
        </w:rPr>
        <w:t xml:space="preserve"> feasibility</w:t>
      </w:r>
      <w:r w:rsidRPr="007D1C56">
        <w:rPr>
          <w:rFonts w:ascii="Arial Narrow" w:hAnsi="Arial Narrow"/>
          <w:sz w:val="22"/>
          <w:szCs w:val="22"/>
        </w:rPr>
        <w:t xml:space="preserve">, and </w:t>
      </w:r>
      <w:r>
        <w:rPr>
          <w:rFonts w:ascii="Arial Narrow" w:hAnsi="Arial Narrow"/>
          <w:sz w:val="22"/>
          <w:szCs w:val="22"/>
        </w:rPr>
        <w:t xml:space="preserve">social </w:t>
      </w:r>
      <w:r w:rsidRPr="007D1C56">
        <w:rPr>
          <w:rFonts w:ascii="Arial Narrow" w:hAnsi="Arial Narrow"/>
          <w:sz w:val="22"/>
          <w:szCs w:val="22"/>
        </w:rPr>
        <w:t xml:space="preserve">equity to achieve long-term viability. For the purposes of this course, sustainability is defined as multi-faceted, multi-sectoral, and multi-temporal. It is the balancing of social, economic, and environmental issues through private-, public-, global and nonprofit sector efforts for today and for generations to come. Therefore a primary purpose of this course is to assess the appropriate themes and scales at which sustainable practices can be achieved. </w:t>
      </w:r>
    </w:p>
    <w:p w:rsidR="00B705A0" w:rsidRDefault="00B705A0" w:rsidP="007D1C56">
      <w:pPr>
        <w:spacing w:line="240" w:lineRule="exact"/>
        <w:rPr>
          <w:rFonts w:ascii="Arial Narrow" w:hAnsi="Arial Narrow"/>
          <w:sz w:val="22"/>
          <w:szCs w:val="22"/>
        </w:rPr>
      </w:pPr>
    </w:p>
    <w:p w:rsidR="005005A4" w:rsidRDefault="00B705A0" w:rsidP="007D1C56">
      <w:pPr>
        <w:spacing w:line="240" w:lineRule="exact"/>
        <w:rPr>
          <w:rFonts w:ascii="Arial Narrow" w:hAnsi="Arial Narrow"/>
          <w:sz w:val="22"/>
          <w:szCs w:val="22"/>
        </w:rPr>
      </w:pPr>
      <w:r>
        <w:rPr>
          <w:rFonts w:ascii="Arial Narrow" w:hAnsi="Arial Narrow"/>
          <w:sz w:val="22"/>
          <w:szCs w:val="22"/>
        </w:rPr>
        <w:t>This course is an undergraduate ve</w:t>
      </w:r>
      <w:r w:rsidR="009322F5">
        <w:rPr>
          <w:rFonts w:ascii="Arial Narrow" w:hAnsi="Arial Narrow"/>
          <w:sz w:val="22"/>
          <w:szCs w:val="22"/>
        </w:rPr>
        <w:t>rsion of CP 6233, but the undergraduate and graduate versions of the course will be taught separately.</w:t>
      </w:r>
      <w:r>
        <w:rPr>
          <w:rFonts w:ascii="Arial Narrow" w:hAnsi="Arial Narrow"/>
          <w:sz w:val="22"/>
          <w:szCs w:val="22"/>
        </w:rPr>
        <w:t xml:space="preserve">  There is substantial overlap in the basic course themes, </w:t>
      </w:r>
      <w:r w:rsidR="00417D50">
        <w:rPr>
          <w:rFonts w:ascii="Arial Narrow" w:hAnsi="Arial Narrow"/>
          <w:sz w:val="22"/>
          <w:szCs w:val="22"/>
        </w:rPr>
        <w:t xml:space="preserve">a number of the </w:t>
      </w:r>
      <w:r>
        <w:rPr>
          <w:rFonts w:ascii="Arial Narrow" w:hAnsi="Arial Narrow"/>
          <w:sz w:val="22"/>
          <w:szCs w:val="22"/>
        </w:rPr>
        <w:t xml:space="preserve">readings, and some of the assignments.  However </w:t>
      </w:r>
      <w:r w:rsidR="009322F5">
        <w:rPr>
          <w:rFonts w:ascii="Arial Narrow" w:hAnsi="Arial Narrow"/>
          <w:sz w:val="22"/>
          <w:szCs w:val="22"/>
        </w:rPr>
        <w:t xml:space="preserve">CP 2233 omits </w:t>
      </w:r>
      <w:r>
        <w:rPr>
          <w:rFonts w:ascii="Arial Narrow" w:hAnsi="Arial Narrow"/>
          <w:sz w:val="22"/>
          <w:szCs w:val="22"/>
        </w:rPr>
        <w:t xml:space="preserve">the more </w:t>
      </w:r>
      <w:r w:rsidR="00417D50">
        <w:rPr>
          <w:rFonts w:ascii="Arial Narrow" w:hAnsi="Arial Narrow"/>
          <w:sz w:val="22"/>
          <w:szCs w:val="22"/>
        </w:rPr>
        <w:t xml:space="preserve">advanced modeling material in CP 6233 and substitutes shorter readings drawn from </w:t>
      </w:r>
      <w:r w:rsidR="00417D50" w:rsidRPr="00417D50">
        <w:rPr>
          <w:rFonts w:ascii="Arial Narrow" w:hAnsi="Arial Narrow"/>
          <w:sz w:val="22"/>
          <w:szCs w:val="22"/>
          <w:u w:val="single"/>
        </w:rPr>
        <w:t>The Sustainable Urban Development Reader</w:t>
      </w:r>
      <w:r w:rsidR="00417D50">
        <w:rPr>
          <w:rFonts w:ascii="Arial Narrow" w:hAnsi="Arial Narrow"/>
          <w:sz w:val="22"/>
          <w:szCs w:val="22"/>
        </w:rPr>
        <w:t xml:space="preserve"> for a number of the more technical graduate-student-oriented readings requ</w:t>
      </w:r>
      <w:r w:rsidR="009322F5">
        <w:rPr>
          <w:rFonts w:ascii="Arial Narrow" w:hAnsi="Arial Narrow"/>
          <w:sz w:val="22"/>
          <w:szCs w:val="22"/>
        </w:rPr>
        <w:t xml:space="preserve">ired for CP 6233.  The </w:t>
      </w:r>
      <w:r w:rsidR="00417D50">
        <w:rPr>
          <w:rFonts w:ascii="Arial Narrow" w:hAnsi="Arial Narrow"/>
          <w:sz w:val="22"/>
          <w:szCs w:val="22"/>
        </w:rPr>
        <w:t xml:space="preserve">number and substance of </w:t>
      </w:r>
      <w:r w:rsidR="009322F5">
        <w:rPr>
          <w:rFonts w:ascii="Arial Narrow" w:hAnsi="Arial Narrow"/>
          <w:sz w:val="22"/>
          <w:szCs w:val="22"/>
        </w:rPr>
        <w:t xml:space="preserve">required </w:t>
      </w:r>
      <w:r w:rsidR="00417D50">
        <w:rPr>
          <w:rFonts w:ascii="Arial Narrow" w:hAnsi="Arial Narrow"/>
          <w:sz w:val="22"/>
          <w:szCs w:val="22"/>
        </w:rPr>
        <w:t>graded assignments have also been adjusted to be appropriate for a sophmore-level course.</w:t>
      </w:r>
      <w:r w:rsidR="009322F5">
        <w:rPr>
          <w:rFonts w:ascii="Arial Narrow" w:hAnsi="Arial Narrow"/>
          <w:sz w:val="22"/>
          <w:szCs w:val="22"/>
        </w:rPr>
        <w:t xml:space="preserve">  </w:t>
      </w:r>
    </w:p>
    <w:p w:rsidR="00B45E24" w:rsidRDefault="00B45E24" w:rsidP="00046EF5">
      <w:pPr>
        <w:spacing w:line="240" w:lineRule="exact"/>
        <w:rPr>
          <w:rFonts w:ascii="Arial Narrow" w:hAnsi="Arial Narrow"/>
          <w:sz w:val="28"/>
          <w:szCs w:val="28"/>
        </w:rPr>
      </w:pPr>
    </w:p>
    <w:p w:rsidR="00CD4050" w:rsidRDefault="0001694B" w:rsidP="00046EF5">
      <w:pPr>
        <w:spacing w:line="240" w:lineRule="exact"/>
        <w:rPr>
          <w:rFonts w:ascii="Arial Narrow" w:hAnsi="Arial Narrow"/>
          <w:b/>
          <w:sz w:val="28"/>
          <w:szCs w:val="28"/>
        </w:rPr>
      </w:pPr>
      <w:r w:rsidRPr="0001694B">
        <w:rPr>
          <w:rFonts w:ascii="Arial Narrow" w:hAnsi="Arial Narrow"/>
          <w:b/>
          <w:sz w:val="28"/>
          <w:szCs w:val="28"/>
        </w:rPr>
        <w:t>LEARNING OBJECTIVES:</w:t>
      </w:r>
    </w:p>
    <w:p w:rsidR="00E55345" w:rsidRPr="0001694B" w:rsidRDefault="00E55345" w:rsidP="00046EF5">
      <w:pPr>
        <w:spacing w:line="240" w:lineRule="exact"/>
        <w:rPr>
          <w:rFonts w:ascii="Arial Narrow" w:hAnsi="Arial Narrow"/>
          <w:b/>
          <w:sz w:val="28"/>
          <w:szCs w:val="28"/>
        </w:rPr>
      </w:pPr>
    </w:p>
    <w:p w:rsidR="00CD4050" w:rsidRDefault="00C7134A" w:rsidP="00CD4050">
      <w:pPr>
        <w:widowControl/>
        <w:autoSpaceDE/>
        <w:autoSpaceDN/>
        <w:adjustRightInd/>
        <w:rPr>
          <w:rFonts w:ascii="Arial Narrow" w:hAnsi="Arial Narrow" w:cs="Arial"/>
          <w:sz w:val="22"/>
          <w:szCs w:val="22"/>
        </w:rPr>
      </w:pPr>
      <w:r>
        <w:rPr>
          <w:rFonts w:ascii="Arial Narrow" w:hAnsi="Arial Narrow" w:cs="Arial"/>
          <w:sz w:val="22"/>
          <w:szCs w:val="22"/>
        </w:rPr>
        <w:t>After completing the course, s</w:t>
      </w:r>
      <w:r w:rsidR="00CD4050" w:rsidRPr="00263B81">
        <w:rPr>
          <w:rFonts w:ascii="Arial Narrow" w:hAnsi="Arial Narrow" w:cs="Arial"/>
          <w:sz w:val="22"/>
          <w:szCs w:val="22"/>
        </w:rPr>
        <w:t>tudents will be able to</w:t>
      </w:r>
      <w:r w:rsidR="00E55345">
        <w:rPr>
          <w:rFonts w:ascii="Arial Narrow" w:hAnsi="Arial Narrow" w:cs="Arial"/>
          <w:sz w:val="22"/>
          <w:szCs w:val="22"/>
        </w:rPr>
        <w:t xml:space="preserve"> accomplish the following</w:t>
      </w:r>
      <w:r w:rsidR="00CD4050" w:rsidRPr="00263B81">
        <w:rPr>
          <w:rFonts w:ascii="Arial Narrow" w:hAnsi="Arial Narrow" w:cs="Arial"/>
          <w:sz w:val="22"/>
          <w:szCs w:val="22"/>
        </w:rPr>
        <w:t>:</w:t>
      </w:r>
    </w:p>
    <w:p w:rsidR="0067117B" w:rsidRDefault="0067117B" w:rsidP="00CD4050">
      <w:pPr>
        <w:widowControl/>
        <w:autoSpaceDE/>
        <w:autoSpaceDN/>
        <w:adjustRightInd/>
        <w:rPr>
          <w:rFonts w:ascii="Arial Narrow" w:hAnsi="Arial Narrow" w:cs="Arial"/>
          <w:sz w:val="22"/>
          <w:szCs w:val="22"/>
        </w:rPr>
      </w:pPr>
    </w:p>
    <w:p w:rsidR="0067117B" w:rsidRDefault="0067117B" w:rsidP="00CD4050">
      <w:pPr>
        <w:widowControl/>
        <w:numPr>
          <w:ilvl w:val="0"/>
          <w:numId w:val="6"/>
        </w:numPr>
        <w:autoSpaceDE/>
        <w:autoSpaceDN/>
        <w:adjustRightInd/>
        <w:spacing w:before="120"/>
        <w:rPr>
          <w:rFonts w:ascii="Arial Narrow" w:hAnsi="Arial Narrow" w:cs="Arial"/>
          <w:sz w:val="22"/>
          <w:szCs w:val="22"/>
        </w:rPr>
      </w:pPr>
      <w:r>
        <w:rPr>
          <w:rFonts w:ascii="Arial Narrow" w:hAnsi="Arial Narrow" w:cs="Arial"/>
          <w:sz w:val="22"/>
          <w:szCs w:val="22"/>
        </w:rPr>
        <w:t>understand the basic forces driving urban development processes</w:t>
      </w:r>
      <w:r w:rsidRPr="0067117B">
        <w:rPr>
          <w:rFonts w:ascii="Arial Narrow" w:hAnsi="Arial Narrow" w:cs="Arial"/>
          <w:sz w:val="22"/>
          <w:szCs w:val="22"/>
        </w:rPr>
        <w:t>.</w:t>
      </w:r>
    </w:p>
    <w:p w:rsidR="0067117B" w:rsidRDefault="0059570D" w:rsidP="00CD4050">
      <w:pPr>
        <w:widowControl/>
        <w:numPr>
          <w:ilvl w:val="0"/>
          <w:numId w:val="6"/>
        </w:numPr>
        <w:autoSpaceDE/>
        <w:autoSpaceDN/>
        <w:adjustRightInd/>
        <w:spacing w:before="120"/>
        <w:rPr>
          <w:rFonts w:ascii="Arial Narrow" w:hAnsi="Arial Narrow" w:cs="Arial"/>
          <w:sz w:val="22"/>
          <w:szCs w:val="22"/>
        </w:rPr>
      </w:pPr>
      <w:r>
        <w:rPr>
          <w:rFonts w:ascii="Arial Narrow" w:hAnsi="Arial Narrow" w:cs="Arial"/>
          <w:sz w:val="22"/>
          <w:szCs w:val="22"/>
        </w:rPr>
        <w:t>discuss different concepts of sustainability and their implications for urban areas.</w:t>
      </w:r>
    </w:p>
    <w:p w:rsidR="00CD4050" w:rsidRDefault="0059570D" w:rsidP="00263B81">
      <w:pPr>
        <w:widowControl/>
        <w:numPr>
          <w:ilvl w:val="0"/>
          <w:numId w:val="6"/>
        </w:numPr>
        <w:autoSpaceDE/>
        <w:autoSpaceDN/>
        <w:adjustRightInd/>
        <w:spacing w:before="120"/>
        <w:rPr>
          <w:rFonts w:ascii="Arial Narrow" w:hAnsi="Arial Narrow" w:cs="Arial"/>
          <w:sz w:val="22"/>
          <w:szCs w:val="22"/>
        </w:rPr>
      </w:pPr>
      <w:r>
        <w:rPr>
          <w:rFonts w:ascii="Arial Narrow" w:hAnsi="Arial Narrow" w:cs="Arial"/>
          <w:sz w:val="22"/>
          <w:szCs w:val="22"/>
        </w:rPr>
        <w:t xml:space="preserve">describe </w:t>
      </w:r>
      <w:r w:rsidRPr="0059570D">
        <w:rPr>
          <w:rFonts w:ascii="Arial Narrow" w:hAnsi="Arial Narrow" w:cs="Arial"/>
          <w:sz w:val="22"/>
          <w:szCs w:val="22"/>
        </w:rPr>
        <w:t xml:space="preserve">the </w:t>
      </w:r>
      <w:r>
        <w:rPr>
          <w:rFonts w:ascii="Arial Narrow" w:hAnsi="Arial Narrow" w:cs="Arial"/>
          <w:sz w:val="22"/>
          <w:szCs w:val="22"/>
        </w:rPr>
        <w:t xml:space="preserve">environmental, economic, and social </w:t>
      </w:r>
      <w:r w:rsidR="00CD4050" w:rsidRPr="0059570D">
        <w:rPr>
          <w:rFonts w:ascii="Arial Narrow" w:hAnsi="Arial Narrow" w:cs="Arial"/>
          <w:sz w:val="22"/>
          <w:szCs w:val="22"/>
        </w:rPr>
        <w:t>components of sustainability from an urban development perspective.</w:t>
      </w:r>
    </w:p>
    <w:p w:rsidR="00CD4050" w:rsidRDefault="00CD4050" w:rsidP="00263B81">
      <w:pPr>
        <w:widowControl/>
        <w:numPr>
          <w:ilvl w:val="0"/>
          <w:numId w:val="6"/>
        </w:numPr>
        <w:autoSpaceDE/>
        <w:autoSpaceDN/>
        <w:adjustRightInd/>
        <w:spacing w:before="120"/>
        <w:rPr>
          <w:rFonts w:ascii="Arial Narrow" w:hAnsi="Arial Narrow" w:cs="Arial"/>
          <w:sz w:val="22"/>
          <w:szCs w:val="22"/>
        </w:rPr>
      </w:pPr>
      <w:r w:rsidRPr="00263B81">
        <w:rPr>
          <w:rFonts w:ascii="Arial Narrow" w:hAnsi="Arial Narrow" w:cs="Arial"/>
          <w:sz w:val="22"/>
          <w:szCs w:val="22"/>
        </w:rPr>
        <w:lastRenderedPageBreak/>
        <w:t xml:space="preserve">apply </w:t>
      </w:r>
      <w:r w:rsidR="0067117B">
        <w:rPr>
          <w:rFonts w:ascii="Arial Narrow" w:hAnsi="Arial Narrow" w:cs="Arial"/>
          <w:sz w:val="22"/>
          <w:szCs w:val="22"/>
        </w:rPr>
        <w:t xml:space="preserve">measurement and </w:t>
      </w:r>
      <w:r w:rsidRPr="00263B81">
        <w:rPr>
          <w:rFonts w:ascii="Arial Narrow" w:hAnsi="Arial Narrow" w:cs="Arial"/>
          <w:sz w:val="22"/>
          <w:szCs w:val="22"/>
        </w:rPr>
        <w:t xml:space="preserve">assessment tools for </w:t>
      </w:r>
      <w:r w:rsidR="0067117B">
        <w:rPr>
          <w:rFonts w:ascii="Arial Narrow" w:hAnsi="Arial Narrow" w:cs="Arial"/>
          <w:sz w:val="22"/>
          <w:szCs w:val="22"/>
        </w:rPr>
        <w:t xml:space="preserve">sustainability as a whole and </w:t>
      </w:r>
      <w:r w:rsidR="0059570D">
        <w:rPr>
          <w:rFonts w:ascii="Arial Narrow" w:hAnsi="Arial Narrow" w:cs="Arial"/>
          <w:sz w:val="22"/>
          <w:szCs w:val="22"/>
        </w:rPr>
        <w:t xml:space="preserve">for </w:t>
      </w:r>
      <w:r w:rsidRPr="00263B81">
        <w:rPr>
          <w:rFonts w:ascii="Arial Narrow" w:hAnsi="Arial Narrow" w:cs="Arial"/>
          <w:sz w:val="22"/>
          <w:szCs w:val="22"/>
        </w:rPr>
        <w:t>each of the com</w:t>
      </w:r>
      <w:r w:rsidR="0059570D">
        <w:rPr>
          <w:rFonts w:ascii="Arial Narrow" w:hAnsi="Arial Narrow" w:cs="Arial"/>
          <w:sz w:val="22"/>
          <w:szCs w:val="22"/>
        </w:rPr>
        <w:t xml:space="preserve">ponents of sustainability for </w:t>
      </w:r>
      <w:r w:rsidRPr="00263B81">
        <w:rPr>
          <w:rFonts w:ascii="Arial Narrow" w:hAnsi="Arial Narrow" w:cs="Arial"/>
          <w:sz w:val="22"/>
          <w:szCs w:val="22"/>
        </w:rPr>
        <w:t>project</w:t>
      </w:r>
      <w:r w:rsidR="0059570D">
        <w:rPr>
          <w:rFonts w:ascii="Arial Narrow" w:hAnsi="Arial Narrow" w:cs="Arial"/>
          <w:sz w:val="22"/>
          <w:szCs w:val="22"/>
        </w:rPr>
        <w:t>s</w:t>
      </w:r>
      <w:r w:rsidRPr="00263B81">
        <w:rPr>
          <w:rFonts w:ascii="Arial Narrow" w:hAnsi="Arial Narrow" w:cs="Arial"/>
          <w:sz w:val="22"/>
          <w:szCs w:val="22"/>
        </w:rPr>
        <w:t>, plan</w:t>
      </w:r>
      <w:r w:rsidR="0059570D">
        <w:rPr>
          <w:rFonts w:ascii="Arial Narrow" w:hAnsi="Arial Narrow" w:cs="Arial"/>
          <w:sz w:val="22"/>
          <w:szCs w:val="22"/>
        </w:rPr>
        <w:t>s</w:t>
      </w:r>
      <w:r w:rsidRPr="00263B81">
        <w:rPr>
          <w:rFonts w:ascii="Arial Narrow" w:hAnsi="Arial Narrow" w:cs="Arial"/>
          <w:sz w:val="22"/>
          <w:szCs w:val="22"/>
        </w:rPr>
        <w:t>, program</w:t>
      </w:r>
      <w:r w:rsidR="0059570D">
        <w:rPr>
          <w:rFonts w:ascii="Arial Narrow" w:hAnsi="Arial Narrow" w:cs="Arial"/>
          <w:sz w:val="22"/>
          <w:szCs w:val="22"/>
        </w:rPr>
        <w:t>s</w:t>
      </w:r>
      <w:r w:rsidRPr="00263B81">
        <w:rPr>
          <w:rFonts w:ascii="Arial Narrow" w:hAnsi="Arial Narrow" w:cs="Arial"/>
          <w:sz w:val="22"/>
          <w:szCs w:val="22"/>
        </w:rPr>
        <w:t xml:space="preserve"> or poli</w:t>
      </w:r>
      <w:r w:rsidR="0059570D">
        <w:rPr>
          <w:rFonts w:ascii="Arial Narrow" w:hAnsi="Arial Narrow" w:cs="Arial"/>
          <w:sz w:val="22"/>
          <w:szCs w:val="22"/>
        </w:rPr>
        <w:t>cies</w:t>
      </w:r>
      <w:r w:rsidRPr="00263B81">
        <w:rPr>
          <w:rFonts w:ascii="Arial Narrow" w:hAnsi="Arial Narrow" w:cs="Arial"/>
          <w:sz w:val="22"/>
          <w:szCs w:val="22"/>
        </w:rPr>
        <w:t>.</w:t>
      </w:r>
    </w:p>
    <w:p w:rsidR="0059570D" w:rsidRDefault="0059570D" w:rsidP="00263B81">
      <w:pPr>
        <w:widowControl/>
        <w:numPr>
          <w:ilvl w:val="0"/>
          <w:numId w:val="6"/>
        </w:numPr>
        <w:autoSpaceDE/>
        <w:autoSpaceDN/>
        <w:adjustRightInd/>
        <w:spacing w:before="120"/>
        <w:rPr>
          <w:rFonts w:ascii="Arial Narrow" w:hAnsi="Arial Narrow" w:cs="Arial"/>
          <w:sz w:val="22"/>
          <w:szCs w:val="22"/>
        </w:rPr>
      </w:pPr>
      <w:r>
        <w:rPr>
          <w:rFonts w:ascii="Arial Narrow" w:hAnsi="Arial Narrow" w:cs="Arial"/>
          <w:sz w:val="22"/>
          <w:szCs w:val="22"/>
        </w:rPr>
        <w:t>understand the sustainability opportunities and challenges i</w:t>
      </w:r>
      <w:r w:rsidR="00BC5101">
        <w:rPr>
          <w:rFonts w:ascii="Arial Narrow" w:hAnsi="Arial Narrow" w:cs="Arial"/>
          <w:sz w:val="22"/>
          <w:szCs w:val="22"/>
        </w:rPr>
        <w:t xml:space="preserve">n specific </w:t>
      </w:r>
      <w:r>
        <w:rPr>
          <w:rFonts w:ascii="Arial Narrow" w:hAnsi="Arial Narrow" w:cs="Arial"/>
          <w:sz w:val="22"/>
          <w:szCs w:val="22"/>
        </w:rPr>
        <w:t xml:space="preserve">substantive areas </w:t>
      </w:r>
      <w:r w:rsidR="00BC5101">
        <w:rPr>
          <w:rFonts w:ascii="Arial Narrow" w:hAnsi="Arial Narrow" w:cs="Arial"/>
          <w:sz w:val="22"/>
          <w:szCs w:val="22"/>
        </w:rPr>
        <w:t>including</w:t>
      </w:r>
      <w:r>
        <w:rPr>
          <w:rFonts w:ascii="Arial Narrow" w:hAnsi="Arial Narrow" w:cs="Arial"/>
          <w:sz w:val="22"/>
          <w:szCs w:val="22"/>
        </w:rPr>
        <w:t xml:space="preserve"> energy, transportation, buildings, land use, greenspace, and climate change</w:t>
      </w:r>
      <w:r w:rsidR="00BC5101">
        <w:rPr>
          <w:rFonts w:ascii="Arial Narrow" w:hAnsi="Arial Narrow" w:cs="Arial"/>
          <w:sz w:val="22"/>
          <w:szCs w:val="22"/>
        </w:rPr>
        <w:t>.</w:t>
      </w:r>
    </w:p>
    <w:p w:rsidR="00BC5101" w:rsidRDefault="00BC5101" w:rsidP="00263B81">
      <w:pPr>
        <w:widowControl/>
        <w:numPr>
          <w:ilvl w:val="0"/>
          <w:numId w:val="6"/>
        </w:numPr>
        <w:autoSpaceDE/>
        <w:autoSpaceDN/>
        <w:adjustRightInd/>
        <w:spacing w:before="120"/>
        <w:rPr>
          <w:rFonts w:ascii="Arial Narrow" w:hAnsi="Arial Narrow" w:cs="Arial"/>
          <w:sz w:val="22"/>
          <w:szCs w:val="22"/>
        </w:rPr>
      </w:pPr>
      <w:r>
        <w:rPr>
          <w:rFonts w:ascii="Arial Narrow" w:hAnsi="Arial Narrow" w:cs="Arial"/>
          <w:sz w:val="22"/>
          <w:szCs w:val="22"/>
        </w:rPr>
        <w:t>relate basic community engagement principles to sustainability practice.</w:t>
      </w:r>
    </w:p>
    <w:p w:rsidR="00BC5101" w:rsidRPr="00263B81" w:rsidRDefault="00BC5101" w:rsidP="00263B81">
      <w:pPr>
        <w:widowControl/>
        <w:numPr>
          <w:ilvl w:val="0"/>
          <w:numId w:val="6"/>
        </w:numPr>
        <w:autoSpaceDE/>
        <w:autoSpaceDN/>
        <w:adjustRightInd/>
        <w:spacing w:before="120"/>
        <w:rPr>
          <w:rFonts w:ascii="Arial Narrow" w:hAnsi="Arial Narrow" w:cs="Arial"/>
          <w:sz w:val="22"/>
          <w:szCs w:val="22"/>
        </w:rPr>
      </w:pPr>
      <w:r>
        <w:rPr>
          <w:rFonts w:ascii="Arial Narrow" w:hAnsi="Arial Narrow" w:cs="Arial"/>
          <w:sz w:val="22"/>
          <w:szCs w:val="22"/>
        </w:rPr>
        <w:t>synthesize the course materials and apply t</w:t>
      </w:r>
      <w:r w:rsidR="00417D50">
        <w:rPr>
          <w:rFonts w:ascii="Arial Narrow" w:hAnsi="Arial Narrow" w:cs="Arial"/>
          <w:sz w:val="22"/>
          <w:szCs w:val="22"/>
        </w:rPr>
        <w:t>hem in the real-world context of</w:t>
      </w:r>
      <w:r>
        <w:rPr>
          <w:rFonts w:ascii="Arial Narrow" w:hAnsi="Arial Narrow" w:cs="Arial"/>
          <w:sz w:val="22"/>
          <w:szCs w:val="22"/>
        </w:rPr>
        <w:t xml:space="preserve"> urban governance and implementation.</w:t>
      </w:r>
    </w:p>
    <w:p w:rsidR="00CD4050" w:rsidRPr="007D1C56" w:rsidRDefault="00CD4050" w:rsidP="00046EF5">
      <w:pPr>
        <w:spacing w:line="240" w:lineRule="exact"/>
        <w:rPr>
          <w:rFonts w:ascii="Arial Narrow" w:hAnsi="Arial Narrow"/>
          <w:sz w:val="22"/>
          <w:szCs w:val="22"/>
        </w:rPr>
      </w:pPr>
    </w:p>
    <w:p w:rsidR="00263B81" w:rsidRDefault="00263B81"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8"/>
          <w:szCs w:val="28"/>
        </w:rPr>
      </w:pPr>
    </w:p>
    <w:p w:rsidR="00046EF5" w:rsidRDefault="003D1C07"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8"/>
          <w:szCs w:val="28"/>
        </w:rPr>
      </w:pPr>
      <w:r w:rsidRPr="007D1C56">
        <w:rPr>
          <w:rFonts w:ascii="Arial Narrow" w:hAnsi="Arial Narrow"/>
          <w:b/>
          <w:sz w:val="28"/>
          <w:szCs w:val="28"/>
        </w:rPr>
        <w:t xml:space="preserve">ASSIGNMENTS AND </w:t>
      </w:r>
      <w:r w:rsidR="00046EF5" w:rsidRPr="007D1C56">
        <w:rPr>
          <w:rFonts w:ascii="Arial Narrow" w:hAnsi="Arial Narrow"/>
          <w:b/>
          <w:sz w:val="28"/>
          <w:szCs w:val="28"/>
        </w:rPr>
        <w:t>REQUIRED WORK</w:t>
      </w:r>
      <w:r w:rsidR="006A6554" w:rsidRPr="007D1C56">
        <w:rPr>
          <w:rFonts w:ascii="Arial Narrow" w:hAnsi="Arial Narrow"/>
          <w:b/>
          <w:sz w:val="28"/>
          <w:szCs w:val="28"/>
        </w:rPr>
        <w:t>:</w:t>
      </w:r>
    </w:p>
    <w:p w:rsidR="00E55345" w:rsidRPr="007D1C56" w:rsidRDefault="00E55345"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8"/>
          <w:szCs w:val="28"/>
        </w:rPr>
      </w:pPr>
    </w:p>
    <w:p w:rsidR="00046EF5" w:rsidRPr="007D1C56" w:rsidRDefault="00792BBF"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sidRPr="007D1C56">
        <w:rPr>
          <w:rFonts w:ascii="Arial Narrow" w:hAnsi="Arial Narrow"/>
          <w:sz w:val="22"/>
          <w:szCs w:val="22"/>
        </w:rPr>
        <w:t>T</w:t>
      </w:r>
      <w:r w:rsidR="00046EF5" w:rsidRPr="007D1C56">
        <w:rPr>
          <w:rFonts w:ascii="Arial Narrow" w:hAnsi="Arial Narrow"/>
          <w:sz w:val="22"/>
          <w:szCs w:val="22"/>
        </w:rPr>
        <w:t xml:space="preserve">his course will </w:t>
      </w:r>
      <w:r w:rsidR="006668A1" w:rsidRPr="007D1C56">
        <w:rPr>
          <w:rFonts w:ascii="Arial Narrow" w:hAnsi="Arial Narrow"/>
          <w:sz w:val="22"/>
          <w:szCs w:val="22"/>
        </w:rPr>
        <w:t xml:space="preserve">begin with a seminar and discussion format, then transition to a </w:t>
      </w:r>
      <w:r w:rsidR="00046EF5" w:rsidRPr="007D1C56">
        <w:rPr>
          <w:rFonts w:ascii="Arial Narrow" w:hAnsi="Arial Narrow"/>
          <w:sz w:val="22"/>
          <w:szCs w:val="22"/>
        </w:rPr>
        <w:t>“studio-course” experience in that you will be defining the problem and your approach to conducting your study</w:t>
      </w:r>
      <w:r w:rsidR="006E145E" w:rsidRPr="007D1C56">
        <w:rPr>
          <w:rFonts w:ascii="Arial Narrow" w:hAnsi="Arial Narrow"/>
          <w:sz w:val="22"/>
          <w:szCs w:val="22"/>
        </w:rPr>
        <w:t xml:space="preserve">. </w:t>
      </w:r>
      <w:r w:rsidR="00046EF5" w:rsidRPr="007D1C56">
        <w:rPr>
          <w:rFonts w:ascii="Arial Narrow" w:hAnsi="Arial Narrow"/>
          <w:sz w:val="22"/>
          <w:szCs w:val="22"/>
        </w:rPr>
        <w:t>The course requirements, therefore, are structured in a way that ensures that each student participates actively throughout course</w:t>
      </w:r>
      <w:r w:rsidR="006668A1" w:rsidRPr="007D1C56">
        <w:rPr>
          <w:rFonts w:ascii="Arial Narrow" w:hAnsi="Arial Narrow"/>
          <w:sz w:val="22"/>
          <w:szCs w:val="22"/>
        </w:rPr>
        <w:t xml:space="preserve"> (both independently and in group environments)</w:t>
      </w:r>
      <w:r w:rsidR="00046EF5" w:rsidRPr="007D1C56">
        <w:rPr>
          <w:rFonts w:ascii="Arial Narrow" w:hAnsi="Arial Narrow"/>
          <w:sz w:val="22"/>
          <w:szCs w:val="22"/>
        </w:rPr>
        <w:t xml:space="preserve"> and contributes toward the final report</w:t>
      </w:r>
      <w:r w:rsidR="00AC6E05" w:rsidRPr="007D1C56">
        <w:rPr>
          <w:rFonts w:ascii="Arial Narrow" w:hAnsi="Arial Narrow"/>
          <w:sz w:val="22"/>
          <w:szCs w:val="22"/>
        </w:rPr>
        <w:t>s</w:t>
      </w:r>
      <w:r w:rsidR="00046EF5" w:rsidRPr="007D1C56">
        <w:rPr>
          <w:rFonts w:ascii="Arial Narrow" w:hAnsi="Arial Narrow"/>
          <w:sz w:val="22"/>
          <w:szCs w:val="22"/>
        </w:rPr>
        <w:t>.</w:t>
      </w:r>
    </w:p>
    <w:p w:rsidR="003D1C07" w:rsidRPr="007D1C56" w:rsidRDefault="003D1C07"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3D1C07" w:rsidRPr="007D1C56" w:rsidRDefault="00A872F2"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sidRPr="007D1C56">
        <w:rPr>
          <w:rFonts w:ascii="Arial Narrow" w:hAnsi="Arial Narrow"/>
          <w:b/>
          <w:sz w:val="22"/>
          <w:szCs w:val="22"/>
        </w:rPr>
        <w:t xml:space="preserve">Assignment 1:  </w:t>
      </w:r>
      <w:r w:rsidR="003D1C07" w:rsidRPr="007D1C56">
        <w:rPr>
          <w:rFonts w:ascii="Arial Narrow" w:hAnsi="Arial Narrow"/>
          <w:b/>
          <w:sz w:val="22"/>
          <w:szCs w:val="22"/>
        </w:rPr>
        <w:t>Opinion Essay</w:t>
      </w:r>
    </w:p>
    <w:p w:rsidR="003D1C07" w:rsidRDefault="00343BD5"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sidRPr="007D1C56">
        <w:rPr>
          <w:rFonts w:ascii="Arial Narrow" w:hAnsi="Arial Narrow"/>
          <w:sz w:val="22"/>
          <w:szCs w:val="22"/>
        </w:rPr>
        <w:t xml:space="preserve">Each student will be required to write a </w:t>
      </w:r>
      <w:r w:rsidR="00584A58">
        <w:rPr>
          <w:rFonts w:ascii="Arial Narrow" w:hAnsi="Arial Narrow"/>
          <w:sz w:val="22"/>
          <w:szCs w:val="22"/>
        </w:rPr>
        <w:t>600-800 word</w:t>
      </w:r>
      <w:r w:rsidRPr="007D1C56">
        <w:rPr>
          <w:rFonts w:ascii="Arial Narrow" w:hAnsi="Arial Narrow"/>
          <w:sz w:val="22"/>
          <w:szCs w:val="22"/>
        </w:rPr>
        <w:t xml:space="preserve"> essay on sustainability. Students should critically reflect on the reading</w:t>
      </w:r>
      <w:r w:rsidR="00584A58">
        <w:rPr>
          <w:rFonts w:ascii="Arial Narrow" w:hAnsi="Arial Narrow"/>
          <w:sz w:val="22"/>
          <w:szCs w:val="22"/>
        </w:rPr>
        <w:t xml:space="preserve">s </w:t>
      </w:r>
      <w:r w:rsidRPr="007D1C56">
        <w:rPr>
          <w:rFonts w:ascii="Arial Narrow" w:hAnsi="Arial Narrow"/>
          <w:sz w:val="22"/>
          <w:szCs w:val="22"/>
        </w:rPr>
        <w:t>to assess the principles and goals of sustainable development. The essay should address obstacles (environmental, political, economic, and so on) to achieve sustainability</w:t>
      </w:r>
      <w:r w:rsidR="008B2897" w:rsidRPr="007D1C56">
        <w:rPr>
          <w:rFonts w:ascii="Arial Narrow" w:hAnsi="Arial Narrow"/>
          <w:sz w:val="22"/>
          <w:szCs w:val="22"/>
        </w:rPr>
        <w:t xml:space="preserve"> and explore the ultimate goals—are they realistic?</w:t>
      </w:r>
      <w:r w:rsidRPr="007D1C56">
        <w:rPr>
          <w:rFonts w:ascii="Arial Narrow" w:hAnsi="Arial Narrow"/>
          <w:sz w:val="22"/>
          <w:szCs w:val="22"/>
        </w:rPr>
        <w:t xml:space="preserve"> For this assignment there are no “right” answer</w:t>
      </w:r>
      <w:r w:rsidR="008B2897" w:rsidRPr="007D1C56">
        <w:rPr>
          <w:rFonts w:ascii="Arial Narrow" w:hAnsi="Arial Narrow"/>
          <w:sz w:val="22"/>
          <w:szCs w:val="22"/>
        </w:rPr>
        <w:t>s</w:t>
      </w:r>
      <w:r w:rsidRPr="007D1C56">
        <w:rPr>
          <w:rFonts w:ascii="Arial Narrow" w:hAnsi="Arial Narrow"/>
          <w:sz w:val="22"/>
          <w:szCs w:val="22"/>
        </w:rPr>
        <w:t>, just well-supported arguments.</w:t>
      </w:r>
      <w:r w:rsidR="000E20D1" w:rsidRPr="007D1C56">
        <w:rPr>
          <w:rFonts w:ascii="Arial Narrow" w:hAnsi="Arial Narrow"/>
          <w:sz w:val="22"/>
          <w:szCs w:val="22"/>
        </w:rPr>
        <w:t xml:space="preserve"> </w:t>
      </w:r>
      <w:r w:rsidR="004E1A27" w:rsidRPr="007D1C56">
        <w:rPr>
          <w:rFonts w:ascii="Arial Narrow" w:hAnsi="Arial Narrow"/>
          <w:sz w:val="22"/>
          <w:szCs w:val="22"/>
        </w:rPr>
        <w:t>More details will be provided.</w:t>
      </w:r>
    </w:p>
    <w:p w:rsidR="004D421D" w:rsidRDefault="004D421D"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4D421D" w:rsidRDefault="00C84EB8"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sidRPr="00C84EB8">
        <w:rPr>
          <w:rFonts w:ascii="Arial Narrow" w:hAnsi="Arial Narrow"/>
          <w:b/>
          <w:sz w:val="22"/>
          <w:szCs w:val="22"/>
        </w:rPr>
        <w:t>Ass</w:t>
      </w:r>
      <w:r w:rsidR="00584A58">
        <w:rPr>
          <w:rFonts w:ascii="Arial Narrow" w:hAnsi="Arial Narrow"/>
          <w:b/>
          <w:sz w:val="22"/>
          <w:szCs w:val="22"/>
        </w:rPr>
        <w:t>ignment 2: Tsquare postings</w:t>
      </w:r>
    </w:p>
    <w:p w:rsidR="00BC5E72" w:rsidRPr="00BC5E72" w:rsidRDefault="007E128A"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Pr>
          <w:rFonts w:ascii="Arial Narrow" w:hAnsi="Arial Narrow"/>
          <w:sz w:val="22"/>
          <w:szCs w:val="22"/>
        </w:rPr>
        <w:t>For eight of the 16 weeks in the course</w:t>
      </w:r>
      <w:r w:rsidR="004354DD">
        <w:rPr>
          <w:rFonts w:ascii="Arial Narrow" w:hAnsi="Arial Narrow"/>
          <w:sz w:val="22"/>
          <w:szCs w:val="22"/>
        </w:rPr>
        <w:t xml:space="preserve"> </w:t>
      </w:r>
      <w:r w:rsidR="00584A58">
        <w:rPr>
          <w:rFonts w:ascii="Arial Narrow" w:hAnsi="Arial Narrow"/>
          <w:sz w:val="22"/>
          <w:szCs w:val="22"/>
        </w:rPr>
        <w:t xml:space="preserve">students will write and post </w:t>
      </w:r>
      <w:r>
        <w:rPr>
          <w:rFonts w:ascii="Arial Narrow" w:hAnsi="Arial Narrow"/>
          <w:sz w:val="22"/>
          <w:szCs w:val="22"/>
        </w:rPr>
        <w:t>a brief (200-250 word</w:t>
      </w:r>
      <w:r w:rsidR="00584A58">
        <w:rPr>
          <w:rFonts w:ascii="Arial Narrow" w:hAnsi="Arial Narrow"/>
          <w:sz w:val="22"/>
          <w:szCs w:val="22"/>
        </w:rPr>
        <w:t xml:space="preserve">) summary of the week’s readings and two or three questions for class discussion.  Posts will be due by 12:00 noon on Monday, and </w:t>
      </w:r>
      <w:r>
        <w:rPr>
          <w:rFonts w:ascii="Arial Narrow" w:hAnsi="Arial Narrow"/>
          <w:sz w:val="22"/>
          <w:szCs w:val="22"/>
        </w:rPr>
        <w:t xml:space="preserve">during the next several days </w:t>
      </w:r>
      <w:r w:rsidR="00584A58">
        <w:rPr>
          <w:rFonts w:ascii="Arial Narrow" w:hAnsi="Arial Narrow"/>
          <w:sz w:val="22"/>
          <w:szCs w:val="22"/>
        </w:rPr>
        <w:t>students will review all class postings and be prepared for small-group and full-group discussion in the Thursday class.</w:t>
      </w:r>
    </w:p>
    <w:p w:rsidR="00A872F2" w:rsidRPr="007D1C56" w:rsidRDefault="00A872F2" w:rsidP="00A872F2">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p>
    <w:p w:rsidR="002003C8" w:rsidRPr="007D1C56" w:rsidRDefault="002003C8" w:rsidP="002003C8">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sidRPr="007D1C56">
        <w:rPr>
          <w:rFonts w:ascii="Arial Narrow" w:hAnsi="Arial Narrow"/>
          <w:b/>
          <w:sz w:val="22"/>
          <w:szCs w:val="22"/>
        </w:rPr>
        <w:t xml:space="preserve">Assignment </w:t>
      </w:r>
      <w:r w:rsidR="007E128A">
        <w:rPr>
          <w:rFonts w:ascii="Arial Narrow" w:hAnsi="Arial Narrow"/>
          <w:b/>
          <w:sz w:val="22"/>
          <w:szCs w:val="22"/>
        </w:rPr>
        <w:t>3</w:t>
      </w:r>
      <w:r w:rsidRPr="007D1C56">
        <w:rPr>
          <w:rFonts w:ascii="Arial Narrow" w:hAnsi="Arial Narrow"/>
          <w:b/>
          <w:sz w:val="22"/>
          <w:szCs w:val="22"/>
        </w:rPr>
        <w:t>:   Revisiting the Opinion Essay</w:t>
      </w:r>
    </w:p>
    <w:p w:rsidR="002003C8" w:rsidRPr="007D1C56" w:rsidRDefault="007E128A" w:rsidP="002003C8">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Pr>
          <w:rFonts w:ascii="Arial Narrow" w:hAnsi="Arial Narrow"/>
          <w:sz w:val="22"/>
          <w:szCs w:val="22"/>
        </w:rPr>
        <w:t>All students</w:t>
      </w:r>
      <w:r w:rsidR="002003C8" w:rsidRPr="007D1C56">
        <w:rPr>
          <w:rFonts w:ascii="Arial Narrow" w:hAnsi="Arial Narrow"/>
          <w:sz w:val="22"/>
          <w:szCs w:val="22"/>
        </w:rPr>
        <w:t xml:space="preserve"> will be required to </w:t>
      </w:r>
      <w:r>
        <w:rPr>
          <w:rFonts w:ascii="Arial Narrow" w:hAnsi="Arial Narrow"/>
          <w:sz w:val="22"/>
          <w:szCs w:val="22"/>
        </w:rPr>
        <w:t xml:space="preserve">revisit and revise their </w:t>
      </w:r>
      <w:r w:rsidR="002003C8" w:rsidRPr="007D1C56">
        <w:rPr>
          <w:rFonts w:ascii="Arial Narrow" w:hAnsi="Arial Narrow"/>
          <w:sz w:val="22"/>
          <w:szCs w:val="22"/>
        </w:rPr>
        <w:t>Assignment 1</w:t>
      </w:r>
      <w:r>
        <w:rPr>
          <w:rFonts w:ascii="Arial Narrow" w:hAnsi="Arial Narrow"/>
          <w:sz w:val="22"/>
          <w:szCs w:val="22"/>
        </w:rPr>
        <w:t xml:space="preserve"> essays</w:t>
      </w:r>
      <w:r w:rsidR="002003C8" w:rsidRPr="007D1C56">
        <w:rPr>
          <w:rFonts w:ascii="Arial Narrow" w:hAnsi="Arial Narrow"/>
          <w:sz w:val="22"/>
          <w:szCs w:val="22"/>
        </w:rPr>
        <w:t xml:space="preserve">. Again, there are no “right” answers, just well-supported arguments. </w:t>
      </w:r>
    </w:p>
    <w:p w:rsidR="002003C8" w:rsidRPr="007D1C56" w:rsidRDefault="002003C8"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p>
    <w:p w:rsidR="00711BF7" w:rsidRPr="007D1C56" w:rsidRDefault="002003C8"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sidRPr="007D1C56">
        <w:rPr>
          <w:rFonts w:ascii="Arial Narrow" w:hAnsi="Arial Narrow"/>
          <w:b/>
          <w:sz w:val="22"/>
          <w:szCs w:val="22"/>
        </w:rPr>
        <w:t xml:space="preserve">Assignment </w:t>
      </w:r>
      <w:r w:rsidR="007E128A">
        <w:rPr>
          <w:rFonts w:ascii="Arial Narrow" w:hAnsi="Arial Narrow"/>
          <w:b/>
          <w:sz w:val="22"/>
          <w:szCs w:val="22"/>
        </w:rPr>
        <w:t>4</w:t>
      </w:r>
      <w:r w:rsidRPr="007D1C56">
        <w:rPr>
          <w:rFonts w:ascii="Arial Narrow" w:hAnsi="Arial Narrow"/>
          <w:b/>
          <w:sz w:val="22"/>
          <w:szCs w:val="22"/>
        </w:rPr>
        <w:t>:  Assessing Sustainability (report and presentation)</w:t>
      </w:r>
    </w:p>
    <w:p w:rsidR="003D1C07" w:rsidRPr="007D1C56" w:rsidRDefault="002C724F" w:rsidP="00522AC2">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sidRPr="007D1C56">
        <w:rPr>
          <w:rFonts w:ascii="Arial Narrow" w:hAnsi="Arial Narrow"/>
          <w:sz w:val="22"/>
          <w:szCs w:val="22"/>
        </w:rPr>
        <w:t xml:space="preserve">Students will work in </w:t>
      </w:r>
      <w:r w:rsidRPr="003771D6">
        <w:rPr>
          <w:rFonts w:ascii="Arial Narrow" w:hAnsi="Arial Narrow"/>
          <w:sz w:val="22"/>
          <w:szCs w:val="22"/>
        </w:rPr>
        <w:t xml:space="preserve">teams </w:t>
      </w:r>
      <w:r w:rsidR="00584A58">
        <w:rPr>
          <w:rFonts w:ascii="Arial Narrow" w:hAnsi="Arial Narrow"/>
          <w:sz w:val="22"/>
          <w:szCs w:val="22"/>
        </w:rPr>
        <w:t xml:space="preserve">of three of four </w:t>
      </w:r>
      <w:r w:rsidRPr="007D1C56">
        <w:rPr>
          <w:rFonts w:ascii="Arial Narrow" w:hAnsi="Arial Narrow"/>
          <w:sz w:val="22"/>
          <w:szCs w:val="22"/>
        </w:rPr>
        <w:t xml:space="preserve">to assess the sustainability of a local project. </w:t>
      </w:r>
      <w:r w:rsidR="00584A58">
        <w:rPr>
          <w:rFonts w:ascii="Arial Narrow" w:hAnsi="Arial Narrow"/>
          <w:sz w:val="22"/>
          <w:szCs w:val="22"/>
        </w:rPr>
        <w:t xml:space="preserve"> This year’s project will be the Atlanta Beltline.  Each group will conduct a sustainability assessment of one of the Beltline segments in terms of the environmental, economic, and social impacts on the neighborhood surrounding the team’s segment.  The assessment will also address at least three of the substantive dimensions of urban sustainability</w:t>
      </w:r>
      <w:r w:rsidR="007E128A">
        <w:rPr>
          <w:rFonts w:ascii="Arial Narrow" w:hAnsi="Arial Narrow"/>
          <w:sz w:val="22"/>
          <w:szCs w:val="22"/>
        </w:rPr>
        <w:t xml:space="preserve"> and present recommendations to enhance the </w:t>
      </w:r>
      <w:r w:rsidR="004354DD">
        <w:rPr>
          <w:rFonts w:ascii="Arial Narrow" w:hAnsi="Arial Narrow"/>
          <w:sz w:val="22"/>
          <w:szCs w:val="22"/>
        </w:rPr>
        <w:t xml:space="preserve">project’s sustainability. </w:t>
      </w:r>
      <w:r w:rsidR="007E128A">
        <w:rPr>
          <w:rFonts w:ascii="Arial Narrow" w:hAnsi="Arial Narrow"/>
          <w:sz w:val="22"/>
          <w:szCs w:val="22"/>
        </w:rPr>
        <w:t>The results of the project</w:t>
      </w:r>
      <w:r w:rsidR="00522AC2" w:rsidRPr="007D1C56">
        <w:rPr>
          <w:rFonts w:ascii="Arial Narrow" w:hAnsi="Arial Narrow"/>
          <w:sz w:val="22"/>
          <w:szCs w:val="22"/>
        </w:rPr>
        <w:t xml:space="preserve"> will be presented in a professional presentation.</w:t>
      </w:r>
    </w:p>
    <w:p w:rsidR="00581C9D" w:rsidRPr="007D1C56" w:rsidRDefault="00581C9D"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5C368C" w:rsidRPr="007D1C56" w:rsidRDefault="00711BF7"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sidRPr="007D1C56">
        <w:rPr>
          <w:rFonts w:ascii="Arial Narrow" w:hAnsi="Arial Narrow"/>
          <w:b/>
          <w:sz w:val="22"/>
          <w:szCs w:val="22"/>
        </w:rPr>
        <w:t>Participation</w:t>
      </w:r>
    </w:p>
    <w:p w:rsidR="00046EF5" w:rsidRDefault="005C368C"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Pr>
          <w:rFonts w:ascii="Arial Narrow" w:hAnsi="Arial Narrow"/>
          <w:sz w:val="22"/>
          <w:szCs w:val="22"/>
        </w:rPr>
        <w:t xml:space="preserve">The course requires students to be fully engaged in the classroom.  This includes meaningful focus during lectures, appropriate and relevant questions, and class participation.  </w:t>
      </w:r>
      <w:r w:rsidR="00046EF5" w:rsidRPr="007D1C56">
        <w:rPr>
          <w:rFonts w:ascii="Arial Narrow" w:hAnsi="Arial Narrow"/>
          <w:sz w:val="22"/>
          <w:szCs w:val="22"/>
        </w:rPr>
        <w:t xml:space="preserve">Each student will also be required to participate in </w:t>
      </w:r>
      <w:r w:rsidR="008B2ACD" w:rsidRPr="007D1C56">
        <w:rPr>
          <w:rFonts w:ascii="Arial Narrow" w:hAnsi="Arial Narrow"/>
          <w:sz w:val="22"/>
          <w:szCs w:val="22"/>
        </w:rPr>
        <w:t>all</w:t>
      </w:r>
      <w:r w:rsidR="00046EF5" w:rsidRPr="007D1C56">
        <w:rPr>
          <w:rFonts w:ascii="Arial Narrow" w:hAnsi="Arial Narrow"/>
          <w:sz w:val="22"/>
          <w:szCs w:val="22"/>
        </w:rPr>
        <w:t xml:space="preserve"> discussions of the readings throughout the course</w:t>
      </w:r>
      <w:r w:rsidR="006E145E" w:rsidRPr="007D1C56">
        <w:rPr>
          <w:rFonts w:ascii="Arial Narrow" w:hAnsi="Arial Narrow"/>
          <w:sz w:val="22"/>
          <w:szCs w:val="22"/>
        </w:rPr>
        <w:t xml:space="preserve">. </w:t>
      </w:r>
      <w:r w:rsidR="00046EF5" w:rsidRPr="007D1C56">
        <w:rPr>
          <w:rFonts w:ascii="Arial Narrow" w:hAnsi="Arial Narrow"/>
          <w:sz w:val="22"/>
          <w:szCs w:val="22"/>
        </w:rPr>
        <w:t>Participation is not simply talking, but saying something of value to the conversation, that is relevant, and that adds an insight or perspective to the topic</w:t>
      </w:r>
      <w:r w:rsidR="006E145E" w:rsidRPr="007D1C56">
        <w:rPr>
          <w:rFonts w:ascii="Arial Narrow" w:hAnsi="Arial Narrow"/>
          <w:sz w:val="22"/>
          <w:szCs w:val="22"/>
        </w:rPr>
        <w:t xml:space="preserve">. </w:t>
      </w:r>
      <w:r w:rsidR="00BE5559">
        <w:rPr>
          <w:rFonts w:ascii="Arial Narrow" w:hAnsi="Arial Narrow"/>
          <w:sz w:val="22"/>
          <w:szCs w:val="22"/>
        </w:rPr>
        <w:t>The instructors will provide periodic feedback to students</w:t>
      </w:r>
      <w:r>
        <w:rPr>
          <w:rFonts w:ascii="Arial Narrow" w:hAnsi="Arial Narrow"/>
          <w:sz w:val="22"/>
          <w:szCs w:val="22"/>
        </w:rPr>
        <w:t xml:space="preserve"> regarding class participation and, if needed, suggestions for improvement.</w:t>
      </w:r>
    </w:p>
    <w:p w:rsidR="007E128A" w:rsidRDefault="007E128A" w:rsidP="00046EF5">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7E128A" w:rsidRPr="007E128A" w:rsidRDefault="006A614E"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Pr>
          <w:rFonts w:ascii="Arial Narrow" w:hAnsi="Arial Narrow"/>
          <w:b/>
          <w:sz w:val="22"/>
          <w:szCs w:val="22"/>
        </w:rPr>
        <w:t>Midterm and Final Exams</w:t>
      </w:r>
    </w:p>
    <w:p w:rsidR="007E128A" w:rsidRPr="003C2F8B" w:rsidRDefault="007E128A" w:rsidP="00046EF5">
      <w:pPr>
        <w:tabs>
          <w:tab w:val="left" w:pos="3120"/>
          <w:tab w:val="left" w:pos="4800"/>
          <w:tab w:val="left" w:pos="6000"/>
          <w:tab w:val="left" w:pos="6840"/>
          <w:tab w:val="left" w:pos="7320"/>
          <w:tab w:val="left" w:pos="7800"/>
          <w:tab w:val="left" w:pos="8400"/>
        </w:tabs>
        <w:spacing w:line="240" w:lineRule="exact"/>
        <w:rPr>
          <w:rFonts w:ascii="Arial Narrow" w:hAnsi="Arial Narrow"/>
          <w:b/>
          <w:sz w:val="22"/>
          <w:szCs w:val="22"/>
        </w:rPr>
      </w:pPr>
      <w:r>
        <w:rPr>
          <w:rFonts w:ascii="Arial Narrow" w:hAnsi="Arial Narrow"/>
          <w:sz w:val="22"/>
          <w:szCs w:val="22"/>
        </w:rPr>
        <w:t>The course will have a midterm exam and a final exam.  The exam will include short answer questions related to sustainability concepts, applications, and calculations, plus two essay questions.  Five potential exam essay topics will be distributed to st</w:t>
      </w:r>
      <w:r w:rsidR="004354DD">
        <w:rPr>
          <w:rFonts w:ascii="Arial Narrow" w:hAnsi="Arial Narrow"/>
          <w:sz w:val="22"/>
          <w:szCs w:val="22"/>
        </w:rPr>
        <w:t>udents one week before the midterm and final</w:t>
      </w:r>
      <w:r>
        <w:rPr>
          <w:rFonts w:ascii="Arial Narrow" w:hAnsi="Arial Narrow"/>
          <w:sz w:val="22"/>
          <w:szCs w:val="22"/>
        </w:rPr>
        <w:t xml:space="preserve"> so students will have the opportunity to develop </w:t>
      </w:r>
      <w:r>
        <w:rPr>
          <w:rFonts w:ascii="Arial Narrow" w:hAnsi="Arial Narrow"/>
          <w:sz w:val="22"/>
          <w:szCs w:val="22"/>
        </w:rPr>
        <w:lastRenderedPageBreak/>
        <w:t>well-considered answers to the questions.</w:t>
      </w:r>
    </w:p>
    <w:p w:rsidR="00046EF5" w:rsidRPr="007D1C56" w:rsidRDefault="00046EF5" w:rsidP="00C023C0">
      <w:pPr>
        <w:tabs>
          <w:tab w:val="left" w:pos="3120"/>
          <w:tab w:val="left" w:pos="4800"/>
          <w:tab w:val="left" w:pos="6000"/>
          <w:tab w:val="left" w:pos="6840"/>
          <w:tab w:val="left" w:pos="7320"/>
          <w:tab w:val="left" w:pos="7800"/>
          <w:tab w:val="left" w:pos="8400"/>
        </w:tabs>
        <w:rPr>
          <w:rFonts w:ascii="Arial Narrow" w:hAnsi="Arial Narrow"/>
        </w:rPr>
      </w:pPr>
    </w:p>
    <w:p w:rsidR="0067233E" w:rsidRPr="007D1C56" w:rsidRDefault="0067233E" w:rsidP="00C023C0">
      <w:pPr>
        <w:tabs>
          <w:tab w:val="left" w:pos="3120"/>
          <w:tab w:val="left" w:pos="4800"/>
          <w:tab w:val="left" w:pos="6000"/>
          <w:tab w:val="left" w:pos="6840"/>
          <w:tab w:val="left" w:pos="7320"/>
          <w:tab w:val="left" w:pos="7800"/>
          <w:tab w:val="left" w:pos="8400"/>
        </w:tabs>
        <w:rPr>
          <w:rFonts w:ascii="Arial Narrow" w:hAnsi="Arial Narrow"/>
          <w:b/>
        </w:rPr>
      </w:pPr>
    </w:p>
    <w:p w:rsidR="00CC4641" w:rsidRDefault="00CC4641" w:rsidP="003B6243">
      <w:pPr>
        <w:rPr>
          <w:rFonts w:ascii="Arial Narrow" w:hAnsi="Arial Narrow"/>
          <w:b/>
          <w:sz w:val="28"/>
          <w:szCs w:val="28"/>
        </w:rPr>
      </w:pPr>
      <w:r w:rsidRPr="007D1C56">
        <w:rPr>
          <w:rFonts w:ascii="Arial Narrow" w:hAnsi="Arial Narrow"/>
          <w:b/>
          <w:sz w:val="28"/>
          <w:szCs w:val="28"/>
        </w:rPr>
        <w:t>SCHOLARLY CONDUCT:</w:t>
      </w:r>
    </w:p>
    <w:p w:rsidR="005E1B1F" w:rsidRPr="007D1C56" w:rsidRDefault="005E1B1F" w:rsidP="003B6243">
      <w:pPr>
        <w:rPr>
          <w:rFonts w:ascii="Arial Narrow" w:hAnsi="Arial Narrow"/>
          <w:b/>
          <w:sz w:val="28"/>
          <w:szCs w:val="28"/>
        </w:rPr>
      </w:pPr>
    </w:p>
    <w:p w:rsidR="002C5A5F" w:rsidRPr="007D1C56" w:rsidRDefault="002C5A5F" w:rsidP="002C5A5F">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sidRPr="007D1C56">
        <w:rPr>
          <w:rFonts w:ascii="Arial Narrow" w:hAnsi="Arial Narrow"/>
          <w:sz w:val="22"/>
          <w:szCs w:val="22"/>
        </w:rPr>
        <w:t xml:space="preserve">The Georgia Tech Honor Code is in effect throughout this course. You should review this code and make sure you understand your responsibilities. Plagiarism or other forms of violations of this Code will not be tolerated. </w:t>
      </w:r>
    </w:p>
    <w:p w:rsidR="002C5A5F" w:rsidRPr="007D1C56" w:rsidRDefault="002C5A5F" w:rsidP="002C5A5F">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046EF5" w:rsidRPr="007D1C56" w:rsidRDefault="00046EF5" w:rsidP="00C023C0">
      <w:pPr>
        <w:tabs>
          <w:tab w:val="left" w:pos="3120"/>
          <w:tab w:val="left" w:pos="4800"/>
          <w:tab w:val="left" w:pos="6000"/>
          <w:tab w:val="left" w:pos="6840"/>
          <w:tab w:val="left" w:pos="7320"/>
          <w:tab w:val="left" w:pos="7800"/>
          <w:tab w:val="left" w:pos="8400"/>
        </w:tabs>
        <w:spacing w:line="240" w:lineRule="exact"/>
        <w:ind w:right="-180"/>
        <w:rPr>
          <w:rFonts w:ascii="Arial Narrow" w:hAnsi="Arial Narrow"/>
          <w:sz w:val="22"/>
          <w:szCs w:val="22"/>
        </w:rPr>
      </w:pPr>
      <w:r w:rsidRPr="007D1C56">
        <w:rPr>
          <w:rFonts w:ascii="Arial Narrow" w:hAnsi="Arial Narrow"/>
          <w:sz w:val="22"/>
          <w:szCs w:val="22"/>
        </w:rPr>
        <w:t>All work must be completed on time</w:t>
      </w:r>
      <w:r w:rsidR="006E145E" w:rsidRPr="007D1C56">
        <w:rPr>
          <w:rFonts w:ascii="Arial Narrow" w:hAnsi="Arial Narrow"/>
          <w:sz w:val="22"/>
          <w:szCs w:val="22"/>
        </w:rPr>
        <w:t xml:space="preserve">. </w:t>
      </w:r>
      <w:r w:rsidRPr="007D1C56">
        <w:rPr>
          <w:rFonts w:ascii="Arial Narrow" w:hAnsi="Arial Narrow"/>
          <w:iCs/>
          <w:sz w:val="22"/>
          <w:szCs w:val="22"/>
        </w:rPr>
        <w:t>Work that is submitted late will receive reduced credit, except in highly unusual instances</w:t>
      </w:r>
      <w:r w:rsidR="006E145E" w:rsidRPr="007D1C56">
        <w:rPr>
          <w:rFonts w:ascii="Arial Narrow" w:hAnsi="Arial Narrow"/>
          <w:sz w:val="22"/>
          <w:szCs w:val="22"/>
        </w:rPr>
        <w:t xml:space="preserve">. </w:t>
      </w:r>
      <w:r w:rsidRPr="007D1C56">
        <w:rPr>
          <w:rFonts w:ascii="Arial Narrow" w:hAnsi="Arial Narrow"/>
          <w:sz w:val="22"/>
          <w:szCs w:val="22"/>
        </w:rPr>
        <w:t xml:space="preserve">Usually, </w:t>
      </w:r>
      <w:r w:rsidR="003B6243" w:rsidRPr="007D1C56">
        <w:rPr>
          <w:rFonts w:ascii="Arial Narrow" w:hAnsi="Arial Narrow"/>
          <w:sz w:val="22"/>
          <w:szCs w:val="22"/>
        </w:rPr>
        <w:t>10</w:t>
      </w:r>
      <w:r w:rsidR="00C023C0" w:rsidRPr="007D1C56">
        <w:rPr>
          <w:rFonts w:ascii="Arial Narrow" w:hAnsi="Arial Narrow"/>
          <w:sz w:val="22"/>
          <w:szCs w:val="22"/>
        </w:rPr>
        <w:t>%</w:t>
      </w:r>
      <w:r w:rsidRPr="007D1C56">
        <w:rPr>
          <w:rFonts w:ascii="Arial Narrow" w:hAnsi="Arial Narrow"/>
          <w:sz w:val="22"/>
          <w:szCs w:val="22"/>
        </w:rPr>
        <w:t xml:space="preserve"> of the total possible points will be deducted for each school day that an assignment is late</w:t>
      </w:r>
      <w:r w:rsidR="006E145E" w:rsidRPr="007D1C56">
        <w:rPr>
          <w:rFonts w:ascii="Arial Narrow" w:hAnsi="Arial Narrow"/>
          <w:sz w:val="22"/>
          <w:szCs w:val="22"/>
        </w:rPr>
        <w:t xml:space="preserve">. </w:t>
      </w:r>
    </w:p>
    <w:p w:rsidR="00046EF5" w:rsidRPr="007D1C56" w:rsidRDefault="00046EF5" w:rsidP="003B6243">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046EF5" w:rsidRPr="007D1C56" w:rsidRDefault="00046EF5" w:rsidP="003B6243">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r w:rsidRPr="007D1C56">
        <w:rPr>
          <w:rFonts w:ascii="Arial Narrow" w:hAnsi="Arial Narrow"/>
          <w:sz w:val="22"/>
          <w:szCs w:val="22"/>
        </w:rPr>
        <w:t>All written work is expected to be polished and professional</w:t>
      </w:r>
      <w:r w:rsidR="006E145E" w:rsidRPr="007D1C56">
        <w:rPr>
          <w:rFonts w:ascii="Arial Narrow" w:hAnsi="Arial Narrow"/>
          <w:sz w:val="22"/>
          <w:szCs w:val="22"/>
        </w:rPr>
        <w:t xml:space="preserve">. </w:t>
      </w:r>
      <w:r w:rsidRPr="007D1C56">
        <w:rPr>
          <w:rFonts w:ascii="Arial Narrow" w:hAnsi="Arial Narrow"/>
          <w:sz w:val="22"/>
          <w:szCs w:val="22"/>
        </w:rPr>
        <w:t>Clarity of expression, organization of materials, absence of typographical errors, correctness of grammar and spelling, and other communication skills are considered in evaluating written assignments</w:t>
      </w:r>
      <w:r w:rsidR="006E145E" w:rsidRPr="007D1C56">
        <w:rPr>
          <w:rFonts w:ascii="Arial Narrow" w:hAnsi="Arial Narrow"/>
          <w:sz w:val="22"/>
          <w:szCs w:val="22"/>
        </w:rPr>
        <w:t xml:space="preserve">. </w:t>
      </w:r>
      <w:r w:rsidRPr="007D1C56">
        <w:rPr>
          <w:rFonts w:ascii="Arial Narrow" w:hAnsi="Arial Narrow"/>
          <w:sz w:val="22"/>
          <w:szCs w:val="22"/>
        </w:rPr>
        <w:t>All oral presentations are expected to be well organized, professional, and with appropriate graphical or visual aids.</w:t>
      </w:r>
    </w:p>
    <w:p w:rsidR="00046EF5" w:rsidRPr="007D1C56" w:rsidRDefault="00046EF5" w:rsidP="003B6243">
      <w:pPr>
        <w:tabs>
          <w:tab w:val="left" w:pos="3120"/>
          <w:tab w:val="left" w:pos="4800"/>
          <w:tab w:val="left" w:pos="6000"/>
          <w:tab w:val="left" w:pos="6840"/>
          <w:tab w:val="left" w:pos="7320"/>
          <w:tab w:val="left" w:pos="7800"/>
          <w:tab w:val="left" w:pos="8400"/>
        </w:tabs>
        <w:spacing w:line="240" w:lineRule="exact"/>
        <w:rPr>
          <w:rFonts w:ascii="Arial Narrow" w:hAnsi="Arial Narrow"/>
          <w:sz w:val="22"/>
          <w:szCs w:val="22"/>
        </w:rPr>
      </w:pPr>
    </w:p>
    <w:p w:rsidR="0067233E" w:rsidRPr="007D1C56" w:rsidRDefault="005E1B1F" w:rsidP="0067233E">
      <w:pPr>
        <w:spacing w:line="240" w:lineRule="exact"/>
        <w:rPr>
          <w:rFonts w:ascii="Arial Narrow" w:hAnsi="Arial Narrow"/>
          <w:b/>
          <w:color w:val="000000"/>
          <w:sz w:val="22"/>
          <w:szCs w:val="22"/>
        </w:rPr>
      </w:pPr>
      <w:r>
        <w:rPr>
          <w:rFonts w:ascii="Arial Narrow" w:hAnsi="Arial Narrow"/>
          <w:color w:val="000000"/>
          <w:sz w:val="22"/>
          <w:szCs w:val="22"/>
        </w:rPr>
        <w:t>S</w:t>
      </w:r>
      <w:r w:rsidR="006668A1" w:rsidRPr="007D1C56">
        <w:rPr>
          <w:rFonts w:ascii="Arial Narrow" w:hAnsi="Arial Narrow"/>
          <w:color w:val="000000"/>
          <w:sz w:val="22"/>
          <w:szCs w:val="22"/>
        </w:rPr>
        <w:t xml:space="preserve">tudents </w:t>
      </w:r>
      <w:r>
        <w:rPr>
          <w:rFonts w:ascii="Arial Narrow" w:hAnsi="Arial Narrow"/>
          <w:color w:val="000000"/>
          <w:sz w:val="22"/>
          <w:szCs w:val="22"/>
        </w:rPr>
        <w:t xml:space="preserve">must </w:t>
      </w:r>
      <w:r w:rsidRPr="007D1C56">
        <w:rPr>
          <w:rFonts w:ascii="Arial Narrow" w:hAnsi="Arial Narrow"/>
          <w:color w:val="000000"/>
          <w:sz w:val="22"/>
          <w:szCs w:val="22"/>
        </w:rPr>
        <w:t>format</w:t>
      </w:r>
      <w:r w:rsidR="004E1A27" w:rsidRPr="007D1C56">
        <w:rPr>
          <w:rFonts w:ascii="Arial Narrow" w:hAnsi="Arial Narrow"/>
          <w:color w:val="000000"/>
          <w:sz w:val="22"/>
          <w:szCs w:val="22"/>
        </w:rPr>
        <w:t xml:space="preserve"> all citations and corresponding entries in the list of references according to the </w:t>
      </w:r>
      <w:r w:rsidR="004E1A27" w:rsidRPr="007D1C56">
        <w:rPr>
          <w:rStyle w:val="Emphasis"/>
          <w:rFonts w:ascii="Arial Narrow" w:hAnsi="Arial Narrow"/>
          <w:color w:val="000000"/>
          <w:sz w:val="22"/>
          <w:szCs w:val="22"/>
        </w:rPr>
        <w:t xml:space="preserve">Publication Manual of the American Psychological Association, Fifth Edition </w:t>
      </w:r>
      <w:r w:rsidR="004E1A27" w:rsidRPr="007D1C56">
        <w:rPr>
          <w:rFonts w:ascii="Arial Narrow" w:hAnsi="Arial Narrow"/>
          <w:color w:val="000000"/>
          <w:sz w:val="22"/>
          <w:szCs w:val="22"/>
        </w:rPr>
        <w:t xml:space="preserve">(American Psychological Association, 2001), except include both volume and issue number for all periodicals. When citing information from the web, include the date it was retrieved as well as the exact URL. Articles appearing the </w:t>
      </w:r>
      <w:r w:rsidR="004E1A27" w:rsidRPr="007D1C56">
        <w:rPr>
          <w:rFonts w:ascii="Arial Narrow" w:hAnsi="Arial Narrow"/>
          <w:i/>
          <w:color w:val="000000"/>
          <w:sz w:val="22"/>
          <w:szCs w:val="22"/>
        </w:rPr>
        <w:t xml:space="preserve">Journal of the American Planning Association </w:t>
      </w:r>
      <w:r w:rsidR="004E1A27" w:rsidRPr="007D1C56">
        <w:rPr>
          <w:rFonts w:ascii="Arial Narrow" w:hAnsi="Arial Narrow"/>
          <w:color w:val="000000"/>
          <w:sz w:val="22"/>
          <w:szCs w:val="22"/>
        </w:rPr>
        <w:t>use these guidelines and can be useful as an example (the journal is available in the Architecture Library).</w:t>
      </w:r>
    </w:p>
    <w:p w:rsidR="0067233E" w:rsidRPr="007D1C56" w:rsidRDefault="0067233E" w:rsidP="00C023C0">
      <w:pPr>
        <w:tabs>
          <w:tab w:val="left" w:pos="3120"/>
          <w:tab w:val="left" w:pos="4800"/>
          <w:tab w:val="left" w:pos="6000"/>
          <w:tab w:val="left" w:pos="6840"/>
          <w:tab w:val="left" w:pos="7320"/>
          <w:tab w:val="left" w:pos="7800"/>
          <w:tab w:val="left" w:pos="8400"/>
        </w:tabs>
        <w:rPr>
          <w:rFonts w:ascii="Arial Narrow" w:hAnsi="Arial Narrow"/>
        </w:rPr>
      </w:pPr>
    </w:p>
    <w:p w:rsidR="00C023C0" w:rsidRPr="007D1C56" w:rsidRDefault="00C023C0" w:rsidP="00C023C0">
      <w:pPr>
        <w:tabs>
          <w:tab w:val="left" w:pos="3120"/>
          <w:tab w:val="left" w:pos="4800"/>
          <w:tab w:val="left" w:pos="6000"/>
          <w:tab w:val="left" w:pos="6840"/>
          <w:tab w:val="left" w:pos="7320"/>
          <w:tab w:val="left" w:pos="7800"/>
          <w:tab w:val="left" w:pos="8400"/>
        </w:tabs>
        <w:rPr>
          <w:rFonts w:ascii="Arial Narrow" w:hAnsi="Arial Narrow"/>
        </w:rPr>
      </w:pPr>
    </w:p>
    <w:p w:rsidR="00CC4641" w:rsidRDefault="00CC4641" w:rsidP="003B6243">
      <w:pPr>
        <w:rPr>
          <w:rFonts w:ascii="Arial Narrow" w:hAnsi="Arial Narrow"/>
          <w:b/>
          <w:sz w:val="28"/>
          <w:szCs w:val="28"/>
        </w:rPr>
      </w:pPr>
      <w:r w:rsidRPr="007D1C56">
        <w:rPr>
          <w:rFonts w:ascii="Arial Narrow" w:hAnsi="Arial Narrow"/>
          <w:b/>
          <w:sz w:val="28"/>
          <w:szCs w:val="28"/>
        </w:rPr>
        <w:t>ACCOMMODATIONS:</w:t>
      </w:r>
    </w:p>
    <w:p w:rsidR="005E1B1F" w:rsidRPr="007D1C56" w:rsidRDefault="005E1B1F" w:rsidP="003B6243">
      <w:pPr>
        <w:rPr>
          <w:rFonts w:ascii="Arial Narrow" w:hAnsi="Arial Narrow"/>
          <w:b/>
          <w:sz w:val="28"/>
          <w:szCs w:val="28"/>
        </w:rPr>
      </w:pPr>
    </w:p>
    <w:p w:rsidR="00046EF5" w:rsidRDefault="003F5C27" w:rsidP="003B6243">
      <w:pPr>
        <w:tabs>
          <w:tab w:val="left" w:pos="1440"/>
          <w:tab w:val="left" w:pos="4800"/>
        </w:tabs>
        <w:spacing w:line="240" w:lineRule="exact"/>
        <w:rPr>
          <w:rFonts w:ascii="Arial Narrow" w:hAnsi="Arial Narrow"/>
          <w:sz w:val="22"/>
          <w:szCs w:val="22"/>
        </w:rPr>
      </w:pPr>
      <w:r>
        <w:rPr>
          <w:rFonts w:ascii="Arial Narrow" w:hAnsi="Arial Narrow"/>
          <w:sz w:val="22"/>
          <w:szCs w:val="22"/>
        </w:rPr>
        <w:t>Please let us know</w:t>
      </w:r>
      <w:r w:rsidR="00046EF5" w:rsidRPr="007D1C56">
        <w:rPr>
          <w:rFonts w:ascii="Arial Narrow" w:hAnsi="Arial Narrow"/>
          <w:sz w:val="22"/>
          <w:szCs w:val="22"/>
        </w:rPr>
        <w:t xml:space="preserve"> if you have any emergency medical information that we should know, or if you need special arrangements in the event the building must be evacuated.</w:t>
      </w:r>
    </w:p>
    <w:p w:rsidR="00BE5559" w:rsidRDefault="00BE5559" w:rsidP="003B6243">
      <w:pPr>
        <w:tabs>
          <w:tab w:val="left" w:pos="1440"/>
          <w:tab w:val="left" w:pos="4800"/>
        </w:tabs>
        <w:spacing w:line="240" w:lineRule="exact"/>
        <w:rPr>
          <w:rFonts w:ascii="Arial Narrow" w:hAnsi="Arial Narrow"/>
          <w:sz w:val="22"/>
          <w:szCs w:val="22"/>
        </w:rPr>
      </w:pPr>
    </w:p>
    <w:p w:rsidR="00BE5559" w:rsidRPr="007D1C56" w:rsidRDefault="00BE5559" w:rsidP="003B6243">
      <w:pPr>
        <w:tabs>
          <w:tab w:val="left" w:pos="1440"/>
          <w:tab w:val="left" w:pos="4800"/>
        </w:tabs>
        <w:spacing w:line="240" w:lineRule="exact"/>
        <w:rPr>
          <w:rFonts w:ascii="Arial Narrow" w:hAnsi="Arial Narrow"/>
          <w:sz w:val="22"/>
          <w:szCs w:val="22"/>
        </w:rPr>
      </w:pPr>
      <w:r>
        <w:rPr>
          <w:rFonts w:ascii="Arial Narrow" w:hAnsi="Arial Narrow"/>
          <w:sz w:val="22"/>
          <w:szCs w:val="22"/>
        </w:rPr>
        <w:t xml:space="preserve">Georgia Tech complies with regulations of the Americans with Disabilities Act of 1990 and offers accomodations to students with disabilities.  If you are in need of a classroom accomodation, please make an applintment with the Office of Disability Services to discuss the appropriate procedures.  Their website is </w:t>
      </w:r>
      <w:r w:rsidRPr="00BE5559">
        <w:rPr>
          <w:rFonts w:ascii="Arial Narrow" w:hAnsi="Arial Narrow"/>
          <w:sz w:val="22"/>
          <w:szCs w:val="22"/>
        </w:rPr>
        <w:t>www.disabilityservices.gatech.edu</w:t>
      </w:r>
      <w:r>
        <w:rPr>
          <w:rFonts w:ascii="Arial Narrow" w:hAnsi="Arial Narrow"/>
          <w:sz w:val="22"/>
          <w:szCs w:val="22"/>
        </w:rPr>
        <w:t>.</w:t>
      </w:r>
    </w:p>
    <w:p w:rsidR="00F322C7" w:rsidRPr="007D1C56" w:rsidRDefault="00F322C7" w:rsidP="00C023C0">
      <w:pPr>
        <w:rPr>
          <w:rFonts w:ascii="Arial Narrow" w:hAnsi="Arial Narrow"/>
          <w:b/>
        </w:rPr>
      </w:pPr>
    </w:p>
    <w:p w:rsidR="00F322C7" w:rsidRPr="007D1C56" w:rsidRDefault="00F322C7" w:rsidP="00C023C0">
      <w:pPr>
        <w:rPr>
          <w:rFonts w:ascii="Arial Narrow" w:hAnsi="Arial Narrow"/>
          <w:b/>
        </w:rPr>
      </w:pPr>
    </w:p>
    <w:p w:rsidR="00F82BC8" w:rsidRDefault="006A6554" w:rsidP="003B6243">
      <w:pPr>
        <w:rPr>
          <w:rFonts w:ascii="Arial Narrow" w:hAnsi="Arial Narrow"/>
          <w:b/>
          <w:sz w:val="28"/>
          <w:szCs w:val="28"/>
        </w:rPr>
      </w:pPr>
      <w:r w:rsidRPr="007D1C56">
        <w:rPr>
          <w:rFonts w:ascii="Arial Narrow" w:hAnsi="Arial Narrow"/>
          <w:b/>
          <w:sz w:val="28"/>
          <w:szCs w:val="28"/>
        </w:rPr>
        <w:t>GRADING:</w:t>
      </w:r>
      <w:r w:rsidR="006A614E">
        <w:rPr>
          <w:rFonts w:ascii="Arial Narrow" w:hAnsi="Arial Narrow"/>
          <w:b/>
          <w:sz w:val="28"/>
          <w:szCs w:val="28"/>
        </w:rPr>
        <w:br/>
      </w:r>
    </w:p>
    <w:p w:rsidR="00171BCF" w:rsidRDefault="00D25D93" w:rsidP="00B35DC9">
      <w:pPr>
        <w:shd w:val="clear" w:color="auto" w:fill="FFFFFF"/>
        <w:tabs>
          <w:tab w:val="left" w:pos="720"/>
        </w:tabs>
        <w:rPr>
          <w:rFonts w:ascii="Arial Narrow" w:hAnsi="Arial Narrow"/>
          <w:b/>
          <w:sz w:val="28"/>
          <w:szCs w:val="28"/>
        </w:rPr>
      </w:pPr>
      <w:r w:rsidRPr="00D25D93">
        <w:rPr>
          <w:noProof/>
        </w:rPr>
        <w:drawing>
          <wp:inline distT="0" distB="0" distL="0" distR="0">
            <wp:extent cx="4485640" cy="2205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40" cy="2205355"/>
                    </a:xfrm>
                    <a:prstGeom prst="rect">
                      <a:avLst/>
                    </a:prstGeom>
                    <a:noFill/>
                    <a:ln>
                      <a:noFill/>
                    </a:ln>
                  </pic:spPr>
                </pic:pic>
              </a:graphicData>
            </a:graphic>
          </wp:inline>
        </w:drawing>
      </w:r>
      <w:r w:rsidR="00B35DC9">
        <w:rPr>
          <w:rFonts w:ascii="Arial Narrow" w:hAnsi="Arial Narrow"/>
          <w:b/>
          <w:bCs/>
          <w:color w:val="000000"/>
          <w:spacing w:val="-14"/>
          <w:sz w:val="28"/>
          <w:szCs w:val="28"/>
        </w:rPr>
        <w:br w:type="textWrapping" w:clear="all"/>
      </w:r>
      <w:r w:rsidR="00171BCF">
        <w:rPr>
          <w:rFonts w:ascii="Arial Narrow" w:hAnsi="Arial Narrow"/>
          <w:b/>
          <w:sz w:val="28"/>
          <w:szCs w:val="28"/>
        </w:rPr>
        <w:br/>
        <w:t>TEXTBOOKS:</w:t>
      </w:r>
      <w:r w:rsidR="00171BCF">
        <w:rPr>
          <w:rFonts w:ascii="Arial Narrow" w:hAnsi="Arial Narrow"/>
          <w:b/>
          <w:sz w:val="28"/>
          <w:szCs w:val="28"/>
        </w:rPr>
        <w:br/>
      </w:r>
    </w:p>
    <w:p w:rsidR="00B35DC9" w:rsidRPr="00B35DC9" w:rsidRDefault="00171BCF">
      <w:pPr>
        <w:widowControl/>
        <w:autoSpaceDE/>
        <w:autoSpaceDN/>
        <w:adjustRightInd/>
        <w:rPr>
          <w:rFonts w:ascii="Arial Narrow" w:hAnsi="Arial Narrow"/>
          <w:sz w:val="22"/>
          <w:szCs w:val="22"/>
        </w:rPr>
      </w:pPr>
      <w:r>
        <w:rPr>
          <w:rFonts w:ascii="Arial Narrow" w:hAnsi="Arial Narrow"/>
          <w:sz w:val="22"/>
          <w:szCs w:val="22"/>
        </w:rPr>
        <w:t xml:space="preserve">There are two required </w:t>
      </w:r>
      <w:r w:rsidR="00B35DC9">
        <w:rPr>
          <w:rFonts w:ascii="Arial Narrow" w:hAnsi="Arial Narrow"/>
          <w:sz w:val="22"/>
          <w:szCs w:val="22"/>
        </w:rPr>
        <w:t>textbooks for the course.  Additional readings are posted on the class tsquare site as pdf files within different folders for each week.  The required books are:</w:t>
      </w:r>
      <w:r w:rsidR="00B35DC9">
        <w:rPr>
          <w:rFonts w:ascii="Arial Narrow" w:hAnsi="Arial Narrow"/>
          <w:sz w:val="22"/>
          <w:szCs w:val="22"/>
        </w:rPr>
        <w:br/>
      </w:r>
      <w:r>
        <w:rPr>
          <w:rFonts w:ascii="Arial Narrow" w:hAnsi="Arial Narrow"/>
          <w:sz w:val="22"/>
          <w:szCs w:val="22"/>
        </w:rPr>
        <w:br/>
        <w:t xml:space="preserve">Wheeler, Stephen M. and Timothy Beatley.  </w:t>
      </w:r>
      <w:r w:rsidR="005A1759">
        <w:rPr>
          <w:rFonts w:ascii="Arial Narrow" w:hAnsi="Arial Narrow"/>
          <w:sz w:val="22"/>
          <w:szCs w:val="22"/>
        </w:rPr>
        <w:t>(</w:t>
      </w:r>
      <w:r w:rsidR="00B35DC9">
        <w:rPr>
          <w:rFonts w:ascii="Arial Narrow" w:hAnsi="Arial Narrow"/>
          <w:sz w:val="22"/>
          <w:szCs w:val="22"/>
        </w:rPr>
        <w:t>2014</w:t>
      </w:r>
      <w:r w:rsidR="005A1759">
        <w:rPr>
          <w:rFonts w:ascii="Arial Narrow" w:hAnsi="Arial Narrow"/>
          <w:sz w:val="22"/>
          <w:szCs w:val="22"/>
        </w:rPr>
        <w:t>)</w:t>
      </w:r>
      <w:r w:rsidR="00B35DC9">
        <w:rPr>
          <w:rFonts w:ascii="Arial Narrow" w:hAnsi="Arial Narrow"/>
          <w:sz w:val="22"/>
          <w:szCs w:val="22"/>
        </w:rPr>
        <w:t>.  The Sustainable Urban Development Reader, 3</w:t>
      </w:r>
      <w:r w:rsidR="00B35DC9" w:rsidRPr="00B35DC9">
        <w:rPr>
          <w:rFonts w:ascii="Arial Narrow" w:hAnsi="Arial Narrow"/>
          <w:sz w:val="22"/>
          <w:szCs w:val="22"/>
        </w:rPr>
        <w:t>rd</w:t>
      </w:r>
      <w:r w:rsidR="00B35DC9">
        <w:rPr>
          <w:rFonts w:ascii="Arial Narrow" w:hAnsi="Arial Narrow"/>
          <w:sz w:val="22"/>
          <w:szCs w:val="22"/>
        </w:rPr>
        <w:t xml:space="preserve"> edition.  Routledge, ISBN </w:t>
      </w:r>
      <w:r w:rsidR="00B35DC9" w:rsidRPr="00B35DC9">
        <w:rPr>
          <w:rFonts w:ascii="Arial Narrow" w:hAnsi="Arial Narrow"/>
          <w:sz w:val="22"/>
          <w:szCs w:val="22"/>
        </w:rPr>
        <w:t>978-0415707763.  (Abbreviated as SUDR in the readings list).</w:t>
      </w:r>
    </w:p>
    <w:p w:rsidR="003078DF" w:rsidRPr="00B35DC9" w:rsidRDefault="00B35DC9">
      <w:pPr>
        <w:widowControl/>
        <w:autoSpaceDE/>
        <w:autoSpaceDN/>
        <w:adjustRightInd/>
        <w:rPr>
          <w:rFonts w:ascii="Arial Narrow" w:hAnsi="Arial Narrow"/>
          <w:sz w:val="22"/>
          <w:szCs w:val="22"/>
        </w:rPr>
      </w:pPr>
      <w:r w:rsidRPr="00B35DC9">
        <w:rPr>
          <w:rFonts w:ascii="Arial Narrow" w:hAnsi="Arial Narrow"/>
          <w:sz w:val="22"/>
          <w:szCs w:val="22"/>
        </w:rPr>
        <w:t xml:space="preserve">Portney, Kent E.  </w:t>
      </w:r>
      <w:r w:rsidR="005A1759">
        <w:rPr>
          <w:rFonts w:ascii="Arial Narrow" w:hAnsi="Arial Narrow"/>
          <w:sz w:val="22"/>
          <w:szCs w:val="22"/>
        </w:rPr>
        <w:t>(</w:t>
      </w:r>
      <w:r w:rsidRPr="00B35DC9">
        <w:rPr>
          <w:rFonts w:ascii="Arial Narrow" w:hAnsi="Arial Narrow"/>
          <w:sz w:val="22"/>
          <w:szCs w:val="22"/>
        </w:rPr>
        <w:t>2013</w:t>
      </w:r>
      <w:r w:rsidR="005A1759">
        <w:rPr>
          <w:rFonts w:ascii="Arial Narrow" w:hAnsi="Arial Narrow"/>
          <w:sz w:val="22"/>
          <w:szCs w:val="22"/>
        </w:rPr>
        <w:t>)</w:t>
      </w:r>
      <w:r w:rsidRPr="00B35DC9">
        <w:rPr>
          <w:rFonts w:ascii="Arial Narrow" w:hAnsi="Arial Narrow"/>
          <w:sz w:val="22"/>
          <w:szCs w:val="22"/>
        </w:rPr>
        <w:t>.  Taking Sustainable Cities Seriously: Economic Development, the Environment, and Quality of Life in American Cities</w:t>
      </w:r>
      <w:r w:rsidR="00D25D93">
        <w:rPr>
          <w:rFonts w:ascii="Arial Narrow" w:hAnsi="Arial Narrow"/>
          <w:sz w:val="22"/>
          <w:szCs w:val="22"/>
        </w:rPr>
        <w:t xml:space="preserve">, </w:t>
      </w:r>
      <w:r w:rsidR="005A1759" w:rsidRPr="00B35DC9">
        <w:rPr>
          <w:rFonts w:ascii="Arial Narrow" w:hAnsi="Arial Narrow"/>
          <w:sz w:val="22"/>
          <w:szCs w:val="22"/>
        </w:rPr>
        <w:t>2nd edition.  MIT Press, ISBN 978-0262518277.  (Abbreviated as TSCS in the readings list.)</w:t>
      </w:r>
    </w:p>
    <w:p w:rsidR="00171BCF" w:rsidRDefault="00171BCF">
      <w:pPr>
        <w:widowControl/>
        <w:autoSpaceDE/>
        <w:autoSpaceDN/>
        <w:adjustRightInd/>
        <w:rPr>
          <w:rFonts w:ascii="Arial Narrow" w:hAnsi="Arial Narrow"/>
          <w:b/>
          <w:sz w:val="28"/>
          <w:szCs w:val="28"/>
        </w:rPr>
      </w:pPr>
      <w:r>
        <w:rPr>
          <w:rFonts w:ascii="Arial Narrow" w:hAnsi="Arial Narrow"/>
          <w:b/>
          <w:sz w:val="28"/>
          <w:szCs w:val="28"/>
        </w:rPr>
        <w:br w:type="page"/>
      </w:r>
    </w:p>
    <w:p w:rsidR="00171BCF" w:rsidRDefault="00B35DC9">
      <w:pPr>
        <w:widowControl/>
        <w:autoSpaceDE/>
        <w:autoSpaceDN/>
        <w:adjustRightInd/>
        <w:rPr>
          <w:rFonts w:ascii="Arial Narrow" w:hAnsi="Arial Narrow"/>
          <w:b/>
          <w:sz w:val="28"/>
          <w:szCs w:val="28"/>
        </w:rPr>
      </w:pPr>
      <w:r>
        <w:rPr>
          <w:rFonts w:ascii="Arial Narrow" w:hAnsi="Arial Narrow"/>
          <w:b/>
          <w:sz w:val="28"/>
          <w:szCs w:val="28"/>
        </w:rPr>
        <w:t xml:space="preserve">WEEKLY </w:t>
      </w:r>
      <w:r w:rsidR="00E92F67">
        <w:rPr>
          <w:rFonts w:ascii="Arial Narrow" w:hAnsi="Arial Narrow"/>
          <w:b/>
          <w:sz w:val="28"/>
          <w:szCs w:val="28"/>
        </w:rPr>
        <w:t>READINGS:</w:t>
      </w:r>
      <w:r w:rsidR="00E92F67">
        <w:rPr>
          <w:rFonts w:ascii="Arial Narrow" w:hAnsi="Arial Narrow"/>
          <w:b/>
          <w:sz w:val="28"/>
          <w:szCs w:val="28"/>
        </w:rPr>
        <w:br/>
      </w:r>
    </w:p>
    <w:tbl>
      <w:tblPr>
        <w:tblW w:w="0" w:type="auto"/>
        <w:tblInd w:w="78" w:type="dxa"/>
        <w:tblLayout w:type="fixed"/>
        <w:tblLook w:val="0000" w:firstRow="0" w:lastRow="0" w:firstColumn="0" w:lastColumn="0" w:noHBand="0" w:noVBand="0"/>
      </w:tblPr>
      <w:tblGrid>
        <w:gridCol w:w="642"/>
        <w:gridCol w:w="6616"/>
        <w:gridCol w:w="642"/>
      </w:tblGrid>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 Cities and urbanization</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Molotch, City as Growth Machine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rsidP="008808C2">
            <w:pPr>
              <w:widowControl/>
              <w:rPr>
                <w:rFonts w:ascii="Arial Narrow" w:hAnsi="Arial Narrow" w:cs="Calibri"/>
                <w:color w:val="000000"/>
                <w:sz w:val="22"/>
                <w:szCs w:val="22"/>
              </w:rPr>
            </w:pPr>
            <w:r w:rsidRPr="00171BCF">
              <w:rPr>
                <w:rFonts w:ascii="Arial Narrow" w:hAnsi="Arial Narrow" w:cs="Calibri"/>
                <w:color w:val="000000"/>
                <w:sz w:val="22"/>
                <w:szCs w:val="22"/>
              </w:rPr>
              <w:t>Ewing, Compactness vs. sprawl (</w:t>
            </w:r>
            <w:r w:rsidR="008808C2">
              <w:rPr>
                <w:rFonts w:ascii="Arial Narrow" w:hAnsi="Arial Narrow" w:cs="Calibri"/>
                <w:color w:val="000000"/>
                <w:sz w:val="22"/>
                <w:szCs w:val="22"/>
              </w:rPr>
              <w:t>SUDR: 130-137)</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Fry, Big City Growth Revival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European Commission, World and European Sustainable Cities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Conceptual foundations (TSCS: pp. 1-36)</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Summary (TSCS: pp. 323-334)</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2: Sustainability as a concept</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McDouough, Design for the Triple Top Line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Mumford, Cities (SUDR: 19-23)</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McHard, Plight and Prospect (SUDR: 39-44)</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Bruntland Commission, Towards Sustainable Development (SUDR: 66-70)</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McKibben, The End of Nature (SUDR: 71-77)</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3: The sustainability debate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Campbell, Green Cities (tsauare)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Solow, Economist's Perspective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Gunder, Sustainability: Planning's Saving Grace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Leopold, The Land Ethic (SUDR: 24-33)</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4: Measuring sustainability</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Measuring the seriousness (TSCS: 37-88)</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Kristensen, The DPSIR Framework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Ross, Measuring transportation sustainability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Haughton, Environmenal Justice (tsquare)</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5: Economics element</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Gastparatos, Critical review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Harnick, Value of city park system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Glaeser, Greeness of Cities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Cost-benefit analysis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Kelman, Ethical critique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Leonard, cost-benefit analysis defended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Economic development (TSCS:  123-150)</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6: Environment element</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Wackernagel, Ecological footprint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McManus, Planning with ecological footprints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Beatley, Biophilic (SUDR: 181-183)</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Riley, Restoration (SUDR: 184-189)</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Steiner, Landscape (SUDR: 190-194)</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7: Social element</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More egalitarian place (TSCS: 187-204)</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Bullard, People of Color (SUDR: 235-241)</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Perlman, Fighting poverty (SUDR: 248-260)</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Corburn, Confronting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Rainham, Public health (tsquare)</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8: Sustainable energy and climate change</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rsidP="00171BCF">
            <w:pPr>
              <w:widowControl/>
              <w:ind w:left="720"/>
              <w:rPr>
                <w:rFonts w:ascii="Arial Narrow" w:hAnsi="Arial Narrow" w:cs="Calibri"/>
                <w:color w:val="000000"/>
                <w:sz w:val="22"/>
                <w:szCs w:val="22"/>
              </w:rPr>
            </w:pPr>
            <w:r w:rsidRPr="00171BCF">
              <w:rPr>
                <w:rFonts w:ascii="Arial Narrow" w:hAnsi="Arial Narrow" w:cs="Calibri"/>
                <w:color w:val="000000"/>
                <w:sz w:val="22"/>
                <w:szCs w:val="22"/>
              </w:rPr>
              <w:t>Portney, Environment &amp; energy (TSCS:  89-122)</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Girardet, Metabolism (SUDR: 197-204)</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Brown, Harnessing (SUDR: 205-213)</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Yohe, Perspectives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Pacala, Wedges (SUDR: 93-100)</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Buckley, Low carbon (SUDR: 101-106)</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Solecki, Urbanization (SUDR: 107-116)</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10: Sustainable transportation</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Ross, Measuring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Gibson, Sustainability assessment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Cervero, Transit (SUDR: 153-160)</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Newman, Traffic calming (SUDR: 161-167)</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Pucher, Cycling (SUDR: 168-178)</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11: Green architecture and buildings</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Vale, Green architecture (SUDR: 318-322)</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Eisenberg, Building Codes (SUDR: 323-327)</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US Green Buildings Council, Introduction (SUDR: 328-333)</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Sharp, Cost effective (SUDR: 334-336)</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12: Impacts of growth controls and smart growth</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Nelson, TDR handbook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Porter, Managing growth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Martin, Containment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Zovanyi, Growth management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Ewing, Compactness (SUDR: 130-137)</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Wheeler, Infill (SUDR: 138-145)</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13: Sustainability and green infrastructure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Benedict, Green infrastructure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Chiesura, Urban parks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Alvarez, Green infrastructure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Gehl, Outdoor space (SUDR: 146-150)</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14: Community engagement for sustainability</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Communitarian &amp; Participatory (TSCS: 151-186)</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Arnstein, Ladder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Davidoff, Advocacy (tsquare)</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Hsu, Social media (SUDR: 389-391)</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Lerner, Politics (SUDR: 400-405)</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15: Urban sustainability case studies</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Case studies (TSCS: 229-322)</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Wheeler, Case studies (SUDR: 495-562)</w:t>
            </w: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jc w:val="right"/>
              <w:rPr>
                <w:rFonts w:ascii="Arial Narrow" w:hAnsi="Arial Narrow" w:cs="Calibri"/>
                <w:color w:val="000000"/>
                <w:sz w:val="22"/>
                <w:szCs w:val="22"/>
              </w:rPr>
            </w:pPr>
          </w:p>
        </w:tc>
      </w:tr>
      <w:tr w:rsidR="00171BCF" w:rsidRPr="00171BCF" w:rsidTr="00171BCF">
        <w:trPr>
          <w:gridAfter w:val="1"/>
          <w:wAfter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Week 16: Urban governance, efficiency &amp; implementation</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Portney, Implementation (TSCS: 205-228)</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171BCF"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Svedin, Governance (SUDR: 392-399)</w:t>
            </w:r>
          </w:p>
        </w:tc>
      </w:tr>
      <w:tr w:rsidR="00171BCF" w:rsidRPr="00171BCF" w:rsidTr="00171BCF">
        <w:trPr>
          <w:gridBefore w:val="1"/>
          <w:wBefore w:w="642" w:type="dxa"/>
          <w:trHeight w:val="290"/>
        </w:trPr>
        <w:tc>
          <w:tcPr>
            <w:tcW w:w="7258" w:type="dxa"/>
            <w:gridSpan w:val="2"/>
            <w:tcBorders>
              <w:top w:val="nil"/>
              <w:left w:val="nil"/>
              <w:bottom w:val="nil"/>
              <w:right w:val="nil"/>
            </w:tcBorders>
          </w:tcPr>
          <w:p w:rsidR="00936A0B" w:rsidRPr="00171BCF" w:rsidRDefault="00171BCF">
            <w:pPr>
              <w:widowControl/>
              <w:rPr>
                <w:rFonts w:ascii="Arial Narrow" w:hAnsi="Arial Narrow" w:cs="Calibri"/>
                <w:color w:val="000000"/>
                <w:sz w:val="22"/>
                <w:szCs w:val="22"/>
              </w:rPr>
            </w:pPr>
            <w:r w:rsidRPr="00171BCF">
              <w:rPr>
                <w:rFonts w:ascii="Arial Narrow" w:hAnsi="Arial Narrow" w:cs="Calibri"/>
                <w:color w:val="000000"/>
                <w:sz w:val="22"/>
                <w:szCs w:val="22"/>
              </w:rPr>
              <w:t>Rowland, Sustainable governance (tsquare)</w:t>
            </w:r>
            <w:r w:rsidR="00936A0B">
              <w:rPr>
                <w:rFonts w:ascii="Arial Narrow" w:hAnsi="Arial Narrow" w:cs="Calibri"/>
                <w:color w:val="000000"/>
                <w:sz w:val="22"/>
                <w:szCs w:val="22"/>
              </w:rPr>
              <w:br/>
            </w:r>
            <w:r w:rsidR="00936A0B">
              <w:rPr>
                <w:rFonts w:ascii="Arial Narrow" w:hAnsi="Arial Narrow" w:cs="Calibri"/>
                <w:color w:val="000000"/>
                <w:sz w:val="22"/>
                <w:szCs w:val="22"/>
              </w:rPr>
              <w:br/>
            </w:r>
          </w:p>
        </w:tc>
      </w:tr>
    </w:tbl>
    <w:p w:rsidR="00936A0B" w:rsidRDefault="00936A0B">
      <w:pPr>
        <w:widowControl/>
        <w:autoSpaceDE/>
        <w:autoSpaceDN/>
        <w:adjustRightInd/>
        <w:rPr>
          <w:rFonts w:ascii="Arial Narrow" w:hAnsi="Arial Narrow"/>
          <w:b/>
          <w:sz w:val="28"/>
          <w:szCs w:val="28"/>
        </w:rPr>
      </w:pPr>
      <w:r>
        <w:rPr>
          <w:rFonts w:ascii="Arial Narrow" w:hAnsi="Arial Narrow"/>
          <w:b/>
          <w:sz w:val="28"/>
          <w:szCs w:val="28"/>
        </w:rPr>
        <w:t>READINGS BIBLIOGRAPHY:</w:t>
      </w:r>
    </w:p>
    <w:p w:rsidR="00936A0B" w:rsidRDefault="00936A0B">
      <w:pPr>
        <w:widowControl/>
        <w:autoSpaceDE/>
        <w:autoSpaceDN/>
        <w:adjustRightInd/>
        <w:rPr>
          <w:rFonts w:ascii="Arial Narrow" w:hAnsi="Arial Narrow"/>
          <w:b/>
          <w:sz w:val="28"/>
          <w:szCs w:val="28"/>
        </w:rPr>
      </w:pP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Alvarez, Leo. (2009). Green Infrastructure: Scale, Design and Connectivity. </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Arnstein, Sherry R. (1969). "A Ladder of Citizen Participation," Journal of the American Institute of Planners, Vol. 35, No. 4, July 1969, pp. 216-224.</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Benedict, M. A., &amp; McMahon, E. T. (2002). Green Infrastructure: Smart Conservation for the 21st Century. Renewable Resources Journal, 20(3), 12.</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Campbell, Scott.  (1996).  Green Cities, Growing Cities, Just Cities? Urban Planning and the Contradictions of Sustainable Development.  Journal of American Planning Association, Volume 62, number 3, pp. 296-312.</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Chiesura, Anna. (2004). The Role of Urban Parks for the Sustainable City.  Landscape and Urban Planning 68 (2004) 129-138.</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Corburn, J. (2004). Confronting the Challenges in Reconnecting Urban Planning and Public Health. American Journal of Public Health, 94(4), 541-549. </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Cost-Benefit Analysis.  (2003). Chapter 5 : Economics, Ethics and Ecology.  The Environmental Ethics and Policy Book.  Ed.  Donald VanDeVeer &amp; Christine Pierce.  3d ed.  Wadsworth/Thomson Learning.  Belmont, CA.  2003.  Pp.  336-341.</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Davidoff, Paul.  (1965).  “Advocacy and Pluralism in Planning.” Journal of the American Planning Association, Vol. 31, No. 4, July 1965, pp. 331-338.</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European Commission. (2010).World and European Sustainable Cities: Insights from EU research.”</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Fry, William H. (2013).“A Big City Growth Revival.”  The Cutting Edge.  http://www.thecuttingedgenews.com/index.php?article=80216. </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Gastparatos, Alexandros, Mohamed El-Haram, Malcolm Horner.  (2008). A Critical Review of Reductionist Approaches for Assessing the Progress Towards Sustainability.  Environmental Impact Assessment Review.  28 (2008) 286-311.</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Gibson, Robert. (2006). “Sustainability assessment: basic components of a practical approach.” Impact Assessment and Project Appraisal. Vol. 24. No. 3. pp. 170-182.</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Glaeser, Edward L., Matthew E. Kahn.  (2010). The Greenness of Cities:  Carbon Dioxide Emissions and Urban Development.  Journal of Urban Economics 67 (2010) 404-418.</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Gunder, Michael. (2006). “Sustainability: Planning’s Saving Grace or Road to Perdition?” Journal of Planning Education and Research. Pp. 208-221.</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Harnick, Peter and Ben Welle.  (2009). Measuring the Economic Value of a City Park System.  The Trust for Public Land. </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Haughton, Graham.  (1999). Environmental Justice and the Sustainable City.  Journal of Planning Education and Research.  1999; 18; 233.</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Kelman, Stephen.  (2003). Cost-Benefit Analysis:  An Ethical Critique.  Chapter 5 : Economics, Ethics and Ecology.  The Environmental Ethics and Policy Book.  Ed.  Donald VanDeVeer &amp; Christine Pierce.  3d ed.  Wadsworth/Thomson Learning.  Belmont, CA.  Pp.  341-347.</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Kristensen, Peter.  The DPSIR Framework.  National Environmental Research Institute, Denmark.  Department of Policy Analysis.</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Leonard, Herman B., Richard J. Zeckhauser.  (2003). Cost-Benefit Analysis Defended.  Chapter 5 : Economics, Ethics and Ecology.  The Environmental Ethics and Policy Book.  Ed.  Donald VanDeVeer &amp; Christine Pierce.  3d ed.  Wadsworth/Thomson Learning.  Belmont, CA. Pp.  347-350.</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Martin, Jonathan, Rolf Pendall, &amp; William Fulton. (2002). Holding the Line: Urban Containment in the United States. A Discussion Paper Prepared for The Brookings Institution Center on Urban and Metropolitan Policy.</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McDouough, William. (2002). “Design for the Triple Top Line”</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McManus, Phil and Houghton, Graham. 2006. “Planning with Ecological Footprints: a sympathetic critique of theory and practice.” Environment and Urbanization. Vol. 18. No. 1. pp. 113-127.</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Molotch, Harvey.  (1976). “The City as a Growth Machine: Toward a Political Economy of Place.”  American Journal of Sociology Vol. 82, No. 2 (Sep., 1976), pp. 309-332.</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Nelson, A.C., R. Pruetz, and D. Woodruff. (2011). The TDR Handbook: Designing and Implementing Transfer of Development Rights Programs. Island Press: Washington/Covelo/London.</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Porter, Douglas R. (2008). Managing Growth in America’s Communities, Island Press. pp.1-35</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Rainham, D. , &amp; McDowell, I. (2005). The Sustainability of Population Health. Population and Environment, 26(4), 303-324. </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Ross, Catherine L., Bruce Stiftel, Myungje Woo, &amp; Arthi Rao. (2011). Fall 2010/Winter. Measuring Regional Transport Sustainability: An Exploration. The Urban Lawyer, Vol. 42(4)/43(1), pp. 67-89.</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Rowland, Marty. (2008). Sustainable Urban Governance: Lessons from Katrina and the Lean Six Sigma. Sustainability. Vol. 1 No. 5. October 2008. </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Solow, Robert M.  (2003). Sustainability:  An Economist’s Perspective.  Chapter 5: Economics, Ethics and Ecology.  The Environmental Ethics and Policy Book.  Ed.  Donald VanDeVeer &amp; Christine Pierce.  3d ed.  Wadsworth/Thomson Learning.  Belmont, CA. Pp.  438-443.</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Wackernagel, Mathis et al. (2006). “The ecological footprint of cities and regions:  comparing resource availability with resource demand.” Environment and Urbanization. Vol. 18. no. 1. pp. 103-112.</w:t>
      </w:r>
    </w:p>
    <w:p w:rsidR="00936A0B" w:rsidRPr="00936A0B" w:rsidRDefault="00936A0B" w:rsidP="00936A0B">
      <w:pPr>
        <w:widowControl/>
        <w:autoSpaceDE/>
        <w:autoSpaceDN/>
        <w:adjustRightInd/>
        <w:ind w:left="432" w:hanging="432"/>
        <w:rPr>
          <w:rFonts w:ascii="Arial Narrow" w:hAnsi="Arial Narrow"/>
          <w:sz w:val="22"/>
          <w:szCs w:val="22"/>
        </w:rPr>
      </w:pPr>
      <w:r w:rsidRPr="00936A0B">
        <w:rPr>
          <w:rFonts w:ascii="Arial Narrow" w:hAnsi="Arial Narrow"/>
          <w:sz w:val="22"/>
          <w:szCs w:val="22"/>
        </w:rPr>
        <w:t xml:space="preserve">Yohe, G.W., R.D. Lasco, Q.K. Ahmad, N.W. Arnell, S.J. Cohen, C. Hope, A.C.Janetos and R.T. Perez, 2007: Perspectives on climate change and sustainability. Climate Change 2007: Impacts, Adaptation and Vulnerability. Contribution of Working Group II to the FourthAssessment Report of the Intergovernmental Panel on Climate Change, M.L. Parry, O.F. Canziani, J.P. Palutikof, P.J. van der Linden and C.E. Hanson, Eds., Cambridge University Press, Cambridge, UK, 811-841. </w:t>
      </w:r>
    </w:p>
    <w:p w:rsidR="00E92F67" w:rsidRPr="00171BCF" w:rsidRDefault="00936A0B" w:rsidP="00936A0B">
      <w:pPr>
        <w:widowControl/>
        <w:autoSpaceDE/>
        <w:autoSpaceDN/>
        <w:adjustRightInd/>
        <w:ind w:left="432" w:hanging="432"/>
        <w:rPr>
          <w:rFonts w:ascii="Arial Narrow" w:hAnsi="Arial Narrow"/>
          <w:b/>
          <w:sz w:val="22"/>
          <w:szCs w:val="22"/>
        </w:rPr>
      </w:pPr>
      <w:r w:rsidRPr="00936A0B">
        <w:rPr>
          <w:rFonts w:ascii="Arial Narrow" w:hAnsi="Arial Narrow"/>
          <w:sz w:val="22"/>
          <w:szCs w:val="22"/>
        </w:rPr>
        <w:t>Zovanyi, Gabor. 1998. Growth Management for a Sustainable Future, PRAEGER. pp. 1-30.</w:t>
      </w:r>
      <w:r w:rsidR="00E92F67" w:rsidRPr="00171BCF">
        <w:rPr>
          <w:rFonts w:ascii="Arial Narrow" w:hAnsi="Arial Narrow"/>
          <w:b/>
          <w:sz w:val="22"/>
          <w:szCs w:val="22"/>
        </w:rPr>
        <w:br w:type="page"/>
      </w:r>
    </w:p>
    <w:p w:rsidR="00E92F67" w:rsidRDefault="00E92F67" w:rsidP="00E92F67">
      <w:pPr>
        <w:shd w:val="clear" w:color="auto" w:fill="FFFFFF"/>
        <w:tabs>
          <w:tab w:val="left" w:pos="720"/>
          <w:tab w:val="left" w:pos="2760"/>
        </w:tabs>
        <w:rPr>
          <w:rFonts w:ascii="Arial Narrow" w:hAnsi="Arial Narrow"/>
          <w:b/>
          <w:sz w:val="28"/>
          <w:szCs w:val="28"/>
        </w:rPr>
        <w:sectPr w:rsidR="00E92F67" w:rsidSect="006E145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60"/>
          <w:noEndnote/>
          <w:titlePg/>
          <w:docGrid w:linePitch="360"/>
        </w:sectPr>
      </w:pPr>
    </w:p>
    <w:p w:rsidR="005E1B1F" w:rsidRPr="007D1C56" w:rsidRDefault="006A614E" w:rsidP="00E92F67">
      <w:pPr>
        <w:shd w:val="clear" w:color="auto" w:fill="FFFFFF"/>
        <w:tabs>
          <w:tab w:val="left" w:pos="720"/>
          <w:tab w:val="left" w:pos="2760"/>
        </w:tabs>
        <w:rPr>
          <w:rFonts w:ascii="Arial Narrow" w:hAnsi="Arial Narrow"/>
          <w:b/>
          <w:bCs/>
          <w:color w:val="000000"/>
          <w:spacing w:val="-14"/>
          <w:sz w:val="28"/>
          <w:szCs w:val="28"/>
        </w:rPr>
      </w:pPr>
      <w:r>
        <w:rPr>
          <w:rFonts w:ascii="Arial Narrow" w:hAnsi="Arial Narrow"/>
          <w:b/>
          <w:sz w:val="28"/>
          <w:szCs w:val="28"/>
        </w:rPr>
        <w:t>CLASS SCHEDULE:</w:t>
      </w:r>
      <w:r w:rsidR="00E92F67">
        <w:rPr>
          <w:rFonts w:ascii="Arial Narrow" w:hAnsi="Arial Narrow"/>
          <w:b/>
          <w:sz w:val="28"/>
          <w:szCs w:val="28"/>
        </w:rPr>
        <w:tab/>
      </w:r>
      <w:r w:rsidR="00E92F67">
        <w:br/>
      </w:r>
      <w:r w:rsidR="005A1759" w:rsidRPr="005A1759">
        <w:rPr>
          <w:noProof/>
        </w:rPr>
        <w:drawing>
          <wp:inline distT="0" distB="0" distL="0" distR="0" wp14:anchorId="1D80A7BA" wp14:editId="6BAF4C21">
            <wp:extent cx="7820809" cy="570773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36423" cy="5719133"/>
                    </a:xfrm>
                    <a:prstGeom prst="rect">
                      <a:avLst/>
                    </a:prstGeom>
                    <a:noFill/>
                    <a:ln>
                      <a:noFill/>
                    </a:ln>
                  </pic:spPr>
                </pic:pic>
              </a:graphicData>
            </a:graphic>
          </wp:inline>
        </w:drawing>
      </w:r>
    </w:p>
    <w:sectPr w:rsidR="005E1B1F" w:rsidRPr="007D1C56" w:rsidSect="00E92F67">
      <w:pgSz w:w="15840" w:h="12240" w:orient="landscape"/>
      <w:pgMar w:top="1440" w:right="1440" w:bottom="1440" w:left="1440" w:header="720" w:footer="720" w:gutter="0"/>
      <w:cols w:space="6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98D" w:rsidRDefault="00E9798D">
      <w:r>
        <w:separator/>
      </w:r>
    </w:p>
  </w:endnote>
  <w:endnote w:type="continuationSeparator" w:id="0">
    <w:p w:rsidR="00E9798D" w:rsidRDefault="00E97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kzidenz Grotesk BE Bold">
    <w:altName w:val="Akzidenz Grotesk BE Bold"/>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8A" w:rsidRDefault="007E128A" w:rsidP="005B6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128A" w:rsidRDefault="007E128A" w:rsidP="005B6C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8A" w:rsidRPr="00745037" w:rsidRDefault="007E128A" w:rsidP="00745037">
    <w:pPr>
      <w:pStyle w:val="Footer"/>
      <w:pBdr>
        <w:top w:val="single" w:sz="4" w:space="1" w:color="auto"/>
      </w:pBdr>
      <w:tabs>
        <w:tab w:val="clear" w:pos="8640"/>
        <w:tab w:val="right" w:pos="9360"/>
      </w:tabs>
      <w:rPr>
        <w:rFonts w:ascii="Arial" w:hAnsi="Arial" w:cs="Arial"/>
        <w:sz w:val="18"/>
        <w:szCs w:val="18"/>
      </w:rPr>
    </w:pPr>
    <w:r w:rsidRPr="00745037">
      <w:rPr>
        <w:rFonts w:ascii="Arial" w:hAnsi="Arial" w:cs="Arial"/>
        <w:sz w:val="18"/>
        <w:szCs w:val="18"/>
      </w:rPr>
      <w:t>CP</w:t>
    </w:r>
    <w:r w:rsidR="00546609">
      <w:rPr>
        <w:rFonts w:ascii="Arial" w:hAnsi="Arial" w:cs="Arial"/>
        <w:sz w:val="18"/>
        <w:szCs w:val="18"/>
      </w:rPr>
      <w:t xml:space="preserve"> 2</w:t>
    </w:r>
    <w:r w:rsidR="00C7134A">
      <w:rPr>
        <w:rFonts w:ascii="Arial" w:hAnsi="Arial" w:cs="Arial"/>
        <w:sz w:val="18"/>
        <w:szCs w:val="18"/>
      </w:rPr>
      <w:t>233</w:t>
    </w:r>
    <w:r w:rsidR="00431512">
      <w:rPr>
        <w:rFonts w:ascii="Arial" w:hAnsi="Arial" w:cs="Arial"/>
        <w:sz w:val="18"/>
        <w:szCs w:val="18"/>
      </w:rPr>
      <w:t>: Sustainable Urban Development</w:t>
    </w:r>
    <w:r w:rsidRPr="00745037">
      <w:rPr>
        <w:rFonts w:ascii="Arial" w:hAnsi="Arial" w:cs="Arial"/>
        <w:sz w:val="18"/>
        <w:szCs w:val="18"/>
      </w:rPr>
      <w:tab/>
    </w:r>
    <w:r w:rsidR="005A1759">
      <w:rPr>
        <w:rFonts w:ascii="Arial" w:hAnsi="Arial" w:cs="Arial"/>
        <w:sz w:val="18"/>
        <w:szCs w:val="18"/>
      </w:rPr>
      <w:tab/>
    </w:r>
    <w:r w:rsidRPr="00745037">
      <w:rPr>
        <w:rStyle w:val="PageNumber"/>
        <w:rFonts w:ascii="Arial" w:hAnsi="Arial" w:cs="Arial"/>
        <w:sz w:val="18"/>
        <w:szCs w:val="18"/>
      </w:rPr>
      <w:fldChar w:fldCharType="begin"/>
    </w:r>
    <w:r w:rsidRPr="00745037">
      <w:rPr>
        <w:rStyle w:val="PageNumber"/>
        <w:rFonts w:ascii="Arial" w:hAnsi="Arial" w:cs="Arial"/>
        <w:sz w:val="18"/>
        <w:szCs w:val="18"/>
      </w:rPr>
      <w:instrText xml:space="preserve"> PAGE </w:instrText>
    </w:r>
    <w:r w:rsidRPr="00745037">
      <w:rPr>
        <w:rStyle w:val="PageNumber"/>
        <w:rFonts w:ascii="Arial" w:hAnsi="Arial" w:cs="Arial"/>
        <w:sz w:val="18"/>
        <w:szCs w:val="18"/>
      </w:rPr>
      <w:fldChar w:fldCharType="separate"/>
    </w:r>
    <w:r w:rsidR="000C30FB">
      <w:rPr>
        <w:rStyle w:val="PageNumber"/>
        <w:rFonts w:ascii="Arial" w:hAnsi="Arial" w:cs="Arial"/>
        <w:noProof/>
        <w:sz w:val="18"/>
        <w:szCs w:val="18"/>
      </w:rPr>
      <w:t>2</w:t>
    </w:r>
    <w:r w:rsidRPr="00745037">
      <w:rPr>
        <w:rStyle w:val="PageNumbe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28A" w:rsidRPr="00745037" w:rsidRDefault="007E128A" w:rsidP="00745037">
    <w:pPr>
      <w:pStyle w:val="Footer"/>
      <w:pBdr>
        <w:top w:val="single" w:sz="4" w:space="1" w:color="auto"/>
      </w:pBdr>
      <w:tabs>
        <w:tab w:val="clear" w:pos="8640"/>
        <w:tab w:val="right" w:pos="9360"/>
      </w:tabs>
      <w:rPr>
        <w:rFonts w:ascii="Arial" w:hAnsi="Arial" w:cs="Arial"/>
        <w:sz w:val="18"/>
        <w:szCs w:val="18"/>
      </w:rPr>
    </w:pPr>
    <w:r w:rsidRPr="00745037">
      <w:rPr>
        <w:rFonts w:ascii="Arial" w:hAnsi="Arial" w:cs="Arial"/>
        <w:sz w:val="18"/>
        <w:szCs w:val="18"/>
      </w:rPr>
      <w:t>CP</w:t>
    </w:r>
    <w:r w:rsidR="006A614E">
      <w:rPr>
        <w:rFonts w:ascii="Arial" w:hAnsi="Arial" w:cs="Arial"/>
        <w:sz w:val="18"/>
        <w:szCs w:val="18"/>
      </w:rPr>
      <w:t xml:space="preserve"> </w:t>
    </w:r>
    <w:r w:rsidR="00546609">
      <w:rPr>
        <w:rFonts w:ascii="Arial" w:hAnsi="Arial" w:cs="Arial"/>
        <w:sz w:val="18"/>
        <w:szCs w:val="18"/>
      </w:rPr>
      <w:t>2</w:t>
    </w:r>
    <w:r w:rsidR="00C7134A">
      <w:rPr>
        <w:rFonts w:ascii="Arial" w:hAnsi="Arial" w:cs="Arial"/>
        <w:sz w:val="18"/>
        <w:szCs w:val="18"/>
      </w:rPr>
      <w:t>233</w:t>
    </w:r>
    <w:r w:rsidR="006A614E">
      <w:rPr>
        <w:rFonts w:ascii="Arial" w:hAnsi="Arial" w:cs="Arial"/>
        <w:sz w:val="18"/>
        <w:szCs w:val="18"/>
      </w:rPr>
      <w:t>: Sustainable Urban Development</w:t>
    </w:r>
    <w:r w:rsidR="00732E78">
      <w:rPr>
        <w:rFonts w:ascii="Arial" w:hAnsi="Arial" w:cs="Arial"/>
        <w:sz w:val="18"/>
        <w:szCs w:val="18"/>
      </w:rPr>
      <w:tab/>
    </w:r>
    <w:r w:rsidR="00732E78">
      <w:rPr>
        <w:rFonts w:ascii="Arial" w:hAnsi="Arial" w:cs="Arial"/>
        <w:sz w:val="18"/>
        <w:szCs w:val="18"/>
      </w:rPr>
      <w:tab/>
    </w:r>
    <w:r w:rsidR="00732E78" w:rsidRPr="00732E78">
      <w:rPr>
        <w:rFonts w:ascii="Arial" w:hAnsi="Arial" w:cs="Arial"/>
        <w:sz w:val="18"/>
        <w:szCs w:val="18"/>
      </w:rPr>
      <w:fldChar w:fldCharType="begin"/>
    </w:r>
    <w:r w:rsidR="00732E78" w:rsidRPr="00732E78">
      <w:rPr>
        <w:rFonts w:ascii="Arial" w:hAnsi="Arial" w:cs="Arial"/>
        <w:sz w:val="18"/>
        <w:szCs w:val="18"/>
      </w:rPr>
      <w:instrText xml:space="preserve"> PAGE   \* MERGEFORMAT </w:instrText>
    </w:r>
    <w:r w:rsidR="00732E78" w:rsidRPr="00732E78">
      <w:rPr>
        <w:rFonts w:ascii="Arial" w:hAnsi="Arial" w:cs="Arial"/>
        <w:sz w:val="18"/>
        <w:szCs w:val="18"/>
      </w:rPr>
      <w:fldChar w:fldCharType="separate"/>
    </w:r>
    <w:r w:rsidR="000C30FB">
      <w:rPr>
        <w:rFonts w:ascii="Arial" w:hAnsi="Arial" w:cs="Arial"/>
        <w:noProof/>
        <w:sz w:val="18"/>
        <w:szCs w:val="18"/>
      </w:rPr>
      <w:t>1</w:t>
    </w:r>
    <w:r w:rsidR="00732E78" w:rsidRPr="00732E78">
      <w:rPr>
        <w:rFonts w:ascii="Arial" w:hAnsi="Arial" w:cs="Arial"/>
        <w:noProof/>
        <w:sz w:val="18"/>
        <w:szCs w:val="18"/>
      </w:rPr>
      <w:fldChar w:fldCharType="end"/>
    </w:r>
    <w:r w:rsidRPr="00745037">
      <w:rPr>
        <w:rFonts w:ascii="Arial" w:hAnsi="Arial" w:cs="Arial"/>
        <w:sz w:val="18"/>
        <w:szCs w:val="18"/>
      </w:rPr>
      <w:tab/>
    </w:r>
    <w:r w:rsidRPr="00745037">
      <w:rPr>
        <w:rFonts w:ascii="Arial" w:hAnsi="Arial" w:cs="Arial"/>
        <w:sz w:val="18"/>
        <w:szCs w:val="18"/>
      </w:rPr>
      <w:tab/>
    </w:r>
    <w:r w:rsidR="005A1759">
      <w:rPr>
        <w:rFonts w:ascii="Arial" w:hAnsi="Arial" w:cs="Arial"/>
        <w:sz w:val="18"/>
        <w:szCs w:val="18"/>
      </w:rPr>
      <w:t xml:space="preserve">  </w:t>
    </w:r>
    <w:r w:rsidR="005A1759">
      <w:rPr>
        <w:rFonts w:ascii="Arial" w:hAnsi="Arial" w:cs="Arial"/>
        <w:sz w:val="18"/>
        <w:szCs w:val="18"/>
      </w:rPr>
      <w:tab/>
    </w:r>
    <w:r w:rsidR="005A1759">
      <w:rPr>
        <w:rFonts w:ascii="Arial" w:hAnsi="Arial" w:cs="Arial"/>
        <w:sz w:val="18"/>
        <w:szCs w:val="18"/>
      </w:rPr>
      <w:tab/>
    </w:r>
    <w:r w:rsidR="005A1759">
      <w:rPr>
        <w:rFonts w:ascii="Arial" w:hAnsi="Arial" w:cs="Arial"/>
        <w:sz w:val="18"/>
        <w:szCs w:val="18"/>
      </w:rPr>
      <w:tab/>
    </w:r>
    <w:r w:rsidR="005A1759">
      <w:rPr>
        <w:rFonts w:ascii="Arial" w:hAnsi="Arial" w:cs="Arial"/>
        <w:sz w:val="18"/>
        <w:szCs w:val="18"/>
      </w:rPr>
      <w:tab/>
    </w:r>
    <w:r w:rsidR="00431512">
      <w:rPr>
        <w:rFonts w:ascii="Arial" w:hAnsi="Arial" w:cs="Arial"/>
        <w:sz w:val="18"/>
        <w:szCs w:val="18"/>
      </w:rPr>
      <w:t xml:space="preserve">            </w:t>
    </w:r>
    <w:r w:rsidRPr="00745037">
      <w:rPr>
        <w:rStyle w:val="PageNumber"/>
        <w:rFonts w:ascii="Arial" w:hAnsi="Arial" w:cs="Arial"/>
        <w:sz w:val="18"/>
        <w:szCs w:val="18"/>
      </w:rPr>
      <w:fldChar w:fldCharType="begin"/>
    </w:r>
    <w:r w:rsidRPr="00745037">
      <w:rPr>
        <w:rStyle w:val="PageNumber"/>
        <w:rFonts w:ascii="Arial" w:hAnsi="Arial" w:cs="Arial"/>
        <w:sz w:val="18"/>
        <w:szCs w:val="18"/>
      </w:rPr>
      <w:instrText xml:space="preserve"> PAGE </w:instrText>
    </w:r>
    <w:r w:rsidRPr="00745037">
      <w:rPr>
        <w:rStyle w:val="PageNumber"/>
        <w:rFonts w:ascii="Arial" w:hAnsi="Arial" w:cs="Arial"/>
        <w:sz w:val="18"/>
        <w:szCs w:val="18"/>
      </w:rPr>
      <w:fldChar w:fldCharType="separate"/>
    </w:r>
    <w:r w:rsidR="000C30FB">
      <w:rPr>
        <w:rStyle w:val="PageNumber"/>
        <w:rFonts w:ascii="Arial" w:hAnsi="Arial" w:cs="Arial"/>
        <w:noProof/>
        <w:sz w:val="18"/>
        <w:szCs w:val="18"/>
      </w:rPr>
      <w:t>1</w:t>
    </w:r>
    <w:r w:rsidRPr="0074503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98D" w:rsidRDefault="00E9798D">
      <w:r>
        <w:separator/>
      </w:r>
    </w:p>
  </w:footnote>
  <w:footnote w:type="continuationSeparator" w:id="0">
    <w:p w:rsidR="00E9798D" w:rsidRDefault="00E979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4A" w:rsidRDefault="00C713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4A" w:rsidRDefault="00C713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4A" w:rsidRDefault="00C713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1B07"/>
    <w:multiLevelType w:val="hybridMultilevel"/>
    <w:tmpl w:val="06E85000"/>
    <w:lvl w:ilvl="0" w:tplc="B5B682DE">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D2126"/>
    <w:multiLevelType w:val="hybridMultilevel"/>
    <w:tmpl w:val="F05EF232"/>
    <w:lvl w:ilvl="0" w:tplc="04090001">
      <w:start w:val="1"/>
      <w:numFmt w:val="bullet"/>
      <w:lvlText w:val=""/>
      <w:lvlJc w:val="left"/>
      <w:pPr>
        <w:tabs>
          <w:tab w:val="num" w:pos="1716"/>
        </w:tabs>
        <w:ind w:left="1716" w:hanging="360"/>
      </w:pPr>
      <w:rPr>
        <w:rFonts w:ascii="Symbol" w:hAnsi="Symbol" w:hint="default"/>
      </w:rPr>
    </w:lvl>
    <w:lvl w:ilvl="1" w:tplc="04090003" w:tentative="1">
      <w:start w:val="1"/>
      <w:numFmt w:val="bullet"/>
      <w:lvlText w:val="o"/>
      <w:lvlJc w:val="left"/>
      <w:pPr>
        <w:tabs>
          <w:tab w:val="num" w:pos="2436"/>
        </w:tabs>
        <w:ind w:left="2436" w:hanging="360"/>
      </w:pPr>
      <w:rPr>
        <w:rFonts w:ascii="Courier New" w:hAnsi="Courier New" w:cs="Courier New" w:hint="default"/>
      </w:rPr>
    </w:lvl>
    <w:lvl w:ilvl="2" w:tplc="04090005" w:tentative="1">
      <w:start w:val="1"/>
      <w:numFmt w:val="bullet"/>
      <w:lvlText w:val=""/>
      <w:lvlJc w:val="left"/>
      <w:pPr>
        <w:tabs>
          <w:tab w:val="num" w:pos="3156"/>
        </w:tabs>
        <w:ind w:left="3156" w:hanging="360"/>
      </w:pPr>
      <w:rPr>
        <w:rFonts w:ascii="Wingdings" w:hAnsi="Wingdings" w:hint="default"/>
      </w:rPr>
    </w:lvl>
    <w:lvl w:ilvl="3" w:tplc="04090001" w:tentative="1">
      <w:start w:val="1"/>
      <w:numFmt w:val="bullet"/>
      <w:lvlText w:val=""/>
      <w:lvlJc w:val="left"/>
      <w:pPr>
        <w:tabs>
          <w:tab w:val="num" w:pos="3876"/>
        </w:tabs>
        <w:ind w:left="3876" w:hanging="360"/>
      </w:pPr>
      <w:rPr>
        <w:rFonts w:ascii="Symbol" w:hAnsi="Symbol" w:hint="default"/>
      </w:rPr>
    </w:lvl>
    <w:lvl w:ilvl="4" w:tplc="04090003" w:tentative="1">
      <w:start w:val="1"/>
      <w:numFmt w:val="bullet"/>
      <w:lvlText w:val="o"/>
      <w:lvlJc w:val="left"/>
      <w:pPr>
        <w:tabs>
          <w:tab w:val="num" w:pos="4596"/>
        </w:tabs>
        <w:ind w:left="4596" w:hanging="360"/>
      </w:pPr>
      <w:rPr>
        <w:rFonts w:ascii="Courier New" w:hAnsi="Courier New" w:cs="Courier New" w:hint="default"/>
      </w:rPr>
    </w:lvl>
    <w:lvl w:ilvl="5" w:tplc="04090005" w:tentative="1">
      <w:start w:val="1"/>
      <w:numFmt w:val="bullet"/>
      <w:lvlText w:val=""/>
      <w:lvlJc w:val="left"/>
      <w:pPr>
        <w:tabs>
          <w:tab w:val="num" w:pos="5316"/>
        </w:tabs>
        <w:ind w:left="5316" w:hanging="360"/>
      </w:pPr>
      <w:rPr>
        <w:rFonts w:ascii="Wingdings" w:hAnsi="Wingdings" w:hint="default"/>
      </w:rPr>
    </w:lvl>
    <w:lvl w:ilvl="6" w:tplc="04090001" w:tentative="1">
      <w:start w:val="1"/>
      <w:numFmt w:val="bullet"/>
      <w:lvlText w:val=""/>
      <w:lvlJc w:val="left"/>
      <w:pPr>
        <w:tabs>
          <w:tab w:val="num" w:pos="6036"/>
        </w:tabs>
        <w:ind w:left="6036" w:hanging="360"/>
      </w:pPr>
      <w:rPr>
        <w:rFonts w:ascii="Symbol" w:hAnsi="Symbol" w:hint="default"/>
      </w:rPr>
    </w:lvl>
    <w:lvl w:ilvl="7" w:tplc="04090003" w:tentative="1">
      <w:start w:val="1"/>
      <w:numFmt w:val="bullet"/>
      <w:lvlText w:val="o"/>
      <w:lvlJc w:val="left"/>
      <w:pPr>
        <w:tabs>
          <w:tab w:val="num" w:pos="6756"/>
        </w:tabs>
        <w:ind w:left="6756" w:hanging="360"/>
      </w:pPr>
      <w:rPr>
        <w:rFonts w:ascii="Courier New" w:hAnsi="Courier New" w:cs="Courier New" w:hint="default"/>
      </w:rPr>
    </w:lvl>
    <w:lvl w:ilvl="8" w:tplc="04090005" w:tentative="1">
      <w:start w:val="1"/>
      <w:numFmt w:val="bullet"/>
      <w:lvlText w:val=""/>
      <w:lvlJc w:val="left"/>
      <w:pPr>
        <w:tabs>
          <w:tab w:val="num" w:pos="7476"/>
        </w:tabs>
        <w:ind w:left="7476" w:hanging="360"/>
      </w:pPr>
      <w:rPr>
        <w:rFonts w:ascii="Wingdings" w:hAnsi="Wingdings" w:hint="default"/>
      </w:rPr>
    </w:lvl>
  </w:abstractNum>
  <w:abstractNum w:abstractNumId="2" w15:restartNumberingAfterBreak="0">
    <w:nsid w:val="1A6971AE"/>
    <w:multiLevelType w:val="hybridMultilevel"/>
    <w:tmpl w:val="A6AA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A4209"/>
    <w:multiLevelType w:val="hybridMultilevel"/>
    <w:tmpl w:val="C260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42506"/>
    <w:multiLevelType w:val="hybridMultilevel"/>
    <w:tmpl w:val="3398B59E"/>
    <w:lvl w:ilvl="0" w:tplc="04090001">
      <w:start w:val="1"/>
      <w:numFmt w:val="bullet"/>
      <w:lvlText w:val=""/>
      <w:lvlJc w:val="left"/>
      <w:pPr>
        <w:tabs>
          <w:tab w:val="num" w:pos="1716"/>
        </w:tabs>
        <w:ind w:left="1716" w:hanging="360"/>
      </w:pPr>
      <w:rPr>
        <w:rFonts w:ascii="Symbol" w:hAnsi="Symbol" w:hint="default"/>
      </w:rPr>
    </w:lvl>
    <w:lvl w:ilvl="1" w:tplc="04090003" w:tentative="1">
      <w:start w:val="1"/>
      <w:numFmt w:val="bullet"/>
      <w:lvlText w:val="o"/>
      <w:lvlJc w:val="left"/>
      <w:pPr>
        <w:tabs>
          <w:tab w:val="num" w:pos="2436"/>
        </w:tabs>
        <w:ind w:left="2436" w:hanging="360"/>
      </w:pPr>
      <w:rPr>
        <w:rFonts w:ascii="Courier New" w:hAnsi="Courier New" w:cs="Courier New" w:hint="default"/>
      </w:rPr>
    </w:lvl>
    <w:lvl w:ilvl="2" w:tplc="04090005" w:tentative="1">
      <w:start w:val="1"/>
      <w:numFmt w:val="bullet"/>
      <w:lvlText w:val=""/>
      <w:lvlJc w:val="left"/>
      <w:pPr>
        <w:tabs>
          <w:tab w:val="num" w:pos="3156"/>
        </w:tabs>
        <w:ind w:left="3156" w:hanging="360"/>
      </w:pPr>
      <w:rPr>
        <w:rFonts w:ascii="Wingdings" w:hAnsi="Wingdings" w:hint="default"/>
      </w:rPr>
    </w:lvl>
    <w:lvl w:ilvl="3" w:tplc="04090001" w:tentative="1">
      <w:start w:val="1"/>
      <w:numFmt w:val="bullet"/>
      <w:lvlText w:val=""/>
      <w:lvlJc w:val="left"/>
      <w:pPr>
        <w:tabs>
          <w:tab w:val="num" w:pos="3876"/>
        </w:tabs>
        <w:ind w:left="3876" w:hanging="360"/>
      </w:pPr>
      <w:rPr>
        <w:rFonts w:ascii="Symbol" w:hAnsi="Symbol" w:hint="default"/>
      </w:rPr>
    </w:lvl>
    <w:lvl w:ilvl="4" w:tplc="04090003" w:tentative="1">
      <w:start w:val="1"/>
      <w:numFmt w:val="bullet"/>
      <w:lvlText w:val="o"/>
      <w:lvlJc w:val="left"/>
      <w:pPr>
        <w:tabs>
          <w:tab w:val="num" w:pos="4596"/>
        </w:tabs>
        <w:ind w:left="4596" w:hanging="360"/>
      </w:pPr>
      <w:rPr>
        <w:rFonts w:ascii="Courier New" w:hAnsi="Courier New" w:cs="Courier New" w:hint="default"/>
      </w:rPr>
    </w:lvl>
    <w:lvl w:ilvl="5" w:tplc="04090005" w:tentative="1">
      <w:start w:val="1"/>
      <w:numFmt w:val="bullet"/>
      <w:lvlText w:val=""/>
      <w:lvlJc w:val="left"/>
      <w:pPr>
        <w:tabs>
          <w:tab w:val="num" w:pos="5316"/>
        </w:tabs>
        <w:ind w:left="5316" w:hanging="360"/>
      </w:pPr>
      <w:rPr>
        <w:rFonts w:ascii="Wingdings" w:hAnsi="Wingdings" w:hint="default"/>
      </w:rPr>
    </w:lvl>
    <w:lvl w:ilvl="6" w:tplc="04090001" w:tentative="1">
      <w:start w:val="1"/>
      <w:numFmt w:val="bullet"/>
      <w:lvlText w:val=""/>
      <w:lvlJc w:val="left"/>
      <w:pPr>
        <w:tabs>
          <w:tab w:val="num" w:pos="6036"/>
        </w:tabs>
        <w:ind w:left="6036" w:hanging="360"/>
      </w:pPr>
      <w:rPr>
        <w:rFonts w:ascii="Symbol" w:hAnsi="Symbol" w:hint="default"/>
      </w:rPr>
    </w:lvl>
    <w:lvl w:ilvl="7" w:tplc="04090003" w:tentative="1">
      <w:start w:val="1"/>
      <w:numFmt w:val="bullet"/>
      <w:lvlText w:val="o"/>
      <w:lvlJc w:val="left"/>
      <w:pPr>
        <w:tabs>
          <w:tab w:val="num" w:pos="6756"/>
        </w:tabs>
        <w:ind w:left="6756" w:hanging="360"/>
      </w:pPr>
      <w:rPr>
        <w:rFonts w:ascii="Courier New" w:hAnsi="Courier New" w:cs="Courier New" w:hint="default"/>
      </w:rPr>
    </w:lvl>
    <w:lvl w:ilvl="8" w:tplc="04090005" w:tentative="1">
      <w:start w:val="1"/>
      <w:numFmt w:val="bullet"/>
      <w:lvlText w:val=""/>
      <w:lvlJc w:val="left"/>
      <w:pPr>
        <w:tabs>
          <w:tab w:val="num" w:pos="7476"/>
        </w:tabs>
        <w:ind w:left="7476" w:hanging="360"/>
      </w:pPr>
      <w:rPr>
        <w:rFonts w:ascii="Wingdings" w:hAnsi="Wingdings" w:hint="default"/>
      </w:rPr>
    </w:lvl>
  </w:abstractNum>
  <w:abstractNum w:abstractNumId="5" w15:restartNumberingAfterBreak="0">
    <w:nsid w:val="418D011E"/>
    <w:multiLevelType w:val="hybridMultilevel"/>
    <w:tmpl w:val="323C7E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99D5F92"/>
    <w:multiLevelType w:val="hybridMultilevel"/>
    <w:tmpl w:val="84145620"/>
    <w:lvl w:ilvl="0" w:tplc="3AB4850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E530F4"/>
    <w:multiLevelType w:val="hybridMultilevel"/>
    <w:tmpl w:val="9FACF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EE5CE5"/>
    <w:multiLevelType w:val="multilevel"/>
    <w:tmpl w:val="0F347D1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3FBF625-8653-4FF8-B2FC-954BCE633D3F}"/>
    <w:docVar w:name="dgnword-eventsink" w:val="182211104"/>
  </w:docVars>
  <w:rsids>
    <w:rsidRoot w:val="001037B8"/>
    <w:rsid w:val="00001D79"/>
    <w:rsid w:val="00006F34"/>
    <w:rsid w:val="0001694B"/>
    <w:rsid w:val="00020BE5"/>
    <w:rsid w:val="000247C8"/>
    <w:rsid w:val="000270FB"/>
    <w:rsid w:val="0002723D"/>
    <w:rsid w:val="00031FA3"/>
    <w:rsid w:val="00032BC1"/>
    <w:rsid w:val="000349B1"/>
    <w:rsid w:val="00046EF5"/>
    <w:rsid w:val="00047000"/>
    <w:rsid w:val="00047739"/>
    <w:rsid w:val="00047F24"/>
    <w:rsid w:val="000529DB"/>
    <w:rsid w:val="0005363D"/>
    <w:rsid w:val="00056096"/>
    <w:rsid w:val="00056944"/>
    <w:rsid w:val="00060209"/>
    <w:rsid w:val="00063D63"/>
    <w:rsid w:val="00067E2E"/>
    <w:rsid w:val="0007116A"/>
    <w:rsid w:val="000759ED"/>
    <w:rsid w:val="000826DA"/>
    <w:rsid w:val="0008766E"/>
    <w:rsid w:val="00090845"/>
    <w:rsid w:val="0009289A"/>
    <w:rsid w:val="00096BD2"/>
    <w:rsid w:val="000B0B1D"/>
    <w:rsid w:val="000B2EED"/>
    <w:rsid w:val="000B4370"/>
    <w:rsid w:val="000B5ACC"/>
    <w:rsid w:val="000B78AF"/>
    <w:rsid w:val="000C07B7"/>
    <w:rsid w:val="000C1FAB"/>
    <w:rsid w:val="000C30FB"/>
    <w:rsid w:val="000C3CD5"/>
    <w:rsid w:val="000C63DB"/>
    <w:rsid w:val="000C6B17"/>
    <w:rsid w:val="000D3A25"/>
    <w:rsid w:val="000D471E"/>
    <w:rsid w:val="000D752E"/>
    <w:rsid w:val="000E19DA"/>
    <w:rsid w:val="000E20D1"/>
    <w:rsid w:val="000E2132"/>
    <w:rsid w:val="000E2BA5"/>
    <w:rsid w:val="000E2FA2"/>
    <w:rsid w:val="000E467B"/>
    <w:rsid w:val="000E5FE1"/>
    <w:rsid w:val="000F22CB"/>
    <w:rsid w:val="000F6036"/>
    <w:rsid w:val="000F74CF"/>
    <w:rsid w:val="00100C20"/>
    <w:rsid w:val="001037B8"/>
    <w:rsid w:val="00105046"/>
    <w:rsid w:val="00114719"/>
    <w:rsid w:val="001156B3"/>
    <w:rsid w:val="00121813"/>
    <w:rsid w:val="0012493B"/>
    <w:rsid w:val="00125873"/>
    <w:rsid w:val="001279A6"/>
    <w:rsid w:val="00130DE9"/>
    <w:rsid w:val="0013446D"/>
    <w:rsid w:val="001379BF"/>
    <w:rsid w:val="00137FE0"/>
    <w:rsid w:val="00140B9B"/>
    <w:rsid w:val="00140D33"/>
    <w:rsid w:val="0014182F"/>
    <w:rsid w:val="00143661"/>
    <w:rsid w:val="00143AD3"/>
    <w:rsid w:val="00144159"/>
    <w:rsid w:val="00146AB4"/>
    <w:rsid w:val="001473F3"/>
    <w:rsid w:val="001525EC"/>
    <w:rsid w:val="00156FBB"/>
    <w:rsid w:val="001575E9"/>
    <w:rsid w:val="00157EBD"/>
    <w:rsid w:val="00161867"/>
    <w:rsid w:val="001664B3"/>
    <w:rsid w:val="00171BCF"/>
    <w:rsid w:val="00174D43"/>
    <w:rsid w:val="00176416"/>
    <w:rsid w:val="00176793"/>
    <w:rsid w:val="0017774A"/>
    <w:rsid w:val="00182B69"/>
    <w:rsid w:val="00183384"/>
    <w:rsid w:val="00185BCD"/>
    <w:rsid w:val="0019629B"/>
    <w:rsid w:val="001A2F17"/>
    <w:rsid w:val="001A7995"/>
    <w:rsid w:val="001B1BED"/>
    <w:rsid w:val="001B4103"/>
    <w:rsid w:val="001C07D9"/>
    <w:rsid w:val="001C1CBE"/>
    <w:rsid w:val="001C363F"/>
    <w:rsid w:val="001C4814"/>
    <w:rsid w:val="001D61D8"/>
    <w:rsid w:val="001D6899"/>
    <w:rsid w:val="001E0997"/>
    <w:rsid w:val="002003C8"/>
    <w:rsid w:val="002031C8"/>
    <w:rsid w:val="002115A5"/>
    <w:rsid w:val="002118B9"/>
    <w:rsid w:val="00212BF1"/>
    <w:rsid w:val="00214153"/>
    <w:rsid w:val="00214947"/>
    <w:rsid w:val="00215319"/>
    <w:rsid w:val="00217743"/>
    <w:rsid w:val="00217B30"/>
    <w:rsid w:val="00232191"/>
    <w:rsid w:val="00233456"/>
    <w:rsid w:val="00237B5C"/>
    <w:rsid w:val="00246E7C"/>
    <w:rsid w:val="00251FF5"/>
    <w:rsid w:val="002521DA"/>
    <w:rsid w:val="00255D41"/>
    <w:rsid w:val="00256FC2"/>
    <w:rsid w:val="00261041"/>
    <w:rsid w:val="00263832"/>
    <w:rsid w:val="00263B81"/>
    <w:rsid w:val="00277704"/>
    <w:rsid w:val="00285E8A"/>
    <w:rsid w:val="00290847"/>
    <w:rsid w:val="00293514"/>
    <w:rsid w:val="0029355C"/>
    <w:rsid w:val="00297153"/>
    <w:rsid w:val="002A13E2"/>
    <w:rsid w:val="002A45DA"/>
    <w:rsid w:val="002A567F"/>
    <w:rsid w:val="002A7F21"/>
    <w:rsid w:val="002B00A9"/>
    <w:rsid w:val="002B141F"/>
    <w:rsid w:val="002B1474"/>
    <w:rsid w:val="002B39D7"/>
    <w:rsid w:val="002B3A09"/>
    <w:rsid w:val="002B5732"/>
    <w:rsid w:val="002B5DE1"/>
    <w:rsid w:val="002B65BC"/>
    <w:rsid w:val="002C57EE"/>
    <w:rsid w:val="002C5A5F"/>
    <w:rsid w:val="002C5F03"/>
    <w:rsid w:val="002C724F"/>
    <w:rsid w:val="002D00D6"/>
    <w:rsid w:val="002D0158"/>
    <w:rsid w:val="002F2654"/>
    <w:rsid w:val="002F390C"/>
    <w:rsid w:val="002F5054"/>
    <w:rsid w:val="002F5AE9"/>
    <w:rsid w:val="0030385D"/>
    <w:rsid w:val="003078DF"/>
    <w:rsid w:val="00307939"/>
    <w:rsid w:val="00323801"/>
    <w:rsid w:val="003279F1"/>
    <w:rsid w:val="003310CE"/>
    <w:rsid w:val="003353E6"/>
    <w:rsid w:val="003369A3"/>
    <w:rsid w:val="0034306E"/>
    <w:rsid w:val="00343BD5"/>
    <w:rsid w:val="00343D5A"/>
    <w:rsid w:val="00346EF9"/>
    <w:rsid w:val="00352578"/>
    <w:rsid w:val="0035333B"/>
    <w:rsid w:val="00354FD2"/>
    <w:rsid w:val="00370BF1"/>
    <w:rsid w:val="00371541"/>
    <w:rsid w:val="00373572"/>
    <w:rsid w:val="003771D6"/>
    <w:rsid w:val="00380DAE"/>
    <w:rsid w:val="00381F53"/>
    <w:rsid w:val="00382475"/>
    <w:rsid w:val="00390093"/>
    <w:rsid w:val="003A0FC0"/>
    <w:rsid w:val="003A3220"/>
    <w:rsid w:val="003A3376"/>
    <w:rsid w:val="003A5720"/>
    <w:rsid w:val="003A6193"/>
    <w:rsid w:val="003A76DD"/>
    <w:rsid w:val="003B5F22"/>
    <w:rsid w:val="003B6243"/>
    <w:rsid w:val="003B7F0D"/>
    <w:rsid w:val="003C2F8B"/>
    <w:rsid w:val="003C301F"/>
    <w:rsid w:val="003C3CAF"/>
    <w:rsid w:val="003C4100"/>
    <w:rsid w:val="003C4E51"/>
    <w:rsid w:val="003C6BCB"/>
    <w:rsid w:val="003C7AA0"/>
    <w:rsid w:val="003D00E7"/>
    <w:rsid w:val="003D1986"/>
    <w:rsid w:val="003D1C07"/>
    <w:rsid w:val="003D350C"/>
    <w:rsid w:val="003D6447"/>
    <w:rsid w:val="003D65DD"/>
    <w:rsid w:val="003E7D23"/>
    <w:rsid w:val="003F1097"/>
    <w:rsid w:val="003F193A"/>
    <w:rsid w:val="003F5C27"/>
    <w:rsid w:val="00401EDB"/>
    <w:rsid w:val="0040773A"/>
    <w:rsid w:val="00410D05"/>
    <w:rsid w:val="0041462A"/>
    <w:rsid w:val="0041679E"/>
    <w:rsid w:val="004173B3"/>
    <w:rsid w:val="00417D50"/>
    <w:rsid w:val="00420276"/>
    <w:rsid w:val="00421DA8"/>
    <w:rsid w:val="0042675A"/>
    <w:rsid w:val="00431512"/>
    <w:rsid w:val="004354DD"/>
    <w:rsid w:val="004356CC"/>
    <w:rsid w:val="004363D2"/>
    <w:rsid w:val="004425FF"/>
    <w:rsid w:val="00446510"/>
    <w:rsid w:val="004511CE"/>
    <w:rsid w:val="004519E5"/>
    <w:rsid w:val="004578D0"/>
    <w:rsid w:val="00457A89"/>
    <w:rsid w:val="004602DD"/>
    <w:rsid w:val="00461BBA"/>
    <w:rsid w:val="0046702D"/>
    <w:rsid w:val="00467639"/>
    <w:rsid w:val="00471E12"/>
    <w:rsid w:val="004744C0"/>
    <w:rsid w:val="00476A75"/>
    <w:rsid w:val="00477994"/>
    <w:rsid w:val="0048033C"/>
    <w:rsid w:val="00480E76"/>
    <w:rsid w:val="00482107"/>
    <w:rsid w:val="00483E12"/>
    <w:rsid w:val="00485F25"/>
    <w:rsid w:val="00486AE1"/>
    <w:rsid w:val="004B2879"/>
    <w:rsid w:val="004C5CF2"/>
    <w:rsid w:val="004C669A"/>
    <w:rsid w:val="004D421D"/>
    <w:rsid w:val="004D68F8"/>
    <w:rsid w:val="004D7880"/>
    <w:rsid w:val="004E1A27"/>
    <w:rsid w:val="004E63E2"/>
    <w:rsid w:val="004F0C6F"/>
    <w:rsid w:val="004F22C0"/>
    <w:rsid w:val="004F575A"/>
    <w:rsid w:val="005005A4"/>
    <w:rsid w:val="00507145"/>
    <w:rsid w:val="00510BA6"/>
    <w:rsid w:val="00511F27"/>
    <w:rsid w:val="00514417"/>
    <w:rsid w:val="005151B4"/>
    <w:rsid w:val="005156D9"/>
    <w:rsid w:val="00516E6E"/>
    <w:rsid w:val="00517BBB"/>
    <w:rsid w:val="00521553"/>
    <w:rsid w:val="0052230B"/>
    <w:rsid w:val="00522AC2"/>
    <w:rsid w:val="00524260"/>
    <w:rsid w:val="00524530"/>
    <w:rsid w:val="005271ED"/>
    <w:rsid w:val="00530B15"/>
    <w:rsid w:val="005314CA"/>
    <w:rsid w:val="00535BA3"/>
    <w:rsid w:val="0054049F"/>
    <w:rsid w:val="00542337"/>
    <w:rsid w:val="00543463"/>
    <w:rsid w:val="005453CD"/>
    <w:rsid w:val="00546609"/>
    <w:rsid w:val="00555A03"/>
    <w:rsid w:val="005575E8"/>
    <w:rsid w:val="00561D21"/>
    <w:rsid w:val="00571B02"/>
    <w:rsid w:val="00573968"/>
    <w:rsid w:val="00574338"/>
    <w:rsid w:val="0057630A"/>
    <w:rsid w:val="00581C9D"/>
    <w:rsid w:val="00584A58"/>
    <w:rsid w:val="00584D19"/>
    <w:rsid w:val="0058563A"/>
    <w:rsid w:val="0059071A"/>
    <w:rsid w:val="00593075"/>
    <w:rsid w:val="00594285"/>
    <w:rsid w:val="0059570D"/>
    <w:rsid w:val="00597602"/>
    <w:rsid w:val="005A043E"/>
    <w:rsid w:val="005A1759"/>
    <w:rsid w:val="005A24D1"/>
    <w:rsid w:val="005A6EC6"/>
    <w:rsid w:val="005B066E"/>
    <w:rsid w:val="005B52E3"/>
    <w:rsid w:val="005B6C1A"/>
    <w:rsid w:val="005B6C41"/>
    <w:rsid w:val="005C208E"/>
    <w:rsid w:val="005C368C"/>
    <w:rsid w:val="005C7607"/>
    <w:rsid w:val="005D4889"/>
    <w:rsid w:val="005E1B1F"/>
    <w:rsid w:val="005E2471"/>
    <w:rsid w:val="005E3420"/>
    <w:rsid w:val="005E411C"/>
    <w:rsid w:val="005F06CE"/>
    <w:rsid w:val="005F188D"/>
    <w:rsid w:val="006009AF"/>
    <w:rsid w:val="00602B2C"/>
    <w:rsid w:val="006060F2"/>
    <w:rsid w:val="00611D5C"/>
    <w:rsid w:val="006134B9"/>
    <w:rsid w:val="006227B4"/>
    <w:rsid w:val="00622EF0"/>
    <w:rsid w:val="006247DD"/>
    <w:rsid w:val="006401BC"/>
    <w:rsid w:val="00643A4A"/>
    <w:rsid w:val="00643B1E"/>
    <w:rsid w:val="0064402D"/>
    <w:rsid w:val="00647960"/>
    <w:rsid w:val="0065027C"/>
    <w:rsid w:val="006539CA"/>
    <w:rsid w:val="00654EE1"/>
    <w:rsid w:val="0065731B"/>
    <w:rsid w:val="00661CE8"/>
    <w:rsid w:val="00662EDE"/>
    <w:rsid w:val="00663908"/>
    <w:rsid w:val="006668A1"/>
    <w:rsid w:val="0067117B"/>
    <w:rsid w:val="0067233E"/>
    <w:rsid w:val="00684405"/>
    <w:rsid w:val="006970F0"/>
    <w:rsid w:val="006A614E"/>
    <w:rsid w:val="006A6554"/>
    <w:rsid w:val="006B14E9"/>
    <w:rsid w:val="006B5DB9"/>
    <w:rsid w:val="006B6961"/>
    <w:rsid w:val="006C7978"/>
    <w:rsid w:val="006D1E88"/>
    <w:rsid w:val="006E145E"/>
    <w:rsid w:val="006E255D"/>
    <w:rsid w:val="006E5251"/>
    <w:rsid w:val="006E7221"/>
    <w:rsid w:val="006E7D95"/>
    <w:rsid w:val="006F04F0"/>
    <w:rsid w:val="006F0B32"/>
    <w:rsid w:val="006F71BC"/>
    <w:rsid w:val="00701018"/>
    <w:rsid w:val="007077EA"/>
    <w:rsid w:val="00711BF7"/>
    <w:rsid w:val="00720AAE"/>
    <w:rsid w:val="007239E4"/>
    <w:rsid w:val="007305EF"/>
    <w:rsid w:val="00731496"/>
    <w:rsid w:val="007314DA"/>
    <w:rsid w:val="00731845"/>
    <w:rsid w:val="00732A9A"/>
    <w:rsid w:val="00732DCD"/>
    <w:rsid w:val="00732E78"/>
    <w:rsid w:val="0073613A"/>
    <w:rsid w:val="00736CFC"/>
    <w:rsid w:val="00737C57"/>
    <w:rsid w:val="00745037"/>
    <w:rsid w:val="0074607B"/>
    <w:rsid w:val="0075099B"/>
    <w:rsid w:val="00750EBF"/>
    <w:rsid w:val="007534B5"/>
    <w:rsid w:val="007562A8"/>
    <w:rsid w:val="00757718"/>
    <w:rsid w:val="00762F3E"/>
    <w:rsid w:val="007641C6"/>
    <w:rsid w:val="00784D9F"/>
    <w:rsid w:val="0078728A"/>
    <w:rsid w:val="0079037D"/>
    <w:rsid w:val="00792BBF"/>
    <w:rsid w:val="00796BC8"/>
    <w:rsid w:val="007A03D9"/>
    <w:rsid w:val="007A5A86"/>
    <w:rsid w:val="007A61B4"/>
    <w:rsid w:val="007A6FD7"/>
    <w:rsid w:val="007B0E81"/>
    <w:rsid w:val="007C3F34"/>
    <w:rsid w:val="007D0FDC"/>
    <w:rsid w:val="007D1C56"/>
    <w:rsid w:val="007D1EC1"/>
    <w:rsid w:val="007D25C8"/>
    <w:rsid w:val="007D4983"/>
    <w:rsid w:val="007D7443"/>
    <w:rsid w:val="007E128A"/>
    <w:rsid w:val="007E3613"/>
    <w:rsid w:val="007F3F89"/>
    <w:rsid w:val="007F7FE7"/>
    <w:rsid w:val="00800ECE"/>
    <w:rsid w:val="00802155"/>
    <w:rsid w:val="00802937"/>
    <w:rsid w:val="008208F7"/>
    <w:rsid w:val="00824A24"/>
    <w:rsid w:val="00837EED"/>
    <w:rsid w:val="00842AF4"/>
    <w:rsid w:val="00857580"/>
    <w:rsid w:val="0086482F"/>
    <w:rsid w:val="00867D75"/>
    <w:rsid w:val="008703A9"/>
    <w:rsid w:val="008767E6"/>
    <w:rsid w:val="0087764B"/>
    <w:rsid w:val="00880235"/>
    <w:rsid w:val="008808C2"/>
    <w:rsid w:val="0088143F"/>
    <w:rsid w:val="00881E18"/>
    <w:rsid w:val="00883366"/>
    <w:rsid w:val="0088539D"/>
    <w:rsid w:val="00886A30"/>
    <w:rsid w:val="00887980"/>
    <w:rsid w:val="00890CA8"/>
    <w:rsid w:val="008948FB"/>
    <w:rsid w:val="00897134"/>
    <w:rsid w:val="00897B98"/>
    <w:rsid w:val="008A3716"/>
    <w:rsid w:val="008B2897"/>
    <w:rsid w:val="008B2ACD"/>
    <w:rsid w:val="008B3C03"/>
    <w:rsid w:val="008B693A"/>
    <w:rsid w:val="008B7763"/>
    <w:rsid w:val="008C1D70"/>
    <w:rsid w:val="008D242B"/>
    <w:rsid w:val="008D2DBA"/>
    <w:rsid w:val="008D2F26"/>
    <w:rsid w:val="008D5033"/>
    <w:rsid w:val="008D5582"/>
    <w:rsid w:val="008E0BB8"/>
    <w:rsid w:val="008F04FE"/>
    <w:rsid w:val="008F4C5A"/>
    <w:rsid w:val="009007AB"/>
    <w:rsid w:val="0090091D"/>
    <w:rsid w:val="00903719"/>
    <w:rsid w:val="0090387B"/>
    <w:rsid w:val="00905F91"/>
    <w:rsid w:val="009103E3"/>
    <w:rsid w:val="00910FAC"/>
    <w:rsid w:val="009135F1"/>
    <w:rsid w:val="00914496"/>
    <w:rsid w:val="0092000B"/>
    <w:rsid w:val="009322F5"/>
    <w:rsid w:val="00932C4A"/>
    <w:rsid w:val="00934B1D"/>
    <w:rsid w:val="00935590"/>
    <w:rsid w:val="00936A0B"/>
    <w:rsid w:val="00944FD3"/>
    <w:rsid w:val="00963C4C"/>
    <w:rsid w:val="009668BD"/>
    <w:rsid w:val="009712BD"/>
    <w:rsid w:val="00977EC1"/>
    <w:rsid w:val="00986A64"/>
    <w:rsid w:val="00987219"/>
    <w:rsid w:val="00991F0D"/>
    <w:rsid w:val="00993511"/>
    <w:rsid w:val="00995FCA"/>
    <w:rsid w:val="009A0CAA"/>
    <w:rsid w:val="009B0A9D"/>
    <w:rsid w:val="009B57BB"/>
    <w:rsid w:val="009C441D"/>
    <w:rsid w:val="009C7EA7"/>
    <w:rsid w:val="009D1EC8"/>
    <w:rsid w:val="009D3741"/>
    <w:rsid w:val="009E56DE"/>
    <w:rsid w:val="009F65FA"/>
    <w:rsid w:val="00A00301"/>
    <w:rsid w:val="00A03D09"/>
    <w:rsid w:val="00A05F5A"/>
    <w:rsid w:val="00A05F92"/>
    <w:rsid w:val="00A11A46"/>
    <w:rsid w:val="00A170E1"/>
    <w:rsid w:val="00A26BCD"/>
    <w:rsid w:val="00A3181F"/>
    <w:rsid w:val="00A357D7"/>
    <w:rsid w:val="00A43E54"/>
    <w:rsid w:val="00A466F2"/>
    <w:rsid w:val="00A51339"/>
    <w:rsid w:val="00A566DD"/>
    <w:rsid w:val="00A61DBC"/>
    <w:rsid w:val="00A67BC7"/>
    <w:rsid w:val="00A70B81"/>
    <w:rsid w:val="00A76D81"/>
    <w:rsid w:val="00A778F5"/>
    <w:rsid w:val="00A83858"/>
    <w:rsid w:val="00A84795"/>
    <w:rsid w:val="00A872F2"/>
    <w:rsid w:val="00AA0368"/>
    <w:rsid w:val="00AA2951"/>
    <w:rsid w:val="00AA50DD"/>
    <w:rsid w:val="00AA607B"/>
    <w:rsid w:val="00AB1502"/>
    <w:rsid w:val="00AC0120"/>
    <w:rsid w:val="00AC1707"/>
    <w:rsid w:val="00AC2730"/>
    <w:rsid w:val="00AC6669"/>
    <w:rsid w:val="00AC6E05"/>
    <w:rsid w:val="00AD0247"/>
    <w:rsid w:val="00AD15FE"/>
    <w:rsid w:val="00AD40D0"/>
    <w:rsid w:val="00AD5055"/>
    <w:rsid w:val="00AD644D"/>
    <w:rsid w:val="00AE0A32"/>
    <w:rsid w:val="00AE258A"/>
    <w:rsid w:val="00AF047B"/>
    <w:rsid w:val="00AF2B60"/>
    <w:rsid w:val="00AF639B"/>
    <w:rsid w:val="00AF7F36"/>
    <w:rsid w:val="00B00036"/>
    <w:rsid w:val="00B02BE9"/>
    <w:rsid w:val="00B10245"/>
    <w:rsid w:val="00B1445C"/>
    <w:rsid w:val="00B15E4F"/>
    <w:rsid w:val="00B17974"/>
    <w:rsid w:val="00B21F57"/>
    <w:rsid w:val="00B33A7F"/>
    <w:rsid w:val="00B33E86"/>
    <w:rsid w:val="00B35DC9"/>
    <w:rsid w:val="00B37871"/>
    <w:rsid w:val="00B37F59"/>
    <w:rsid w:val="00B37FFE"/>
    <w:rsid w:val="00B41FF6"/>
    <w:rsid w:val="00B41FF7"/>
    <w:rsid w:val="00B45E24"/>
    <w:rsid w:val="00B513B5"/>
    <w:rsid w:val="00B51989"/>
    <w:rsid w:val="00B51CBA"/>
    <w:rsid w:val="00B624A2"/>
    <w:rsid w:val="00B65EE7"/>
    <w:rsid w:val="00B67956"/>
    <w:rsid w:val="00B705A0"/>
    <w:rsid w:val="00B70FEB"/>
    <w:rsid w:val="00B876A8"/>
    <w:rsid w:val="00B87C3F"/>
    <w:rsid w:val="00B9372E"/>
    <w:rsid w:val="00B939CD"/>
    <w:rsid w:val="00B96E1E"/>
    <w:rsid w:val="00BA06BF"/>
    <w:rsid w:val="00BA577D"/>
    <w:rsid w:val="00BB2400"/>
    <w:rsid w:val="00BB324D"/>
    <w:rsid w:val="00BB50A4"/>
    <w:rsid w:val="00BC049D"/>
    <w:rsid w:val="00BC0F72"/>
    <w:rsid w:val="00BC2EE2"/>
    <w:rsid w:val="00BC5101"/>
    <w:rsid w:val="00BC5E72"/>
    <w:rsid w:val="00BD3B38"/>
    <w:rsid w:val="00BE0852"/>
    <w:rsid w:val="00BE1EC3"/>
    <w:rsid w:val="00BE5559"/>
    <w:rsid w:val="00BE7424"/>
    <w:rsid w:val="00C006FE"/>
    <w:rsid w:val="00C023C0"/>
    <w:rsid w:val="00C03CDF"/>
    <w:rsid w:val="00C05A84"/>
    <w:rsid w:val="00C1632E"/>
    <w:rsid w:val="00C17014"/>
    <w:rsid w:val="00C212D5"/>
    <w:rsid w:val="00C23FC5"/>
    <w:rsid w:val="00C263DD"/>
    <w:rsid w:val="00C34F3E"/>
    <w:rsid w:val="00C36B6E"/>
    <w:rsid w:val="00C36C43"/>
    <w:rsid w:val="00C443E1"/>
    <w:rsid w:val="00C4639E"/>
    <w:rsid w:val="00C546E7"/>
    <w:rsid w:val="00C61949"/>
    <w:rsid w:val="00C702B2"/>
    <w:rsid w:val="00C7134A"/>
    <w:rsid w:val="00C72642"/>
    <w:rsid w:val="00C73496"/>
    <w:rsid w:val="00C80106"/>
    <w:rsid w:val="00C80EB9"/>
    <w:rsid w:val="00C828FE"/>
    <w:rsid w:val="00C84EB8"/>
    <w:rsid w:val="00C87D22"/>
    <w:rsid w:val="00C9290C"/>
    <w:rsid w:val="00CA1E33"/>
    <w:rsid w:val="00CA2142"/>
    <w:rsid w:val="00CA35F1"/>
    <w:rsid w:val="00CA4912"/>
    <w:rsid w:val="00CA64FB"/>
    <w:rsid w:val="00CB5B83"/>
    <w:rsid w:val="00CB71FE"/>
    <w:rsid w:val="00CC0AF8"/>
    <w:rsid w:val="00CC4641"/>
    <w:rsid w:val="00CC568A"/>
    <w:rsid w:val="00CC7266"/>
    <w:rsid w:val="00CD0D9F"/>
    <w:rsid w:val="00CD3C99"/>
    <w:rsid w:val="00CD4050"/>
    <w:rsid w:val="00CD716B"/>
    <w:rsid w:val="00CD7824"/>
    <w:rsid w:val="00CD7FFB"/>
    <w:rsid w:val="00CE6297"/>
    <w:rsid w:val="00CE6A29"/>
    <w:rsid w:val="00CE76F3"/>
    <w:rsid w:val="00CE77AE"/>
    <w:rsid w:val="00CF5A7A"/>
    <w:rsid w:val="00CF6B20"/>
    <w:rsid w:val="00D0289A"/>
    <w:rsid w:val="00D054F3"/>
    <w:rsid w:val="00D05CA6"/>
    <w:rsid w:val="00D06C86"/>
    <w:rsid w:val="00D126FE"/>
    <w:rsid w:val="00D2199B"/>
    <w:rsid w:val="00D22E43"/>
    <w:rsid w:val="00D25D93"/>
    <w:rsid w:val="00D26D78"/>
    <w:rsid w:val="00D31D1C"/>
    <w:rsid w:val="00D32FFB"/>
    <w:rsid w:val="00D33BCD"/>
    <w:rsid w:val="00D36E99"/>
    <w:rsid w:val="00D42EFE"/>
    <w:rsid w:val="00D4365D"/>
    <w:rsid w:val="00D51A11"/>
    <w:rsid w:val="00D53393"/>
    <w:rsid w:val="00D542E6"/>
    <w:rsid w:val="00D55F99"/>
    <w:rsid w:val="00D56883"/>
    <w:rsid w:val="00D62720"/>
    <w:rsid w:val="00D67BC3"/>
    <w:rsid w:val="00D722B5"/>
    <w:rsid w:val="00D7345B"/>
    <w:rsid w:val="00D75249"/>
    <w:rsid w:val="00D77FA0"/>
    <w:rsid w:val="00D80B3B"/>
    <w:rsid w:val="00D8485E"/>
    <w:rsid w:val="00D915DB"/>
    <w:rsid w:val="00D923E6"/>
    <w:rsid w:val="00DA656B"/>
    <w:rsid w:val="00DB1158"/>
    <w:rsid w:val="00DB21D8"/>
    <w:rsid w:val="00DB2AEF"/>
    <w:rsid w:val="00DB2CAF"/>
    <w:rsid w:val="00DB3BBF"/>
    <w:rsid w:val="00DB723C"/>
    <w:rsid w:val="00DC2903"/>
    <w:rsid w:val="00DC4E4D"/>
    <w:rsid w:val="00DC758C"/>
    <w:rsid w:val="00DD0251"/>
    <w:rsid w:val="00DD6DEC"/>
    <w:rsid w:val="00DD777F"/>
    <w:rsid w:val="00DE2A08"/>
    <w:rsid w:val="00DE5063"/>
    <w:rsid w:val="00DF0F64"/>
    <w:rsid w:val="00E00C96"/>
    <w:rsid w:val="00E03AA7"/>
    <w:rsid w:val="00E07306"/>
    <w:rsid w:val="00E1574C"/>
    <w:rsid w:val="00E15A94"/>
    <w:rsid w:val="00E1713A"/>
    <w:rsid w:val="00E23E0B"/>
    <w:rsid w:val="00E2659B"/>
    <w:rsid w:val="00E26D55"/>
    <w:rsid w:val="00E31761"/>
    <w:rsid w:val="00E33419"/>
    <w:rsid w:val="00E411E5"/>
    <w:rsid w:val="00E434AF"/>
    <w:rsid w:val="00E47F2F"/>
    <w:rsid w:val="00E5367E"/>
    <w:rsid w:val="00E55345"/>
    <w:rsid w:val="00E62631"/>
    <w:rsid w:val="00E67065"/>
    <w:rsid w:val="00E67CAE"/>
    <w:rsid w:val="00E71E39"/>
    <w:rsid w:val="00E8056A"/>
    <w:rsid w:val="00E8537E"/>
    <w:rsid w:val="00E92F67"/>
    <w:rsid w:val="00E95BCD"/>
    <w:rsid w:val="00E9602F"/>
    <w:rsid w:val="00E9798D"/>
    <w:rsid w:val="00EA070D"/>
    <w:rsid w:val="00EA3331"/>
    <w:rsid w:val="00EA6098"/>
    <w:rsid w:val="00EA6589"/>
    <w:rsid w:val="00EA7E5A"/>
    <w:rsid w:val="00EB4F30"/>
    <w:rsid w:val="00EC5685"/>
    <w:rsid w:val="00EC5689"/>
    <w:rsid w:val="00EC7224"/>
    <w:rsid w:val="00ED3D20"/>
    <w:rsid w:val="00ED5283"/>
    <w:rsid w:val="00ED5D39"/>
    <w:rsid w:val="00ED7BF6"/>
    <w:rsid w:val="00EE0E9A"/>
    <w:rsid w:val="00EE6A48"/>
    <w:rsid w:val="00F11873"/>
    <w:rsid w:val="00F148F0"/>
    <w:rsid w:val="00F15697"/>
    <w:rsid w:val="00F21083"/>
    <w:rsid w:val="00F234ED"/>
    <w:rsid w:val="00F23EB6"/>
    <w:rsid w:val="00F27D57"/>
    <w:rsid w:val="00F30D08"/>
    <w:rsid w:val="00F31783"/>
    <w:rsid w:val="00F322C7"/>
    <w:rsid w:val="00F3318C"/>
    <w:rsid w:val="00F3472A"/>
    <w:rsid w:val="00F531DD"/>
    <w:rsid w:val="00F600CD"/>
    <w:rsid w:val="00F602B9"/>
    <w:rsid w:val="00F63DF0"/>
    <w:rsid w:val="00F71EE5"/>
    <w:rsid w:val="00F82BC8"/>
    <w:rsid w:val="00F85D5D"/>
    <w:rsid w:val="00F91361"/>
    <w:rsid w:val="00F947C8"/>
    <w:rsid w:val="00FA7125"/>
    <w:rsid w:val="00FC03BD"/>
    <w:rsid w:val="00FC1C82"/>
    <w:rsid w:val="00FC58FB"/>
    <w:rsid w:val="00FD1478"/>
    <w:rsid w:val="00FD39EF"/>
    <w:rsid w:val="00FD61AE"/>
    <w:rsid w:val="00FD655E"/>
    <w:rsid w:val="00FD68AE"/>
    <w:rsid w:val="00FD777E"/>
    <w:rsid w:val="00FE080B"/>
    <w:rsid w:val="00FE395D"/>
    <w:rsid w:val="00FE4D55"/>
    <w:rsid w:val="00FE4E68"/>
    <w:rsid w:val="00FE58C4"/>
    <w:rsid w:val="00FF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AAD1399E-B264-4D40-A83D-2C5A03A8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D39"/>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B6C41"/>
    <w:pPr>
      <w:tabs>
        <w:tab w:val="center" w:pos="4320"/>
        <w:tab w:val="right" w:pos="8640"/>
      </w:tabs>
    </w:pPr>
  </w:style>
  <w:style w:type="character" w:styleId="PageNumber">
    <w:name w:val="page number"/>
    <w:basedOn w:val="DefaultParagraphFont"/>
    <w:rsid w:val="005B6C41"/>
  </w:style>
  <w:style w:type="character" w:styleId="Hyperlink">
    <w:name w:val="Hyperlink"/>
    <w:basedOn w:val="DefaultParagraphFont"/>
    <w:rsid w:val="00CE76F3"/>
    <w:rPr>
      <w:color w:val="0000FF"/>
      <w:u w:val="single"/>
    </w:rPr>
  </w:style>
  <w:style w:type="table" w:styleId="TableGrid">
    <w:name w:val="Table Grid"/>
    <w:basedOn w:val="TableNormal"/>
    <w:rsid w:val="00BA0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353E6"/>
    <w:pPr>
      <w:tabs>
        <w:tab w:val="center" w:pos="4320"/>
        <w:tab w:val="right" w:pos="8640"/>
      </w:tabs>
    </w:pPr>
  </w:style>
  <w:style w:type="paragraph" w:styleId="BodyText">
    <w:name w:val="Body Text"/>
    <w:basedOn w:val="Normal"/>
    <w:rsid w:val="009B0A9D"/>
    <w:pPr>
      <w:widowControl/>
      <w:tabs>
        <w:tab w:val="right" w:pos="600"/>
        <w:tab w:val="left" w:pos="1080"/>
        <w:tab w:val="left" w:pos="1440"/>
        <w:tab w:val="left" w:pos="3120"/>
        <w:tab w:val="left" w:pos="4800"/>
        <w:tab w:val="left" w:pos="6000"/>
        <w:tab w:val="left" w:pos="6840"/>
        <w:tab w:val="left" w:pos="7320"/>
        <w:tab w:val="left" w:pos="7800"/>
        <w:tab w:val="left" w:pos="8400"/>
      </w:tabs>
      <w:autoSpaceDE/>
      <w:autoSpaceDN/>
      <w:adjustRightInd/>
      <w:spacing w:after="240" w:line="240" w:lineRule="exact"/>
    </w:pPr>
    <w:rPr>
      <w:sz w:val="24"/>
    </w:rPr>
  </w:style>
  <w:style w:type="paragraph" w:customStyle="1" w:styleId="weektopicdates">
    <w:name w:val="week topic dates"/>
    <w:basedOn w:val="Normal"/>
    <w:rsid w:val="00E26D55"/>
    <w:pPr>
      <w:widowControl/>
      <w:tabs>
        <w:tab w:val="left" w:pos="1620"/>
        <w:tab w:val="right" w:pos="9360"/>
      </w:tabs>
      <w:autoSpaceDE/>
      <w:autoSpaceDN/>
      <w:adjustRightInd/>
    </w:pPr>
    <w:rPr>
      <w:rFonts w:ascii="Century Gothic" w:hAnsi="Century Gothic"/>
      <w:b/>
      <w:sz w:val="24"/>
      <w:szCs w:val="24"/>
    </w:rPr>
  </w:style>
  <w:style w:type="paragraph" w:customStyle="1" w:styleId="Default">
    <w:name w:val="Default"/>
    <w:rsid w:val="00477994"/>
    <w:pPr>
      <w:autoSpaceDE w:val="0"/>
      <w:autoSpaceDN w:val="0"/>
      <w:adjustRightInd w:val="0"/>
    </w:pPr>
    <w:rPr>
      <w:rFonts w:ascii="Akzidenz Grotesk BE Bold" w:eastAsia="Batang" w:hAnsi="Akzidenz Grotesk BE Bold" w:cs="Akzidenz Grotesk BE Bold"/>
      <w:color w:val="000000"/>
      <w:sz w:val="24"/>
      <w:szCs w:val="24"/>
      <w:lang w:eastAsia="ko-KR"/>
    </w:rPr>
  </w:style>
  <w:style w:type="character" w:customStyle="1" w:styleId="A0">
    <w:name w:val="A0"/>
    <w:rsid w:val="00477994"/>
    <w:rPr>
      <w:rFonts w:cs="Akzidenz Grotesk BE Bold"/>
      <w:b/>
      <w:bCs/>
      <w:color w:val="FFFFFF"/>
      <w:sz w:val="72"/>
      <w:szCs w:val="72"/>
    </w:rPr>
  </w:style>
  <w:style w:type="paragraph" w:customStyle="1" w:styleId="Pa1">
    <w:name w:val="Pa1"/>
    <w:basedOn w:val="Default"/>
    <w:next w:val="Default"/>
    <w:rsid w:val="00477994"/>
    <w:pPr>
      <w:spacing w:line="241" w:lineRule="atLeast"/>
    </w:pPr>
    <w:rPr>
      <w:rFonts w:cs="Times New Roman"/>
      <w:color w:val="auto"/>
    </w:rPr>
  </w:style>
  <w:style w:type="paragraph" w:customStyle="1" w:styleId="Pa2">
    <w:name w:val="Pa2"/>
    <w:basedOn w:val="Default"/>
    <w:next w:val="Default"/>
    <w:rsid w:val="00477994"/>
    <w:pPr>
      <w:spacing w:before="100" w:line="241" w:lineRule="atLeast"/>
    </w:pPr>
    <w:rPr>
      <w:rFonts w:cs="Times New Roman"/>
      <w:color w:val="auto"/>
    </w:rPr>
  </w:style>
  <w:style w:type="character" w:styleId="CommentReference">
    <w:name w:val="annotation reference"/>
    <w:basedOn w:val="DefaultParagraphFont"/>
    <w:semiHidden/>
    <w:rsid w:val="00146AB4"/>
    <w:rPr>
      <w:sz w:val="16"/>
      <w:szCs w:val="16"/>
    </w:rPr>
  </w:style>
  <w:style w:type="paragraph" w:styleId="CommentText">
    <w:name w:val="annotation text"/>
    <w:basedOn w:val="Normal"/>
    <w:semiHidden/>
    <w:rsid w:val="00146AB4"/>
  </w:style>
  <w:style w:type="paragraph" w:styleId="CommentSubject">
    <w:name w:val="annotation subject"/>
    <w:basedOn w:val="CommentText"/>
    <w:next w:val="CommentText"/>
    <w:semiHidden/>
    <w:rsid w:val="00146AB4"/>
    <w:rPr>
      <w:b/>
      <w:bCs/>
    </w:rPr>
  </w:style>
  <w:style w:type="paragraph" w:styleId="BalloonText">
    <w:name w:val="Balloon Text"/>
    <w:basedOn w:val="Normal"/>
    <w:semiHidden/>
    <w:rsid w:val="00146AB4"/>
    <w:rPr>
      <w:rFonts w:ascii="Tahoma" w:hAnsi="Tahoma" w:cs="Tahoma"/>
      <w:sz w:val="16"/>
      <w:szCs w:val="16"/>
    </w:rPr>
  </w:style>
  <w:style w:type="character" w:styleId="Emphasis">
    <w:name w:val="Emphasis"/>
    <w:basedOn w:val="DefaultParagraphFont"/>
    <w:qFormat/>
    <w:rsid w:val="004E1A27"/>
    <w:rPr>
      <w:i/>
      <w:iCs/>
    </w:rPr>
  </w:style>
  <w:style w:type="character" w:styleId="Strong">
    <w:name w:val="Strong"/>
    <w:basedOn w:val="DefaultParagraphFont"/>
    <w:qFormat/>
    <w:rsid w:val="00C023C0"/>
    <w:rPr>
      <w:b/>
      <w:bCs/>
    </w:rPr>
  </w:style>
  <w:style w:type="character" w:styleId="FollowedHyperlink">
    <w:name w:val="FollowedHyperlink"/>
    <w:basedOn w:val="DefaultParagraphFont"/>
    <w:rsid w:val="006F71BC"/>
    <w:rPr>
      <w:color w:val="800080" w:themeColor="followedHyperlink"/>
      <w:u w:val="single"/>
    </w:rPr>
  </w:style>
  <w:style w:type="paragraph" w:styleId="NormalWeb">
    <w:name w:val="Normal (Web)"/>
    <w:basedOn w:val="Normal"/>
    <w:unhideWhenUsed/>
    <w:rsid w:val="0088143F"/>
    <w:pPr>
      <w:widowControl/>
      <w:autoSpaceDE/>
      <w:autoSpaceDN/>
      <w:adjustRightInd/>
      <w:spacing w:before="100" w:beforeAutospacing="1" w:after="100" w:afterAutospacing="1"/>
    </w:pPr>
    <w:rPr>
      <w:rFonts w:eastAsiaTheme="minorHAnsi"/>
      <w:sz w:val="24"/>
      <w:szCs w:val="24"/>
    </w:rPr>
  </w:style>
  <w:style w:type="paragraph" w:styleId="ListParagraph">
    <w:name w:val="List Paragraph"/>
    <w:basedOn w:val="Normal"/>
    <w:uiPriority w:val="34"/>
    <w:qFormat/>
    <w:rsid w:val="00C34F3E"/>
    <w:pPr>
      <w:widowControl/>
      <w:autoSpaceDE/>
      <w:autoSpaceDN/>
      <w:adjustRightInd/>
      <w:spacing w:after="200" w:line="276" w:lineRule="auto"/>
      <w:ind w:left="720"/>
      <w:contextualSpacing/>
    </w:pPr>
    <w:rPr>
      <w:rFonts w:asciiTheme="minorHAnsi" w:eastAsiaTheme="minorEastAsia" w:hAnsiTheme="minorHAnsi" w:cstheme="minorBidi"/>
      <w:sz w:val="22"/>
      <w:szCs w:val="22"/>
      <w:lang w:eastAsia="ko-KR"/>
    </w:rPr>
  </w:style>
  <w:style w:type="paragraph" w:styleId="PlainText">
    <w:name w:val="Plain Text"/>
    <w:basedOn w:val="Normal"/>
    <w:link w:val="PlainTextChar"/>
    <w:uiPriority w:val="99"/>
    <w:unhideWhenUsed/>
    <w:rsid w:val="0092000B"/>
    <w:pPr>
      <w:widowControl/>
      <w:autoSpaceDE/>
      <w:autoSpaceDN/>
      <w:adjustRightInd/>
    </w:pPr>
    <w:rPr>
      <w:rFonts w:ascii="Calibri" w:eastAsiaTheme="minorEastAsia" w:hAnsi="Calibri" w:cstheme="minorBidi"/>
      <w:sz w:val="22"/>
      <w:szCs w:val="21"/>
      <w:lang w:eastAsia="ko-KR"/>
    </w:rPr>
  </w:style>
  <w:style w:type="character" w:customStyle="1" w:styleId="PlainTextChar">
    <w:name w:val="Plain Text Char"/>
    <w:basedOn w:val="DefaultParagraphFont"/>
    <w:link w:val="PlainText"/>
    <w:uiPriority w:val="99"/>
    <w:rsid w:val="0092000B"/>
    <w:rPr>
      <w:rFonts w:ascii="Calibri" w:eastAsiaTheme="minorEastAsia" w:hAnsi="Calibri" w:cstheme="minorBidi"/>
      <w:sz w:val="22"/>
      <w:szCs w:val="21"/>
      <w:lang w:eastAsia="ko-KR"/>
    </w:rPr>
  </w:style>
  <w:style w:type="paragraph" w:styleId="Revision">
    <w:name w:val="Revision"/>
    <w:hidden/>
    <w:uiPriority w:val="99"/>
    <w:semiHidden/>
    <w:rsid w:val="00A83858"/>
  </w:style>
  <w:style w:type="character" w:customStyle="1" w:styleId="apple-converted-space">
    <w:name w:val="apple-converted-space"/>
    <w:basedOn w:val="DefaultParagraphFont"/>
    <w:rsid w:val="00DE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8581">
      <w:bodyDiv w:val="1"/>
      <w:marLeft w:val="0"/>
      <w:marRight w:val="0"/>
      <w:marTop w:val="0"/>
      <w:marBottom w:val="0"/>
      <w:divBdr>
        <w:top w:val="none" w:sz="0" w:space="0" w:color="auto"/>
        <w:left w:val="none" w:sz="0" w:space="0" w:color="auto"/>
        <w:bottom w:val="none" w:sz="0" w:space="0" w:color="auto"/>
        <w:right w:val="none" w:sz="0" w:space="0" w:color="auto"/>
      </w:divBdr>
    </w:div>
    <w:div w:id="248545064">
      <w:bodyDiv w:val="1"/>
      <w:marLeft w:val="0"/>
      <w:marRight w:val="0"/>
      <w:marTop w:val="0"/>
      <w:marBottom w:val="0"/>
      <w:divBdr>
        <w:top w:val="none" w:sz="0" w:space="0" w:color="auto"/>
        <w:left w:val="none" w:sz="0" w:space="0" w:color="auto"/>
        <w:bottom w:val="none" w:sz="0" w:space="0" w:color="auto"/>
        <w:right w:val="none" w:sz="0" w:space="0" w:color="auto"/>
      </w:divBdr>
    </w:div>
    <w:div w:id="795024247">
      <w:bodyDiv w:val="1"/>
      <w:marLeft w:val="0"/>
      <w:marRight w:val="0"/>
      <w:marTop w:val="0"/>
      <w:marBottom w:val="0"/>
      <w:divBdr>
        <w:top w:val="none" w:sz="0" w:space="0" w:color="auto"/>
        <w:left w:val="none" w:sz="0" w:space="0" w:color="auto"/>
        <w:bottom w:val="none" w:sz="0" w:space="0" w:color="auto"/>
        <w:right w:val="none" w:sz="0" w:space="0" w:color="auto"/>
      </w:divBdr>
    </w:div>
    <w:div w:id="827550975">
      <w:bodyDiv w:val="1"/>
      <w:marLeft w:val="0"/>
      <w:marRight w:val="0"/>
      <w:marTop w:val="0"/>
      <w:marBottom w:val="0"/>
      <w:divBdr>
        <w:top w:val="none" w:sz="0" w:space="0" w:color="auto"/>
        <w:left w:val="none" w:sz="0" w:space="0" w:color="auto"/>
        <w:bottom w:val="none" w:sz="0" w:space="0" w:color="auto"/>
        <w:right w:val="none" w:sz="0" w:space="0" w:color="auto"/>
      </w:divBdr>
      <w:divsChild>
        <w:div w:id="1060520015">
          <w:marLeft w:val="0"/>
          <w:marRight w:val="0"/>
          <w:marTop w:val="0"/>
          <w:marBottom w:val="0"/>
          <w:divBdr>
            <w:top w:val="none" w:sz="0" w:space="0" w:color="auto"/>
            <w:left w:val="none" w:sz="0" w:space="0" w:color="auto"/>
            <w:bottom w:val="none" w:sz="0" w:space="0" w:color="auto"/>
            <w:right w:val="none" w:sz="0" w:space="0" w:color="auto"/>
          </w:divBdr>
          <w:divsChild>
            <w:div w:id="354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012">
      <w:bodyDiv w:val="1"/>
      <w:marLeft w:val="0"/>
      <w:marRight w:val="0"/>
      <w:marTop w:val="0"/>
      <w:marBottom w:val="0"/>
      <w:divBdr>
        <w:top w:val="none" w:sz="0" w:space="0" w:color="auto"/>
        <w:left w:val="none" w:sz="0" w:space="0" w:color="auto"/>
        <w:bottom w:val="none" w:sz="0" w:space="0" w:color="auto"/>
        <w:right w:val="none" w:sz="0" w:space="0" w:color="auto"/>
      </w:divBdr>
    </w:div>
    <w:div w:id="1411580315">
      <w:bodyDiv w:val="1"/>
      <w:marLeft w:val="0"/>
      <w:marRight w:val="0"/>
      <w:marTop w:val="0"/>
      <w:marBottom w:val="0"/>
      <w:divBdr>
        <w:top w:val="none" w:sz="0" w:space="0" w:color="auto"/>
        <w:left w:val="none" w:sz="0" w:space="0" w:color="auto"/>
        <w:bottom w:val="none" w:sz="0" w:space="0" w:color="auto"/>
        <w:right w:val="none" w:sz="0" w:space="0" w:color="auto"/>
      </w:divBdr>
    </w:div>
    <w:div w:id="1573155903">
      <w:bodyDiv w:val="1"/>
      <w:marLeft w:val="0"/>
      <w:marRight w:val="0"/>
      <w:marTop w:val="0"/>
      <w:marBottom w:val="0"/>
      <w:divBdr>
        <w:top w:val="none" w:sz="0" w:space="0" w:color="auto"/>
        <w:left w:val="none" w:sz="0" w:space="0" w:color="auto"/>
        <w:bottom w:val="none" w:sz="0" w:space="0" w:color="auto"/>
        <w:right w:val="none" w:sz="0" w:space="0" w:color="auto"/>
      </w:divBdr>
    </w:div>
    <w:div w:id="1796169830">
      <w:bodyDiv w:val="1"/>
      <w:marLeft w:val="0"/>
      <w:marRight w:val="0"/>
      <w:marTop w:val="0"/>
      <w:marBottom w:val="0"/>
      <w:divBdr>
        <w:top w:val="none" w:sz="0" w:space="0" w:color="auto"/>
        <w:left w:val="none" w:sz="0" w:space="0" w:color="auto"/>
        <w:bottom w:val="none" w:sz="0" w:space="0" w:color="auto"/>
        <w:right w:val="none" w:sz="0" w:space="0" w:color="auto"/>
      </w:divBdr>
    </w:div>
    <w:div w:id="19524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FB26B-56ED-45E9-AB61-91F8C721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2752</Words>
  <Characters>15687</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Urban Transportation Planning CE6602 &amp; CP6311</vt:lpstr>
    </vt:vector>
  </TitlesOfParts>
  <Company>The Write Type</Company>
  <LinksUpToDate>false</LinksUpToDate>
  <CharactersWithSpaces>18403</CharactersWithSpaces>
  <SharedDoc>false</SharedDoc>
  <HLinks>
    <vt:vector size="24" baseType="variant">
      <vt:variant>
        <vt:i4>6291569</vt:i4>
      </vt:variant>
      <vt:variant>
        <vt:i4>9</vt:i4>
      </vt:variant>
      <vt:variant>
        <vt:i4>0</vt:i4>
      </vt:variant>
      <vt:variant>
        <vt:i4>5</vt:i4>
      </vt:variant>
      <vt:variant>
        <vt:lpwstr>http://www.un.org/millennium/sg/report/</vt:lpwstr>
      </vt:variant>
      <vt:variant>
        <vt:lpwstr/>
      </vt:variant>
      <vt:variant>
        <vt:i4>6750240</vt:i4>
      </vt:variant>
      <vt:variant>
        <vt:i4>6</vt:i4>
      </vt:variant>
      <vt:variant>
        <vt:i4>0</vt:i4>
      </vt:variant>
      <vt:variant>
        <vt:i4>5</vt:i4>
      </vt:variant>
      <vt:variant>
        <vt:lpwstr>http://www.ipcc.ch/</vt:lpwstr>
      </vt:variant>
      <vt:variant>
        <vt:lpwstr/>
      </vt:variant>
      <vt:variant>
        <vt:i4>4784155</vt:i4>
      </vt:variant>
      <vt:variant>
        <vt:i4>3</vt:i4>
      </vt:variant>
      <vt:variant>
        <vt:i4>0</vt:i4>
      </vt:variant>
      <vt:variant>
        <vt:i4>5</vt:i4>
      </vt:variant>
      <vt:variant>
        <vt:lpwstr>http://www.cqgrd.gatech.edu/hprg/</vt:lpwstr>
      </vt:variant>
      <vt:variant>
        <vt:lpwstr/>
      </vt:variant>
      <vt:variant>
        <vt:i4>2818161</vt:i4>
      </vt:variant>
      <vt:variant>
        <vt:i4>0</vt:i4>
      </vt:variant>
      <vt:variant>
        <vt:i4>0</vt:i4>
      </vt:variant>
      <vt:variant>
        <vt:i4>5</vt:i4>
      </vt:variant>
      <vt:variant>
        <vt:lpwstr>https://t-square.gatech.edu/portal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Transportation Planning CE6602 &amp; CP6311</dc:title>
  <dc:creator>Jontyl C. Brown</dc:creator>
  <cp:lastModifiedBy>Hodges, Amy D</cp:lastModifiedBy>
  <cp:revision>2</cp:revision>
  <cp:lastPrinted>2014-01-09T18:03:00Z</cp:lastPrinted>
  <dcterms:created xsi:type="dcterms:W3CDTF">2016-02-11T19:13:00Z</dcterms:created>
  <dcterms:modified xsi:type="dcterms:W3CDTF">2016-02-11T19:13:00Z</dcterms:modified>
</cp:coreProperties>
</file>