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04" w:rsidRPr="00C70964" w:rsidRDefault="00526F04" w:rsidP="00526F04">
      <w:pPr>
        <w:jc w:val="center"/>
      </w:pPr>
    </w:p>
    <w:p w:rsidR="00526F04" w:rsidRDefault="00526F04" w:rsidP="00526F04">
      <w:pPr>
        <w:jc w:val="center"/>
      </w:pPr>
      <w:r>
        <w:t>ECON 3300</w:t>
      </w:r>
    </w:p>
    <w:p w:rsidR="00526F04" w:rsidRDefault="00526F04" w:rsidP="00526F04">
      <w:pPr>
        <w:jc w:val="center"/>
      </w:pPr>
    </w:p>
    <w:p w:rsidR="00526F04" w:rsidRPr="00C70964" w:rsidRDefault="00526F04" w:rsidP="00526F04">
      <w:pPr>
        <w:jc w:val="center"/>
      </w:pPr>
      <w:r w:rsidRPr="00C70964">
        <w:t>School of Economics</w:t>
      </w:r>
    </w:p>
    <w:p w:rsidR="00526F04" w:rsidRPr="00C70964" w:rsidRDefault="00526F04" w:rsidP="00526F04">
      <w:pPr>
        <w:jc w:val="center"/>
      </w:pPr>
    </w:p>
    <w:p w:rsidR="00526F04" w:rsidRPr="00C70964" w:rsidRDefault="00526F04" w:rsidP="00526F04">
      <w:pPr>
        <w:autoSpaceDE w:val="0"/>
        <w:autoSpaceDN w:val="0"/>
        <w:adjustRightInd w:val="0"/>
        <w:jc w:val="center"/>
        <w:rPr>
          <w:color w:val="000000"/>
        </w:rPr>
      </w:pPr>
      <w:r w:rsidRPr="00C70964">
        <w:rPr>
          <w:b/>
          <w:bCs/>
          <w:color w:val="000000"/>
        </w:rPr>
        <w:t>Economics of International Energy Markets</w:t>
      </w:r>
    </w:p>
    <w:p w:rsidR="00526F04" w:rsidRPr="00C70964" w:rsidRDefault="00526F04" w:rsidP="00526F04">
      <w:pPr>
        <w:jc w:val="center"/>
      </w:pPr>
    </w:p>
    <w:p w:rsidR="00526F04" w:rsidRPr="00C70964" w:rsidRDefault="00526F04" w:rsidP="00526F04">
      <w:pPr>
        <w:pStyle w:val="HTMLPreformatted"/>
        <w:rPr>
          <w:rFonts w:ascii="Times New Roman" w:hAnsi="Times New Roman" w:cs="Times New Roman"/>
          <w:sz w:val="24"/>
          <w:szCs w:val="24"/>
        </w:rPr>
      </w:pPr>
      <w:r w:rsidRPr="00C70964">
        <w:rPr>
          <w:rFonts w:ascii="Times New Roman" w:hAnsi="Times New Roman" w:cs="Times New Roman"/>
          <w:sz w:val="24"/>
          <w:szCs w:val="24"/>
        </w:rPr>
        <w:t>Instructors: Erik Johnson, ECON, Juan Moreno-Cruz ECON, Usha Nair-Reichert ECON, Emilson Silva ECON</w:t>
      </w:r>
    </w:p>
    <w:p w:rsidR="00526F04" w:rsidRPr="00C70964" w:rsidRDefault="00526F04" w:rsidP="00526F04">
      <w:pPr>
        <w:pStyle w:val="HTMLPreformatted"/>
        <w:jc w:val="center"/>
      </w:pPr>
    </w:p>
    <w:p w:rsidR="00526F04" w:rsidRPr="00C70964" w:rsidRDefault="00526F04" w:rsidP="00526F04">
      <w:pPr>
        <w:pStyle w:val="Heading2"/>
        <w:jc w:val="both"/>
      </w:pPr>
      <w:r w:rsidRPr="00C70964">
        <w:t>Course Description</w:t>
      </w:r>
    </w:p>
    <w:p w:rsidR="00526F04" w:rsidRPr="00C70964" w:rsidRDefault="00526F04" w:rsidP="00526F04">
      <w:pPr>
        <w:jc w:val="both"/>
      </w:pPr>
      <w:r w:rsidRPr="00C70964">
        <w:rPr>
          <w:bCs/>
          <w:color w:val="000000"/>
        </w:rPr>
        <w:t xml:space="preserve">The main purpose of this course is to help students understand the economics of international energy markets and how business and government policy decisions are made in this industry. Students will be introduced to economic models, and financial, institutional and regulatory aspects of energy markets. </w:t>
      </w:r>
    </w:p>
    <w:p w:rsidR="00526F04" w:rsidRPr="00C70964" w:rsidRDefault="00526F04" w:rsidP="00526F04">
      <w:pPr>
        <w:jc w:val="both"/>
      </w:pPr>
    </w:p>
    <w:p w:rsidR="00526F04" w:rsidRPr="00C70964" w:rsidRDefault="00526F04" w:rsidP="00526F04">
      <w:pPr>
        <w:jc w:val="both"/>
      </w:pPr>
    </w:p>
    <w:p w:rsidR="00526F04" w:rsidRPr="00C70964" w:rsidRDefault="00526F04" w:rsidP="00526F04">
      <w:pPr>
        <w:jc w:val="both"/>
        <w:rPr>
          <w:b/>
        </w:rPr>
      </w:pPr>
      <w:r w:rsidRPr="00C70964">
        <w:rPr>
          <w:b/>
        </w:rPr>
        <w:t xml:space="preserve">Required Text: </w:t>
      </w:r>
    </w:p>
    <w:p w:rsidR="00526F04" w:rsidRPr="00C70964" w:rsidRDefault="00526F04" w:rsidP="00526F04">
      <w:pPr>
        <w:numPr>
          <w:ilvl w:val="0"/>
          <w:numId w:val="4"/>
        </w:numPr>
        <w:jc w:val="both"/>
      </w:pPr>
      <w:r w:rsidRPr="00C70964">
        <w:rPr>
          <w:color w:val="000000"/>
        </w:rPr>
        <w:t>Dahl, Carol A.(2004)  “International Energy Markets: Understanding Pricing, Policies, and Profits”.</w:t>
      </w:r>
    </w:p>
    <w:p w:rsidR="00526F04" w:rsidRPr="00C70964" w:rsidRDefault="00526F04" w:rsidP="00526F04">
      <w:pPr>
        <w:numPr>
          <w:ilvl w:val="0"/>
          <w:numId w:val="4"/>
        </w:numPr>
        <w:jc w:val="both"/>
      </w:pPr>
      <w:r w:rsidRPr="00C70964">
        <w:t>Other required materials (mainly journal articles) TBA</w:t>
      </w:r>
    </w:p>
    <w:p w:rsidR="00526F04" w:rsidRPr="00C70964" w:rsidRDefault="00526F04" w:rsidP="00526F04">
      <w:pPr>
        <w:jc w:val="both"/>
      </w:pPr>
    </w:p>
    <w:p w:rsidR="00526F04" w:rsidRPr="00C70964" w:rsidRDefault="00526F04" w:rsidP="00526F04">
      <w:pPr>
        <w:jc w:val="both"/>
      </w:pPr>
    </w:p>
    <w:p w:rsidR="00526F04" w:rsidRPr="00C70964" w:rsidRDefault="00526F04" w:rsidP="00526F04">
      <w:pPr>
        <w:jc w:val="both"/>
        <w:rPr>
          <w:b/>
        </w:rPr>
      </w:pPr>
      <w:r w:rsidRPr="00C70964">
        <w:rPr>
          <w:b/>
        </w:rPr>
        <w:t>Grades and Examinations</w:t>
      </w:r>
    </w:p>
    <w:p w:rsidR="00526F04" w:rsidRPr="00C70964" w:rsidRDefault="00526F04" w:rsidP="00526F04">
      <w:pPr>
        <w:jc w:val="both"/>
      </w:pPr>
      <w:r w:rsidRPr="00C70964">
        <w:t>Class Participation:</w:t>
      </w:r>
      <w:r w:rsidRPr="00C70964">
        <w:tab/>
        <w:t>10%</w:t>
      </w:r>
    </w:p>
    <w:p w:rsidR="00526F04" w:rsidRPr="00C70964" w:rsidRDefault="00526F04" w:rsidP="00526F04">
      <w:pPr>
        <w:jc w:val="both"/>
      </w:pPr>
      <w:r w:rsidRPr="00C70964">
        <w:t>Homework:</w:t>
      </w:r>
      <w:r w:rsidRPr="00C70964">
        <w:tab/>
      </w:r>
      <w:r w:rsidRPr="00C70964">
        <w:tab/>
        <w:t>15%</w:t>
      </w:r>
    </w:p>
    <w:p w:rsidR="00526F04" w:rsidRPr="00C70964" w:rsidRDefault="00526F04" w:rsidP="00526F04">
      <w:pPr>
        <w:jc w:val="both"/>
      </w:pPr>
      <w:r w:rsidRPr="00C70964">
        <w:t>2 Mid-term exam:       50%</w:t>
      </w:r>
    </w:p>
    <w:p w:rsidR="00526F04" w:rsidRPr="00C70964" w:rsidRDefault="00526F04" w:rsidP="00526F04">
      <w:pPr>
        <w:jc w:val="both"/>
      </w:pPr>
      <w:r w:rsidRPr="00C70964">
        <w:t>Final exam:</w:t>
      </w:r>
      <w:r w:rsidRPr="00C70964">
        <w:tab/>
      </w:r>
      <w:r w:rsidRPr="00C70964">
        <w:tab/>
        <w:t>25%</w:t>
      </w:r>
    </w:p>
    <w:p w:rsidR="00526F04" w:rsidRPr="00C70964" w:rsidRDefault="00526F04" w:rsidP="00526F04">
      <w:pPr>
        <w:jc w:val="both"/>
      </w:pPr>
    </w:p>
    <w:p w:rsidR="00526F04" w:rsidRPr="00C70964" w:rsidRDefault="00526F04" w:rsidP="00526F04">
      <w:pPr>
        <w:jc w:val="both"/>
      </w:pPr>
    </w:p>
    <w:p w:rsidR="00526F04" w:rsidRPr="00C70964" w:rsidRDefault="00526F04" w:rsidP="00526F04">
      <w:pPr>
        <w:jc w:val="both"/>
        <w:rPr>
          <w:b/>
        </w:rPr>
      </w:pPr>
      <w:r w:rsidRPr="00C70964">
        <w:rPr>
          <w:b/>
        </w:rPr>
        <w:t>Schedule and Reading Assignments</w:t>
      </w:r>
    </w:p>
    <w:p w:rsidR="00526F04" w:rsidRPr="00C70964" w:rsidRDefault="00526F04" w:rsidP="00526F04">
      <w:pPr>
        <w:jc w:val="both"/>
      </w:pPr>
    </w:p>
    <w:p w:rsidR="00526F04" w:rsidRPr="00C70964" w:rsidRDefault="00526F04" w:rsidP="00526F04">
      <w:pPr>
        <w:pStyle w:val="Heading2"/>
        <w:jc w:val="both"/>
      </w:pPr>
      <w:r w:rsidRPr="00C70964">
        <w:t xml:space="preserve">Week 1: Introduction </w:t>
      </w:r>
    </w:p>
    <w:p w:rsidR="00526F04" w:rsidRPr="00C70964" w:rsidRDefault="00526F04" w:rsidP="00526F04">
      <w:pPr>
        <w:numPr>
          <w:ilvl w:val="0"/>
          <w:numId w:val="1"/>
        </w:numPr>
        <w:jc w:val="both"/>
      </w:pPr>
      <w:r w:rsidRPr="00C70964">
        <w:rPr>
          <w:bCs/>
          <w:color w:val="000000"/>
        </w:rPr>
        <w:t>Chapter 1:  Understanding international energy markets.</w:t>
      </w:r>
    </w:p>
    <w:p w:rsidR="00526F04" w:rsidRPr="00C70964" w:rsidRDefault="00526F04" w:rsidP="00526F04">
      <w:pPr>
        <w:pStyle w:val="Default"/>
        <w:jc w:val="both"/>
      </w:pPr>
    </w:p>
    <w:p w:rsidR="00526F04" w:rsidRPr="00C70964" w:rsidRDefault="00526F04" w:rsidP="00526F04">
      <w:pPr>
        <w:jc w:val="both"/>
        <w:rPr>
          <w:b/>
        </w:rPr>
      </w:pPr>
      <w:r w:rsidRPr="00C70964">
        <w:rPr>
          <w:b/>
        </w:rPr>
        <w:t>Week 2: Introduction</w:t>
      </w:r>
    </w:p>
    <w:p w:rsidR="00526F04" w:rsidRPr="00C70964" w:rsidRDefault="00526F04" w:rsidP="00526F04">
      <w:pPr>
        <w:numPr>
          <w:ilvl w:val="0"/>
          <w:numId w:val="5"/>
        </w:numPr>
        <w:jc w:val="both"/>
      </w:pPr>
      <w:r w:rsidRPr="00C70964">
        <w:rPr>
          <w:bCs/>
          <w:color w:val="000000"/>
        </w:rPr>
        <w:t xml:space="preserve">Chapter 2: </w:t>
      </w:r>
      <w:r w:rsidRPr="00C70964">
        <w:rPr>
          <w:color w:val="000000"/>
        </w:rPr>
        <w:t>Energy Lessons from the Past for the Future</w:t>
      </w:r>
    </w:p>
    <w:p w:rsidR="00526F04" w:rsidRPr="00C70964" w:rsidRDefault="00526F04" w:rsidP="00526F04">
      <w:pPr>
        <w:pStyle w:val="Default"/>
        <w:jc w:val="both"/>
        <w:rPr>
          <w:rFonts w:ascii="Times New Roman" w:hAnsi="Times New Roman"/>
          <w:sz w:val="24"/>
        </w:rPr>
      </w:pPr>
    </w:p>
    <w:p w:rsidR="00526F04" w:rsidRPr="00C70964" w:rsidRDefault="00526F04" w:rsidP="00526F04">
      <w:pPr>
        <w:jc w:val="both"/>
        <w:rPr>
          <w:b/>
        </w:rPr>
      </w:pPr>
      <w:r w:rsidRPr="00C70964">
        <w:rPr>
          <w:b/>
        </w:rPr>
        <w:t>Week 3: Static Market Models</w:t>
      </w:r>
      <w:r w:rsidRPr="00C70964">
        <w:t xml:space="preserve"> </w:t>
      </w:r>
    </w:p>
    <w:p w:rsidR="00526F04" w:rsidRPr="00C70964" w:rsidRDefault="00526F04" w:rsidP="00526F04">
      <w:pPr>
        <w:numPr>
          <w:ilvl w:val="0"/>
          <w:numId w:val="3"/>
        </w:numPr>
        <w:autoSpaceDE w:val="0"/>
        <w:autoSpaceDN w:val="0"/>
        <w:adjustRightInd w:val="0"/>
        <w:jc w:val="both"/>
        <w:rPr>
          <w:color w:val="000000"/>
        </w:rPr>
      </w:pPr>
      <w:r w:rsidRPr="00C70964">
        <w:rPr>
          <w:color w:val="000000"/>
        </w:rPr>
        <w:t>Chapter 3 Perfect Competition and the Coal Industry</w:t>
      </w:r>
    </w:p>
    <w:p w:rsidR="00526F04" w:rsidRPr="00C70964" w:rsidRDefault="00526F04" w:rsidP="00526F04">
      <w:pPr>
        <w:pStyle w:val="Heading2"/>
        <w:jc w:val="both"/>
      </w:pPr>
      <w:r w:rsidRPr="00C70964">
        <w:t>Week 4: Static Market Imperfections</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Chapter 4 Natural Monopoly and Electricity Generation</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Exercise 1</w:t>
      </w:r>
    </w:p>
    <w:p w:rsidR="00526F04" w:rsidRPr="00C70964" w:rsidRDefault="00526F04" w:rsidP="00526F04">
      <w:pPr>
        <w:pStyle w:val="Heading2"/>
        <w:jc w:val="both"/>
      </w:pPr>
      <w:r w:rsidRPr="00C70964">
        <w:lastRenderedPageBreak/>
        <w:t>Week 5: Static Market Imperfections</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Chapter 5 Deregulation and Privatization of Electricity Generation</w:t>
      </w:r>
      <w:r w:rsidRPr="00C70964">
        <w:t xml:space="preserve"> </w:t>
      </w:r>
    </w:p>
    <w:p w:rsidR="00526F04" w:rsidRPr="00C70964" w:rsidRDefault="00526F04" w:rsidP="00526F04">
      <w:pPr>
        <w:numPr>
          <w:ilvl w:val="0"/>
          <w:numId w:val="2"/>
        </w:numPr>
        <w:autoSpaceDE w:val="0"/>
        <w:autoSpaceDN w:val="0"/>
        <w:adjustRightInd w:val="0"/>
        <w:jc w:val="both"/>
        <w:rPr>
          <w:color w:val="000000"/>
        </w:rPr>
      </w:pPr>
      <w:r w:rsidRPr="00C70964">
        <w:t>Midterm Exam 1</w:t>
      </w:r>
    </w:p>
    <w:p w:rsidR="00526F04" w:rsidRPr="00C70964" w:rsidRDefault="00526F04" w:rsidP="00526F04">
      <w:pPr>
        <w:pStyle w:val="Heading2"/>
        <w:jc w:val="both"/>
      </w:pPr>
      <w:r w:rsidRPr="00C70964">
        <w:rPr>
          <w:rFonts w:ascii="Times New Roman" w:hAnsi="Times New Roman"/>
        </w:rPr>
        <w:t xml:space="preserve">Week 6: </w:t>
      </w:r>
      <w:r w:rsidRPr="00C70964">
        <w:rPr>
          <w:color w:val="000000"/>
        </w:rPr>
        <w:t>Static Market Imperfections</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Chapter 6 Monopoly, Dominant Firm and OPEC</w:t>
      </w:r>
    </w:p>
    <w:p w:rsidR="00526F04" w:rsidRPr="00C70964" w:rsidRDefault="00526F04" w:rsidP="00526F04">
      <w:pPr>
        <w:ind w:left="1"/>
        <w:jc w:val="both"/>
      </w:pPr>
    </w:p>
    <w:p w:rsidR="00526F04" w:rsidRPr="00C70964" w:rsidRDefault="00526F04" w:rsidP="00526F04">
      <w:pPr>
        <w:pStyle w:val="Heading2"/>
        <w:jc w:val="both"/>
      </w:pPr>
      <w:r w:rsidRPr="00C70964">
        <w:t xml:space="preserve">Week 7: </w:t>
      </w:r>
      <w:r w:rsidRPr="00C70964">
        <w:rPr>
          <w:color w:val="000000"/>
        </w:rPr>
        <w:t>Static Market Imperfections</w:t>
      </w:r>
    </w:p>
    <w:p w:rsidR="00526F04" w:rsidRPr="00C70964" w:rsidRDefault="00526F04" w:rsidP="00526F04">
      <w:pPr>
        <w:numPr>
          <w:ilvl w:val="0"/>
          <w:numId w:val="6"/>
        </w:numPr>
        <w:tabs>
          <w:tab w:val="left" w:pos="480"/>
          <w:tab w:val="left" w:pos="1320"/>
          <w:tab w:val="right" w:leader="dot" w:pos="9240"/>
        </w:tabs>
        <w:jc w:val="both"/>
        <w:rPr>
          <w:color w:val="000000"/>
        </w:rPr>
      </w:pPr>
      <w:r w:rsidRPr="00C70964">
        <w:rPr>
          <w:i/>
        </w:rPr>
        <w:tab/>
      </w:r>
      <w:r w:rsidRPr="00C70964">
        <w:rPr>
          <w:color w:val="000000"/>
        </w:rPr>
        <w:t>Chapter 7 Market Structure, Transaction Costs Economics and US Natural Gas Markets</w:t>
      </w:r>
    </w:p>
    <w:p w:rsidR="00526F04" w:rsidRPr="00C70964" w:rsidRDefault="00526F04" w:rsidP="00526F04">
      <w:pPr>
        <w:jc w:val="both"/>
      </w:pPr>
    </w:p>
    <w:p w:rsidR="00526F04" w:rsidRPr="00C70964" w:rsidRDefault="00526F04" w:rsidP="00526F04">
      <w:pPr>
        <w:pStyle w:val="Default"/>
        <w:jc w:val="both"/>
        <w:rPr>
          <w:rFonts w:ascii="Times" w:eastAsia="Times" w:hAnsi="Times"/>
          <w:b/>
          <w:bCs/>
          <w:color w:val="000000"/>
          <w:sz w:val="24"/>
        </w:rPr>
      </w:pPr>
      <w:r w:rsidRPr="00C70964">
        <w:rPr>
          <w:rFonts w:ascii="Times" w:eastAsia="Times" w:hAnsi="Times"/>
          <w:b/>
          <w:sz w:val="24"/>
        </w:rPr>
        <w:t xml:space="preserve">Week 8: </w:t>
      </w:r>
      <w:r w:rsidRPr="00C70964">
        <w:rPr>
          <w:rFonts w:ascii="Times" w:eastAsia="Times" w:hAnsi="Times"/>
          <w:b/>
          <w:bCs/>
          <w:color w:val="000000"/>
          <w:sz w:val="24"/>
        </w:rPr>
        <w:t xml:space="preserve">Static Market Imperfections </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Chapter 8 Externalities and Energy Pollution</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Chapter 9 Public Goods and Global Warming</w:t>
      </w:r>
    </w:p>
    <w:p w:rsidR="00526F04" w:rsidRPr="00C70964" w:rsidRDefault="00526F04" w:rsidP="00526F04">
      <w:pPr>
        <w:pStyle w:val="Heading2"/>
        <w:jc w:val="both"/>
        <w:rPr>
          <w:rFonts w:ascii="Times New Roman" w:hAnsi="Times New Roman"/>
          <w:b w:val="0"/>
        </w:rPr>
      </w:pPr>
      <w:r w:rsidRPr="00C70964">
        <w:t xml:space="preserve">Week </w:t>
      </w:r>
      <w:r w:rsidRPr="00C70964">
        <w:rPr>
          <w:color w:val="000000"/>
        </w:rPr>
        <w:t>9: Static Market Imperfections</w:t>
      </w:r>
    </w:p>
    <w:p w:rsidR="00526F04" w:rsidRPr="00C70964" w:rsidRDefault="00526F04" w:rsidP="00526F04">
      <w:pPr>
        <w:numPr>
          <w:ilvl w:val="0"/>
          <w:numId w:val="7"/>
        </w:numPr>
        <w:autoSpaceDE w:val="0"/>
        <w:autoSpaceDN w:val="0"/>
        <w:adjustRightInd w:val="0"/>
        <w:jc w:val="both"/>
        <w:rPr>
          <w:b/>
        </w:rPr>
      </w:pPr>
      <w:r w:rsidRPr="00C70964">
        <w:rPr>
          <w:color w:val="000000"/>
        </w:rPr>
        <w:t>Chapter 10 Monopsony - Japan and the Asia Pacific LNG Market</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Week 10: Static Market</w:t>
      </w:r>
      <w:r w:rsidRPr="00C70964">
        <w:rPr>
          <w:b/>
          <w:bCs/>
          <w:color w:val="000000"/>
        </w:rPr>
        <w:t xml:space="preserve"> Imperfections</w:t>
      </w:r>
    </w:p>
    <w:p w:rsidR="00526F04" w:rsidRPr="00C70964" w:rsidRDefault="00526F04" w:rsidP="00526F04">
      <w:pPr>
        <w:numPr>
          <w:ilvl w:val="0"/>
          <w:numId w:val="2"/>
        </w:numPr>
        <w:autoSpaceDE w:val="0"/>
        <w:autoSpaceDN w:val="0"/>
        <w:adjustRightInd w:val="0"/>
        <w:jc w:val="both"/>
        <w:rPr>
          <w:color w:val="000000"/>
        </w:rPr>
      </w:pPr>
      <w:r w:rsidRPr="00C70964">
        <w:rPr>
          <w:color w:val="000000"/>
        </w:rPr>
        <w:t xml:space="preserve">Chapter 11 Game Theory and the European Natural Gas Market </w:t>
      </w:r>
    </w:p>
    <w:p w:rsidR="00526F04" w:rsidRPr="00C70964" w:rsidRDefault="00526F04" w:rsidP="00526F04">
      <w:pPr>
        <w:numPr>
          <w:ilvl w:val="0"/>
          <w:numId w:val="2"/>
        </w:numPr>
        <w:autoSpaceDE w:val="0"/>
        <w:autoSpaceDN w:val="0"/>
        <w:adjustRightInd w:val="0"/>
        <w:jc w:val="both"/>
        <w:rPr>
          <w:b/>
        </w:rPr>
      </w:pPr>
      <w:r w:rsidRPr="00C70964">
        <w:rPr>
          <w:color w:val="000000"/>
        </w:rPr>
        <w:t>Exercise 2</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Week 11: Dynamic Market Models</w:t>
      </w:r>
    </w:p>
    <w:p w:rsidR="00526F04" w:rsidRPr="00C70964" w:rsidRDefault="00526F04" w:rsidP="00526F04">
      <w:pPr>
        <w:numPr>
          <w:ilvl w:val="0"/>
          <w:numId w:val="8"/>
        </w:numPr>
        <w:autoSpaceDE w:val="0"/>
        <w:autoSpaceDN w:val="0"/>
        <w:adjustRightInd w:val="0"/>
        <w:jc w:val="both"/>
        <w:rPr>
          <w:color w:val="000000"/>
        </w:rPr>
      </w:pPr>
      <w:r w:rsidRPr="00C70964">
        <w:rPr>
          <w:color w:val="000000"/>
        </w:rPr>
        <w:t>Chapter 12 Allocating Fossil Fuel Production over Time and Oil Leasing</w:t>
      </w:r>
    </w:p>
    <w:p w:rsidR="00526F04" w:rsidRPr="00C70964" w:rsidRDefault="00526F04" w:rsidP="00526F04">
      <w:pPr>
        <w:numPr>
          <w:ilvl w:val="0"/>
          <w:numId w:val="8"/>
        </w:numPr>
        <w:autoSpaceDE w:val="0"/>
        <w:autoSpaceDN w:val="0"/>
        <w:adjustRightInd w:val="0"/>
        <w:jc w:val="both"/>
        <w:rPr>
          <w:color w:val="000000"/>
        </w:rPr>
      </w:pPr>
      <w:r w:rsidRPr="00C70964">
        <w:rPr>
          <w:color w:val="000000"/>
        </w:rPr>
        <w:t>Chapter 13 Supply and Cost Curves</w:t>
      </w:r>
    </w:p>
    <w:p w:rsidR="00526F04" w:rsidRPr="00C70964" w:rsidRDefault="00526F04" w:rsidP="00526F04">
      <w:pPr>
        <w:numPr>
          <w:ilvl w:val="0"/>
          <w:numId w:val="8"/>
        </w:numPr>
        <w:autoSpaceDE w:val="0"/>
        <w:autoSpaceDN w:val="0"/>
        <w:adjustRightInd w:val="0"/>
        <w:jc w:val="both"/>
        <w:rPr>
          <w:color w:val="000000"/>
        </w:rPr>
      </w:pPr>
      <w:r w:rsidRPr="00C70964">
        <w:t>Midterm Exam 2</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Week 12: Dynamic Market Models</w:t>
      </w:r>
    </w:p>
    <w:p w:rsidR="00526F04" w:rsidRPr="00C70964" w:rsidRDefault="00526F04" w:rsidP="00526F04">
      <w:pPr>
        <w:numPr>
          <w:ilvl w:val="0"/>
          <w:numId w:val="8"/>
        </w:numPr>
        <w:autoSpaceDE w:val="0"/>
        <w:autoSpaceDN w:val="0"/>
        <w:adjustRightInd w:val="0"/>
        <w:jc w:val="both"/>
        <w:rPr>
          <w:color w:val="000000"/>
        </w:rPr>
      </w:pPr>
      <w:r w:rsidRPr="00C70964">
        <w:rPr>
          <w:color w:val="000000"/>
        </w:rPr>
        <w:t>Chapter 12 Allocating Fossil Fuel Production over Time and Oil Leasing</w:t>
      </w:r>
    </w:p>
    <w:p w:rsidR="00526F04" w:rsidRPr="00C70964" w:rsidRDefault="00526F04" w:rsidP="00526F04">
      <w:pPr>
        <w:numPr>
          <w:ilvl w:val="0"/>
          <w:numId w:val="8"/>
        </w:numPr>
        <w:autoSpaceDE w:val="0"/>
        <w:autoSpaceDN w:val="0"/>
        <w:adjustRightInd w:val="0"/>
        <w:jc w:val="both"/>
        <w:rPr>
          <w:color w:val="000000"/>
        </w:rPr>
      </w:pPr>
      <w:r w:rsidRPr="00C70964">
        <w:rPr>
          <w:color w:val="000000"/>
        </w:rPr>
        <w:t>Chapter 13 Supply and Cost Curves</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Week 13: Linear Models</w:t>
      </w:r>
    </w:p>
    <w:p w:rsidR="00526F04" w:rsidRPr="00C70964" w:rsidRDefault="00526F04" w:rsidP="00526F04">
      <w:pPr>
        <w:numPr>
          <w:ilvl w:val="0"/>
          <w:numId w:val="8"/>
        </w:numPr>
        <w:autoSpaceDE w:val="0"/>
        <w:autoSpaceDN w:val="0"/>
        <w:adjustRightInd w:val="0"/>
        <w:jc w:val="both"/>
        <w:rPr>
          <w:b/>
        </w:rPr>
      </w:pPr>
      <w:r w:rsidRPr="00C70964">
        <w:rPr>
          <w:color w:val="000000"/>
        </w:rPr>
        <w:t>Chapter 14 Linear Programming, Refining and Energy Transportation</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Week 14: Energy Finance</w:t>
      </w:r>
    </w:p>
    <w:p w:rsidR="00526F04" w:rsidRPr="00C70964" w:rsidRDefault="00526F04" w:rsidP="00526F04">
      <w:pPr>
        <w:numPr>
          <w:ilvl w:val="0"/>
          <w:numId w:val="8"/>
        </w:numPr>
        <w:autoSpaceDE w:val="0"/>
        <w:autoSpaceDN w:val="0"/>
        <w:adjustRightInd w:val="0"/>
        <w:jc w:val="both"/>
        <w:rPr>
          <w:b/>
        </w:rPr>
      </w:pPr>
      <w:r w:rsidRPr="00C70964">
        <w:rPr>
          <w:color w:val="000000"/>
        </w:rPr>
        <w:t>Chapter 15 Energy Futures and Options</w:t>
      </w:r>
    </w:p>
    <w:p w:rsidR="00526F04" w:rsidRPr="00C70964" w:rsidRDefault="00526F04" w:rsidP="00526F04">
      <w:pPr>
        <w:pStyle w:val="Default"/>
        <w:jc w:val="both"/>
        <w:rPr>
          <w:b/>
          <w:sz w:val="24"/>
        </w:rPr>
      </w:pPr>
    </w:p>
    <w:p w:rsidR="00526F04" w:rsidRPr="00C70964" w:rsidRDefault="00526F04" w:rsidP="00526F04">
      <w:pPr>
        <w:ind w:left="540" w:hanging="539"/>
        <w:jc w:val="both"/>
        <w:rPr>
          <w:b/>
        </w:rPr>
      </w:pPr>
      <w:r w:rsidRPr="00C70964">
        <w:rPr>
          <w:b/>
        </w:rPr>
        <w:t xml:space="preserve">Week 15: </w:t>
      </w:r>
      <w:r w:rsidRPr="00C70964">
        <w:rPr>
          <w:b/>
          <w:bCs/>
          <w:color w:val="000000"/>
        </w:rPr>
        <w:t>Energy and the Information Revolution</w:t>
      </w:r>
    </w:p>
    <w:p w:rsidR="00526F04" w:rsidRDefault="00526F04" w:rsidP="00526F04">
      <w:pPr>
        <w:autoSpaceDE w:val="0"/>
        <w:autoSpaceDN w:val="0"/>
        <w:adjustRightInd w:val="0"/>
        <w:ind w:firstLine="360"/>
        <w:jc w:val="both"/>
        <w:rPr>
          <w:color w:val="000000"/>
        </w:rPr>
      </w:pPr>
      <w:r w:rsidRPr="00C70964">
        <w:rPr>
          <w:color w:val="000000"/>
        </w:rPr>
        <w:t>Chapter 16 Energy and Information Technologies</w:t>
      </w:r>
    </w:p>
    <w:p w:rsidR="00660BDD" w:rsidRDefault="00660BDD">
      <w:bookmarkStart w:id="0" w:name="_GoBack"/>
      <w:bookmarkEnd w:id="0"/>
    </w:p>
    <w:sectPr w:rsidR="0066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546D1"/>
    <w:multiLevelType w:val="hybridMultilevel"/>
    <w:tmpl w:val="179CFCF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95C6AED"/>
    <w:multiLevelType w:val="hybridMultilevel"/>
    <w:tmpl w:val="AEC8D7B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09B3F37"/>
    <w:multiLevelType w:val="hybridMultilevel"/>
    <w:tmpl w:val="A126BD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33761F3"/>
    <w:multiLevelType w:val="hybridMultilevel"/>
    <w:tmpl w:val="06ECE3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4DE456A4"/>
    <w:multiLevelType w:val="hybridMultilevel"/>
    <w:tmpl w:val="DBDAB8A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4E850B01"/>
    <w:multiLevelType w:val="hybridMultilevel"/>
    <w:tmpl w:val="BC3E3A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649213DB"/>
    <w:multiLevelType w:val="hybridMultilevel"/>
    <w:tmpl w:val="BB1A72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7AD2264E"/>
    <w:multiLevelType w:val="hybridMultilevel"/>
    <w:tmpl w:val="543CF7BE"/>
    <w:lvl w:ilvl="0" w:tplc="00010409">
      <w:start w:val="1"/>
      <w:numFmt w:val="bullet"/>
      <w:lvlText w:val=""/>
      <w:lvlJc w:val="left"/>
      <w:pPr>
        <w:tabs>
          <w:tab w:val="num" w:pos="721"/>
        </w:tabs>
        <w:ind w:left="721" w:hanging="360"/>
      </w:pPr>
      <w:rPr>
        <w:rFonts w:ascii="Symbol" w:hAnsi="Symbol" w:hint="default"/>
      </w:rPr>
    </w:lvl>
    <w:lvl w:ilvl="1" w:tplc="00030409" w:tentative="1">
      <w:start w:val="1"/>
      <w:numFmt w:val="bullet"/>
      <w:lvlText w:val="o"/>
      <w:lvlJc w:val="left"/>
      <w:pPr>
        <w:tabs>
          <w:tab w:val="num" w:pos="1441"/>
        </w:tabs>
        <w:ind w:left="1441" w:hanging="360"/>
      </w:pPr>
      <w:rPr>
        <w:rFonts w:ascii="Courier New" w:hAnsi="Courier New" w:hint="default"/>
      </w:rPr>
    </w:lvl>
    <w:lvl w:ilvl="2" w:tplc="00050409" w:tentative="1">
      <w:start w:val="1"/>
      <w:numFmt w:val="bullet"/>
      <w:lvlText w:val=""/>
      <w:lvlJc w:val="left"/>
      <w:pPr>
        <w:tabs>
          <w:tab w:val="num" w:pos="2161"/>
        </w:tabs>
        <w:ind w:left="2161" w:hanging="360"/>
      </w:pPr>
      <w:rPr>
        <w:rFonts w:ascii="Wingdings" w:hAnsi="Wingdings" w:hint="default"/>
      </w:rPr>
    </w:lvl>
    <w:lvl w:ilvl="3" w:tplc="00010409" w:tentative="1">
      <w:start w:val="1"/>
      <w:numFmt w:val="bullet"/>
      <w:lvlText w:val=""/>
      <w:lvlJc w:val="left"/>
      <w:pPr>
        <w:tabs>
          <w:tab w:val="num" w:pos="2881"/>
        </w:tabs>
        <w:ind w:left="2881" w:hanging="360"/>
      </w:pPr>
      <w:rPr>
        <w:rFonts w:ascii="Symbol" w:hAnsi="Symbol" w:hint="default"/>
      </w:rPr>
    </w:lvl>
    <w:lvl w:ilvl="4" w:tplc="00030409" w:tentative="1">
      <w:start w:val="1"/>
      <w:numFmt w:val="bullet"/>
      <w:lvlText w:val="o"/>
      <w:lvlJc w:val="left"/>
      <w:pPr>
        <w:tabs>
          <w:tab w:val="num" w:pos="3601"/>
        </w:tabs>
        <w:ind w:left="3601" w:hanging="360"/>
      </w:pPr>
      <w:rPr>
        <w:rFonts w:ascii="Courier New" w:hAnsi="Courier New" w:hint="default"/>
      </w:rPr>
    </w:lvl>
    <w:lvl w:ilvl="5" w:tplc="00050409" w:tentative="1">
      <w:start w:val="1"/>
      <w:numFmt w:val="bullet"/>
      <w:lvlText w:val=""/>
      <w:lvlJc w:val="left"/>
      <w:pPr>
        <w:tabs>
          <w:tab w:val="num" w:pos="4321"/>
        </w:tabs>
        <w:ind w:left="4321" w:hanging="360"/>
      </w:pPr>
      <w:rPr>
        <w:rFonts w:ascii="Wingdings" w:hAnsi="Wingdings" w:hint="default"/>
      </w:rPr>
    </w:lvl>
    <w:lvl w:ilvl="6" w:tplc="00010409" w:tentative="1">
      <w:start w:val="1"/>
      <w:numFmt w:val="bullet"/>
      <w:lvlText w:val=""/>
      <w:lvlJc w:val="left"/>
      <w:pPr>
        <w:tabs>
          <w:tab w:val="num" w:pos="5041"/>
        </w:tabs>
        <w:ind w:left="5041" w:hanging="360"/>
      </w:pPr>
      <w:rPr>
        <w:rFonts w:ascii="Symbol" w:hAnsi="Symbol" w:hint="default"/>
      </w:rPr>
    </w:lvl>
    <w:lvl w:ilvl="7" w:tplc="00030409" w:tentative="1">
      <w:start w:val="1"/>
      <w:numFmt w:val="bullet"/>
      <w:lvlText w:val="o"/>
      <w:lvlJc w:val="left"/>
      <w:pPr>
        <w:tabs>
          <w:tab w:val="num" w:pos="5761"/>
        </w:tabs>
        <w:ind w:left="5761" w:hanging="360"/>
      </w:pPr>
      <w:rPr>
        <w:rFonts w:ascii="Courier New" w:hAnsi="Courier New" w:hint="default"/>
      </w:rPr>
    </w:lvl>
    <w:lvl w:ilvl="8" w:tplc="00050409" w:tentative="1">
      <w:start w:val="1"/>
      <w:numFmt w:val="bullet"/>
      <w:lvlText w:val=""/>
      <w:lvlJc w:val="left"/>
      <w:pPr>
        <w:tabs>
          <w:tab w:val="num" w:pos="6481"/>
        </w:tabs>
        <w:ind w:left="6481"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04"/>
    <w:rsid w:val="00526F04"/>
    <w:rsid w:val="0066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04"/>
    <w:pPr>
      <w:spacing w:after="0"/>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526F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26F0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rsid w:val="0052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a-IN"/>
    </w:rPr>
  </w:style>
  <w:style w:type="character" w:customStyle="1" w:styleId="HTMLPreformattedChar">
    <w:name w:val="HTML Preformatted Char"/>
    <w:basedOn w:val="DefaultParagraphFont"/>
    <w:link w:val="HTMLPreformatted"/>
    <w:uiPriority w:val="99"/>
    <w:rsid w:val="00526F04"/>
    <w:rPr>
      <w:rFonts w:ascii="Courier New" w:eastAsia="Times New Roman" w:hAnsi="Courier New" w:cs="Courier New"/>
      <w:sz w:val="20"/>
      <w:szCs w:val="20"/>
      <w:lang w:bidi="ta-IN"/>
    </w:rPr>
  </w:style>
  <w:style w:type="paragraph" w:customStyle="1" w:styleId="Default">
    <w:name w:val="Default"/>
    <w:rsid w:val="00526F04"/>
    <w:pPr>
      <w:widowControl w:val="0"/>
      <w:autoSpaceDE w:val="0"/>
      <w:autoSpaceDN w:val="0"/>
      <w:adjustRightInd w:val="0"/>
      <w:spacing w:after="0"/>
    </w:pPr>
    <w:rPr>
      <w:rFonts w:ascii="TimesNewRoman" w:eastAsia="Times New Roman" w:hAnsi="TimesNew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04"/>
    <w:pPr>
      <w:spacing w:after="0"/>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526F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26F0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rsid w:val="0052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a-IN"/>
    </w:rPr>
  </w:style>
  <w:style w:type="character" w:customStyle="1" w:styleId="HTMLPreformattedChar">
    <w:name w:val="HTML Preformatted Char"/>
    <w:basedOn w:val="DefaultParagraphFont"/>
    <w:link w:val="HTMLPreformatted"/>
    <w:uiPriority w:val="99"/>
    <w:rsid w:val="00526F04"/>
    <w:rPr>
      <w:rFonts w:ascii="Courier New" w:eastAsia="Times New Roman" w:hAnsi="Courier New" w:cs="Courier New"/>
      <w:sz w:val="20"/>
      <w:szCs w:val="20"/>
      <w:lang w:bidi="ta-IN"/>
    </w:rPr>
  </w:style>
  <w:style w:type="paragraph" w:customStyle="1" w:styleId="Default">
    <w:name w:val="Default"/>
    <w:rsid w:val="00526F04"/>
    <w:pPr>
      <w:widowControl w:val="0"/>
      <w:autoSpaceDE w:val="0"/>
      <w:autoSpaceDN w:val="0"/>
      <w:adjustRightInd w:val="0"/>
      <w:spacing w:after="0"/>
    </w:pPr>
    <w:rPr>
      <w:rFonts w:ascii="TimesNewRoman" w:eastAsia="Times New Roman" w:hAnsi="TimesNew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HOWSON , SHAWN C</dc:creator>
  <cp:lastModifiedBy>HOWSON , SHAWN C</cp:lastModifiedBy>
  <cp:revision>1</cp:revision>
  <dcterms:created xsi:type="dcterms:W3CDTF">2011-11-14T15:44:00Z</dcterms:created>
  <dcterms:modified xsi:type="dcterms:W3CDTF">2011-11-14T15:45:00Z</dcterms:modified>
</cp:coreProperties>
</file>