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3454C" w14:textId="2C7E1015" w:rsidR="00D72D95" w:rsidRDefault="000A4C1E" w:rsidP="00CA412A">
      <w:pPr>
        <w:pStyle w:val="Title"/>
        <w:jc w:val="center"/>
        <w:rPr>
          <w:color w:val="000000" w:themeColor="text1"/>
          <w:sz w:val="36"/>
          <w:szCs w:val="36"/>
        </w:rPr>
      </w:pPr>
      <w:r w:rsidRPr="006D7D99">
        <w:rPr>
          <w:color w:val="000000" w:themeColor="text1"/>
          <w:sz w:val="36"/>
          <w:szCs w:val="36"/>
        </w:rPr>
        <w:t xml:space="preserve">FRENCH </w:t>
      </w:r>
      <w:r w:rsidR="00D72D95">
        <w:rPr>
          <w:color w:val="000000" w:themeColor="text1"/>
          <w:sz w:val="36"/>
          <w:szCs w:val="36"/>
        </w:rPr>
        <w:t>4110/</w:t>
      </w:r>
      <w:r w:rsidR="00193CD8">
        <w:rPr>
          <w:color w:val="000000" w:themeColor="text1"/>
          <w:sz w:val="36"/>
          <w:szCs w:val="36"/>
        </w:rPr>
        <w:t>6</w:t>
      </w:r>
      <w:r w:rsidR="00C063EB">
        <w:rPr>
          <w:color w:val="000000" w:themeColor="text1"/>
          <w:sz w:val="36"/>
          <w:szCs w:val="36"/>
        </w:rPr>
        <w:t>110</w:t>
      </w:r>
      <w:r w:rsidR="00193CD8" w:rsidRPr="006D7D99">
        <w:rPr>
          <w:color w:val="000000" w:themeColor="text1"/>
          <w:sz w:val="36"/>
          <w:szCs w:val="36"/>
        </w:rPr>
        <w:t xml:space="preserve"> </w:t>
      </w:r>
    </w:p>
    <w:p w14:paraId="0A2883EB" w14:textId="7B3BAEF2" w:rsidR="000A4C1E" w:rsidRPr="006D7D99" w:rsidRDefault="001B29D2" w:rsidP="00CA412A">
      <w:pPr>
        <w:pStyle w:val="Title"/>
        <w:jc w:val="center"/>
        <w:rPr>
          <w:color w:val="000000" w:themeColor="text1"/>
          <w:sz w:val="36"/>
          <w:szCs w:val="36"/>
        </w:rPr>
      </w:pPr>
      <w:r>
        <w:rPr>
          <w:color w:val="000000" w:themeColor="text1"/>
          <w:sz w:val="36"/>
          <w:szCs w:val="36"/>
        </w:rPr>
        <w:t xml:space="preserve">GENDER </w:t>
      </w:r>
      <w:r w:rsidR="00C063EB">
        <w:rPr>
          <w:color w:val="000000" w:themeColor="text1"/>
          <w:sz w:val="36"/>
          <w:szCs w:val="36"/>
        </w:rPr>
        <w:t>IN FRENCH SPEAKING SOCIETIES</w:t>
      </w:r>
    </w:p>
    <w:p w14:paraId="591C4619" w14:textId="00D8D91D" w:rsidR="008F4EC5" w:rsidRPr="006D7D99" w:rsidRDefault="008F4EC5" w:rsidP="00502885">
      <w:pPr>
        <w:jc w:val="center"/>
        <w:rPr>
          <w:rFonts w:asciiTheme="majorHAnsi" w:hAnsiTheme="majorHAnsi"/>
          <w:color w:val="000000" w:themeColor="text1"/>
          <w:szCs w:val="22"/>
        </w:rPr>
      </w:pPr>
    </w:p>
    <w:p w14:paraId="01A72A2D" w14:textId="1A0DCF8E" w:rsidR="004B2A40" w:rsidRPr="006D7D99" w:rsidRDefault="00463815" w:rsidP="00502885">
      <w:pPr>
        <w:pStyle w:val="Title"/>
        <w:jc w:val="center"/>
        <w:rPr>
          <w:color w:val="000000" w:themeColor="text1"/>
          <w:sz w:val="22"/>
          <w:szCs w:val="22"/>
        </w:rPr>
      </w:pPr>
      <w:r w:rsidRPr="006D7D99">
        <w:rPr>
          <w:color w:val="000000" w:themeColor="text1"/>
          <w:sz w:val="22"/>
          <w:szCs w:val="22"/>
        </w:rPr>
        <w:t>Syllabus</w:t>
      </w:r>
    </w:p>
    <w:p w14:paraId="0509BCD2" w14:textId="77777777" w:rsidR="00D51688" w:rsidRPr="006D7D99" w:rsidRDefault="00D51688" w:rsidP="00D51688">
      <w:pPr>
        <w:rPr>
          <w:rFonts w:asciiTheme="majorHAnsi" w:hAnsiTheme="majorHAnsi"/>
          <w:color w:val="000000" w:themeColor="text1"/>
          <w:szCs w:val="22"/>
        </w:rPr>
      </w:pPr>
    </w:p>
    <w:p w14:paraId="619D67CE" w14:textId="464B69B0" w:rsidR="001C5E8D" w:rsidRPr="006D7D99" w:rsidRDefault="00764E33" w:rsidP="00D67A1B">
      <w:pPr>
        <w:pStyle w:val="Heading2"/>
      </w:pPr>
      <w:r w:rsidRPr="006D7D99">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6D7D99" w:rsidRPr="006D7D99" w14:paraId="5848D30F" w14:textId="77777777" w:rsidTr="00756CE2">
        <w:trPr>
          <w:cnfStyle w:val="100000000000" w:firstRow="1" w:lastRow="0" w:firstColumn="0" w:lastColumn="0" w:oddVBand="0" w:evenVBand="0" w:oddHBand="0" w:evenHBand="0" w:firstRowFirstColumn="0" w:firstRowLastColumn="0" w:lastRowFirstColumn="0" w:lastRowLastColumn="0"/>
          <w:trHeight w:val="279"/>
        </w:trPr>
        <w:tc>
          <w:tcPr>
            <w:tcW w:w="3239" w:type="dxa"/>
          </w:tcPr>
          <w:p w14:paraId="6EA432EA" w14:textId="77777777" w:rsidR="001C5E8D" w:rsidRPr="006D7D99" w:rsidRDefault="00463815" w:rsidP="00764E33">
            <w:pPr>
              <w:spacing w:after="0"/>
              <w:rPr>
                <w:color w:val="000000" w:themeColor="text1"/>
                <w:szCs w:val="22"/>
              </w:rPr>
            </w:pPr>
            <w:r w:rsidRPr="006D7D99">
              <w:rPr>
                <w:color w:val="000000" w:themeColor="text1"/>
                <w:szCs w:val="22"/>
              </w:rPr>
              <w:t>Instructor</w:t>
            </w:r>
          </w:p>
        </w:tc>
        <w:tc>
          <w:tcPr>
            <w:tcW w:w="3240" w:type="dxa"/>
          </w:tcPr>
          <w:p w14:paraId="2C423D3C" w14:textId="77777777" w:rsidR="001C5E8D" w:rsidRPr="006D7D99" w:rsidRDefault="00463815" w:rsidP="00764E33">
            <w:pPr>
              <w:spacing w:after="0"/>
              <w:rPr>
                <w:color w:val="000000" w:themeColor="text1"/>
                <w:szCs w:val="22"/>
              </w:rPr>
            </w:pPr>
            <w:r w:rsidRPr="006D7D99">
              <w:rPr>
                <w:color w:val="000000" w:themeColor="text1"/>
                <w:szCs w:val="22"/>
              </w:rPr>
              <w:t>Email</w:t>
            </w:r>
          </w:p>
        </w:tc>
        <w:tc>
          <w:tcPr>
            <w:tcW w:w="3241" w:type="dxa"/>
          </w:tcPr>
          <w:p w14:paraId="0433F4F3" w14:textId="77777777" w:rsidR="001C5E8D" w:rsidRPr="006D7D99" w:rsidRDefault="00463815" w:rsidP="00764E33">
            <w:pPr>
              <w:spacing w:after="0"/>
              <w:rPr>
                <w:color w:val="000000" w:themeColor="text1"/>
                <w:szCs w:val="22"/>
              </w:rPr>
            </w:pPr>
            <w:r w:rsidRPr="006D7D99">
              <w:rPr>
                <w:color w:val="000000" w:themeColor="text1"/>
                <w:szCs w:val="22"/>
              </w:rPr>
              <w:t xml:space="preserve">Office </w:t>
            </w:r>
            <w:r w:rsidR="002001DA" w:rsidRPr="006D7D99">
              <w:rPr>
                <w:color w:val="000000" w:themeColor="text1"/>
                <w:szCs w:val="22"/>
              </w:rPr>
              <w:t xml:space="preserve">Hours &amp; </w:t>
            </w:r>
            <w:r w:rsidRPr="006D7D99">
              <w:rPr>
                <w:color w:val="000000" w:themeColor="text1"/>
                <w:szCs w:val="22"/>
              </w:rPr>
              <w:t>Location</w:t>
            </w:r>
          </w:p>
        </w:tc>
      </w:tr>
      <w:tr w:rsidR="006D7D99" w:rsidRPr="006D7D99" w14:paraId="25717A81" w14:textId="77777777" w:rsidTr="004B2A40">
        <w:tc>
          <w:tcPr>
            <w:tcW w:w="3239" w:type="dxa"/>
          </w:tcPr>
          <w:p w14:paraId="7CD5DCE8" w14:textId="45A4C3E5" w:rsidR="001C5E8D" w:rsidRPr="006D7D99" w:rsidRDefault="00786472" w:rsidP="00433453">
            <w:pPr>
              <w:rPr>
                <w:rFonts w:asciiTheme="majorHAnsi" w:hAnsiTheme="majorHAnsi"/>
                <w:color w:val="000000" w:themeColor="text1"/>
                <w:szCs w:val="22"/>
              </w:rPr>
            </w:pPr>
            <w:r w:rsidRPr="006D7D99">
              <w:rPr>
                <w:rFonts w:asciiTheme="majorHAnsi" w:hAnsiTheme="majorHAnsi"/>
                <w:color w:val="000000" w:themeColor="text1"/>
                <w:szCs w:val="22"/>
              </w:rPr>
              <w:t xml:space="preserve">Dr. </w:t>
            </w:r>
            <w:r w:rsidR="001B29D2">
              <w:rPr>
                <w:rFonts w:asciiTheme="majorHAnsi" w:hAnsiTheme="majorHAnsi"/>
                <w:color w:val="000000" w:themeColor="text1"/>
                <w:szCs w:val="22"/>
              </w:rPr>
              <w:t>Cottille-Foley</w:t>
            </w:r>
          </w:p>
        </w:tc>
        <w:tc>
          <w:tcPr>
            <w:tcW w:w="3240" w:type="dxa"/>
          </w:tcPr>
          <w:p w14:paraId="3388B727" w14:textId="06B2CEB4" w:rsidR="001C5E8D" w:rsidRPr="006D7D99" w:rsidRDefault="001B29D2" w:rsidP="00433453">
            <w:pPr>
              <w:rPr>
                <w:rFonts w:asciiTheme="majorHAnsi" w:hAnsiTheme="majorHAnsi"/>
                <w:color w:val="000000" w:themeColor="text1"/>
                <w:szCs w:val="22"/>
              </w:rPr>
            </w:pPr>
            <w:r>
              <w:rPr>
                <w:rFonts w:asciiTheme="majorHAnsi" w:hAnsiTheme="majorHAnsi"/>
                <w:color w:val="000000" w:themeColor="text1"/>
                <w:szCs w:val="22"/>
              </w:rPr>
              <w:t>drncf</w:t>
            </w:r>
            <w:r w:rsidR="00433453" w:rsidRPr="006D7D99">
              <w:rPr>
                <w:rFonts w:asciiTheme="majorHAnsi" w:hAnsiTheme="majorHAnsi"/>
                <w:color w:val="000000" w:themeColor="text1"/>
                <w:szCs w:val="22"/>
              </w:rPr>
              <w:t>@gatech.edu</w:t>
            </w:r>
          </w:p>
        </w:tc>
        <w:tc>
          <w:tcPr>
            <w:tcW w:w="3241" w:type="dxa"/>
          </w:tcPr>
          <w:p w14:paraId="1EE72B36" w14:textId="1E0F7008" w:rsidR="004B2A40" w:rsidRPr="006D7D99" w:rsidRDefault="00433453" w:rsidP="001B29D2">
            <w:pPr>
              <w:rPr>
                <w:rFonts w:asciiTheme="majorHAnsi" w:hAnsiTheme="majorHAnsi"/>
                <w:color w:val="000000" w:themeColor="text1"/>
                <w:szCs w:val="22"/>
              </w:rPr>
            </w:pPr>
            <w:r w:rsidRPr="006D7D99">
              <w:rPr>
                <w:rFonts w:asciiTheme="majorHAnsi" w:hAnsiTheme="majorHAnsi"/>
                <w:color w:val="000000" w:themeColor="text1"/>
                <w:szCs w:val="22"/>
              </w:rPr>
              <w:t xml:space="preserve">Swann </w:t>
            </w:r>
            <w:r w:rsidR="001B29D2">
              <w:rPr>
                <w:rFonts w:asciiTheme="majorHAnsi" w:hAnsiTheme="majorHAnsi"/>
                <w:color w:val="000000" w:themeColor="text1"/>
                <w:szCs w:val="22"/>
              </w:rPr>
              <w:t>21</w:t>
            </w:r>
            <w:r w:rsidR="008F4EC5" w:rsidRPr="006D7D99">
              <w:rPr>
                <w:rFonts w:asciiTheme="majorHAnsi" w:hAnsiTheme="majorHAnsi"/>
                <w:color w:val="000000" w:themeColor="text1"/>
                <w:szCs w:val="22"/>
              </w:rPr>
              <w:t>5</w:t>
            </w:r>
            <w:r w:rsidR="00463815" w:rsidRPr="006D7D99">
              <w:rPr>
                <w:rFonts w:asciiTheme="majorHAnsi" w:hAnsiTheme="majorHAnsi"/>
                <w:color w:val="000000" w:themeColor="text1"/>
                <w:szCs w:val="22"/>
              </w:rPr>
              <w:t xml:space="preserve">, </w:t>
            </w:r>
            <w:r w:rsidR="001B29D2">
              <w:rPr>
                <w:rFonts w:asciiTheme="majorHAnsi" w:hAnsiTheme="majorHAnsi"/>
                <w:color w:val="000000" w:themeColor="text1"/>
                <w:szCs w:val="22"/>
              </w:rPr>
              <w:t>T-Th 10:50</w:t>
            </w:r>
            <w:r w:rsidR="008F4EC5" w:rsidRPr="006D7D99">
              <w:rPr>
                <w:rFonts w:asciiTheme="majorHAnsi" w:hAnsiTheme="majorHAnsi"/>
                <w:color w:val="000000" w:themeColor="text1"/>
                <w:szCs w:val="22"/>
              </w:rPr>
              <w:t>-</w:t>
            </w:r>
            <w:r w:rsidR="001B29D2">
              <w:rPr>
                <w:rFonts w:asciiTheme="majorHAnsi" w:hAnsiTheme="majorHAnsi"/>
                <w:color w:val="000000" w:themeColor="text1"/>
                <w:szCs w:val="22"/>
              </w:rPr>
              <w:t>11:50</w:t>
            </w:r>
          </w:p>
        </w:tc>
      </w:tr>
    </w:tbl>
    <w:p w14:paraId="406E6F70" w14:textId="77777777" w:rsidR="008F4EC5" w:rsidRPr="006D7D99" w:rsidRDefault="008F4EC5" w:rsidP="008F4EC5">
      <w:pPr>
        <w:spacing w:before="240" w:after="80"/>
        <w:rPr>
          <w:rFonts w:asciiTheme="majorHAnsi" w:hAnsiTheme="majorHAnsi"/>
          <w:b/>
          <w:color w:val="000000" w:themeColor="text1"/>
          <w:szCs w:val="22"/>
        </w:rPr>
      </w:pPr>
    </w:p>
    <w:p w14:paraId="1738357B" w14:textId="3BB37865" w:rsidR="008253E5" w:rsidRPr="00D67A1B" w:rsidRDefault="00425E17" w:rsidP="00D67A1B">
      <w:pPr>
        <w:pStyle w:val="Heading2"/>
      </w:pPr>
      <w:r w:rsidRPr="00D67A1B">
        <w:t>General Information</w:t>
      </w:r>
    </w:p>
    <w:p w14:paraId="66FEB9D3" w14:textId="6F1E858B" w:rsidR="008253E5" w:rsidRPr="00BA4D50" w:rsidRDefault="008F4EC5" w:rsidP="00D67A1B">
      <w:pPr>
        <w:pStyle w:val="Heading4"/>
      </w:pPr>
      <w:r w:rsidRPr="00BA4D50">
        <w:t xml:space="preserve">Course </w:t>
      </w:r>
      <w:r w:rsidR="00463815" w:rsidRPr="00BA4D50">
        <w:t>Descriptio</w:t>
      </w:r>
      <w:r w:rsidR="008253E5" w:rsidRPr="00BA4D50">
        <w:t>n</w:t>
      </w:r>
    </w:p>
    <w:p w14:paraId="4EA25455" w14:textId="00F610F3" w:rsidR="00875294" w:rsidRDefault="00BB7E8F">
      <w:r w:rsidRPr="00C7031C">
        <w:t>This course explores the intersection of Gender with French history, politics, ethics, laws, professions, medical field</w:t>
      </w:r>
      <w:r w:rsidR="00F610A5" w:rsidRPr="00C7031C">
        <w:t>s</w:t>
      </w:r>
      <w:r w:rsidRPr="00C7031C">
        <w:t>, social classes, religion</w:t>
      </w:r>
      <w:r w:rsidR="00F610A5" w:rsidRPr="00C7031C">
        <w:t>s</w:t>
      </w:r>
      <w:r w:rsidRPr="00C7031C">
        <w:t xml:space="preserve">, nationalisms, and </w:t>
      </w:r>
      <w:r w:rsidR="00F610A5" w:rsidRPr="00C7031C">
        <w:t xml:space="preserve">(perceived) </w:t>
      </w:r>
      <w:r w:rsidRPr="00C7031C">
        <w:t>ethnicity.</w:t>
      </w:r>
      <w:r w:rsidR="00F610A5" w:rsidRPr="00C7031C">
        <w:t xml:space="preserve"> We will </w:t>
      </w:r>
      <w:r w:rsidR="003279B4">
        <w:t xml:space="preserve">first </w:t>
      </w:r>
      <w:r w:rsidR="00F610A5" w:rsidRPr="00C7031C">
        <w:t>study the representation and definitions of gender at pivotal moments in the history of the French culture: writers Marie de France in the Middle</w:t>
      </w:r>
      <w:r w:rsidR="00875294">
        <w:t xml:space="preserve"> </w:t>
      </w:r>
      <w:r w:rsidR="00F610A5" w:rsidRPr="00C7031C">
        <w:t>Ages, Christine de Pisan during the Renaissance, Olympe de Gouges during the French Revolution, Louise Michel in the 19</w:t>
      </w:r>
      <w:r w:rsidR="00F610A5" w:rsidRPr="00C7031C">
        <w:rPr>
          <w:vertAlign w:val="superscript"/>
        </w:rPr>
        <w:t>th</w:t>
      </w:r>
      <w:r w:rsidR="00F610A5" w:rsidRPr="00C7031C">
        <w:t xml:space="preserve"> century, and Simone de Beauvoir during the 20</w:t>
      </w:r>
      <w:r w:rsidR="00F610A5" w:rsidRPr="00C7031C">
        <w:rPr>
          <w:vertAlign w:val="superscript"/>
        </w:rPr>
        <w:t>th</w:t>
      </w:r>
      <w:r w:rsidR="00F610A5" w:rsidRPr="00C7031C">
        <w:t xml:space="preserve"> century. </w:t>
      </w:r>
    </w:p>
    <w:p w14:paraId="51E909FA" w14:textId="7AF4D9AB" w:rsidR="008253E5" w:rsidRDefault="00896F64">
      <w:r>
        <w:t>The focus will then shift to</w:t>
      </w:r>
      <w:r w:rsidR="004D242A">
        <w:t xml:space="preserve"> contemporary issues</w:t>
      </w:r>
      <w:r w:rsidR="008253E5">
        <w:t xml:space="preserve">. </w:t>
      </w:r>
      <w:r w:rsidR="00875294">
        <w:t>We will examine various interactions between gender, politics and ethics after 1980. This will include discussions about representations of gender</w:t>
      </w:r>
      <w:r w:rsidR="00826E97">
        <w:t xml:space="preserve"> in the entertainment industry and in the medical field. </w:t>
      </w:r>
      <w:r>
        <w:t>We will then turn our attention to legal issues:</w:t>
      </w:r>
      <w:r w:rsidR="00826E97">
        <w:t xml:space="preserve"> hate speech and discrimination, participation in the work force</w:t>
      </w:r>
      <w:r>
        <w:t xml:space="preserve"> and access to political representation</w:t>
      </w:r>
      <w:r w:rsidR="00826E97">
        <w:t xml:space="preserve">. </w:t>
      </w:r>
    </w:p>
    <w:p w14:paraId="35C977E2" w14:textId="0802A000" w:rsidR="00826E97" w:rsidRDefault="00826E97">
      <w:r>
        <w:t>We will a</w:t>
      </w:r>
      <w:r w:rsidR="00896F64">
        <w:t xml:space="preserve">nalyze and discuss </w:t>
      </w:r>
      <w:commentRangeStart w:id="0"/>
      <w:r>
        <w:t>LGBT</w:t>
      </w:r>
      <w:r w:rsidR="00896F64">
        <w:t>/LGBT</w:t>
      </w:r>
      <w:r>
        <w:t>QI</w:t>
      </w:r>
      <w:r w:rsidR="00896F64">
        <w:t>A</w:t>
      </w:r>
      <w:commentRangeEnd w:id="0"/>
      <w:r w:rsidR="000C6056">
        <w:rPr>
          <w:rStyle w:val="CommentReference"/>
        </w:rPr>
        <w:commentReference w:id="0"/>
      </w:r>
      <w:r w:rsidR="00896F64">
        <w:t>, with a focus on the Marais neighborhood in Paris, France.</w:t>
      </w:r>
      <w:r>
        <w:t xml:space="preserve"> </w:t>
      </w:r>
    </w:p>
    <w:p w14:paraId="512B64A4" w14:textId="29A7B6F7" w:rsidR="00E14658" w:rsidRPr="00C7031C" w:rsidRDefault="00E14658" w:rsidP="00C7031C">
      <w:pPr>
        <w:rPr>
          <w:rFonts w:ascii="Adobe Caslon Pro" w:eastAsia="Times New Roman" w:hAnsi="Adobe Caslon Pro" w:cs="Times New Roman"/>
          <w:color w:val="000000" w:themeColor="text1"/>
          <w:sz w:val="24"/>
          <w:szCs w:val="24"/>
        </w:rPr>
      </w:pPr>
    </w:p>
    <w:p w14:paraId="2EE87DDB" w14:textId="1D94C7F9" w:rsidR="008253E5" w:rsidRDefault="004B2A40" w:rsidP="00D67A1B">
      <w:pPr>
        <w:pStyle w:val="Heading2"/>
      </w:pPr>
      <w:r w:rsidRPr="00D67A1B">
        <w:t>Course Goals and Learning Outcomes</w:t>
      </w:r>
    </w:p>
    <w:p w14:paraId="6FC862F0" w14:textId="2E144C6E" w:rsidR="00926107" w:rsidRPr="00D67A1B" w:rsidRDefault="00926107">
      <w:r w:rsidRPr="00C7031C">
        <w:t>All class discussions will be in French. Students will practice all four skills for the target language: listening, speaking, reading and writing.</w:t>
      </w:r>
    </w:p>
    <w:p w14:paraId="3EF77FF4" w14:textId="0C94895E" w:rsidR="00DF025A" w:rsidRPr="00BA4D50" w:rsidRDefault="00047787" w:rsidP="00D67A1B">
      <w:pPr>
        <w:pStyle w:val="Heading4"/>
      </w:pPr>
      <w:r>
        <w:t>Remember</w:t>
      </w:r>
    </w:p>
    <w:p w14:paraId="7CB3A308" w14:textId="3C389E98" w:rsidR="00DF025A" w:rsidRDefault="00047787" w:rsidP="008253E5">
      <w:r>
        <w:t>At a basic level, students will learn and memorize French vocabulary</w:t>
      </w:r>
      <w:r w:rsidR="00DF025A">
        <w:t xml:space="preserve"> and grammatical structures. T</w:t>
      </w:r>
      <w:r w:rsidR="00875294">
        <w:t xml:space="preserve">hey will also </w:t>
      </w:r>
      <w:r w:rsidR="00DF025A">
        <w:t>learn</w:t>
      </w:r>
      <w:r>
        <w:t xml:space="preserve"> </w:t>
      </w:r>
      <w:r w:rsidR="00DF025A">
        <w:t>a</w:t>
      </w:r>
      <w:r w:rsidR="00875294">
        <w:t>nd</w:t>
      </w:r>
      <w:r w:rsidR="00DF025A">
        <w:t xml:space="preserve"> recall</w:t>
      </w:r>
      <w:r>
        <w:t xml:space="preserve"> dates of pertinent historical events</w:t>
      </w:r>
      <w:r w:rsidR="00DF025A">
        <w:t xml:space="preserve"> and names of relevant actors—theoreticians, writers, political agents. </w:t>
      </w:r>
      <w:r w:rsidR="00926107">
        <w:t xml:space="preserve">They will be able to restate in their own words (in the target language) the general ideas from their assigned readings. </w:t>
      </w:r>
    </w:p>
    <w:p w14:paraId="5FFDA791" w14:textId="38B97DB6" w:rsidR="00875294" w:rsidRDefault="00875294" w:rsidP="00D67A1B">
      <w:pPr>
        <w:pStyle w:val="Heading4"/>
      </w:pPr>
      <w:r>
        <w:t>Understand</w:t>
      </w:r>
    </w:p>
    <w:p w14:paraId="3F1871E1" w14:textId="31D9EC9A" w:rsidR="00875294" w:rsidRPr="00875294" w:rsidRDefault="00926107">
      <w:r>
        <w:t xml:space="preserve">Students will understand how definitions of gender evolved from the Middle Ages to our own time period. They will discuss their readings with their classmates during class. </w:t>
      </w:r>
    </w:p>
    <w:p w14:paraId="56EBF8C0" w14:textId="2E930FA0" w:rsidR="00DF025A" w:rsidRDefault="00DF025A" w:rsidP="00D67A1B">
      <w:pPr>
        <w:pStyle w:val="Heading4"/>
      </w:pPr>
      <w:r>
        <w:lastRenderedPageBreak/>
        <w:t>Apply</w:t>
      </w:r>
    </w:p>
    <w:p w14:paraId="106C9347" w14:textId="4BA90E3C" w:rsidR="00DF025A" w:rsidRDefault="00926107" w:rsidP="008253E5">
      <w:r>
        <w:t>They will write short essays on their assigned readings and tak</w:t>
      </w:r>
      <w:r w:rsidR="005F261E">
        <w:t>e short quizzes. T</w:t>
      </w:r>
      <w:r>
        <w:t>hey will</w:t>
      </w:r>
      <w:r w:rsidR="005F261E">
        <w:t xml:space="preserve"> also</w:t>
      </w:r>
      <w:r>
        <w:t xml:space="preserve"> be able to </w:t>
      </w:r>
      <w:r w:rsidR="005F261E">
        <w:t>demonstrate their understanding during class discussions. Students will be encouraged to discuss complex notions in their own words.</w:t>
      </w:r>
    </w:p>
    <w:p w14:paraId="7E799B83" w14:textId="7232EB29" w:rsidR="005F261E" w:rsidRDefault="005F261E" w:rsidP="00D67A1B">
      <w:pPr>
        <w:pStyle w:val="Heading4"/>
      </w:pPr>
      <w:r>
        <w:t>Analyze</w:t>
      </w:r>
    </w:p>
    <w:p w14:paraId="0A4CED26" w14:textId="590577C4" w:rsidR="008253E5" w:rsidRPr="00C7031C" w:rsidRDefault="005F261E">
      <w:r w:rsidRPr="00C7031C">
        <w:t>Judith Butler’s essays will pro</w:t>
      </w:r>
      <w:r>
        <w:t xml:space="preserve">vide essential analytical tools. Students will use these tools to approach </w:t>
      </w:r>
      <w:r w:rsidR="008253E5" w:rsidRPr="00C7031C">
        <w:t>a variety of media: literature, paintings, photography, cinema, advertisement, music</w:t>
      </w:r>
      <w:r>
        <w:t>, political discourse, legal texts, newspapers, and more.</w:t>
      </w:r>
      <w:r w:rsidR="008253E5" w:rsidRPr="00C7031C">
        <w:t xml:space="preserve"> </w:t>
      </w:r>
    </w:p>
    <w:p w14:paraId="44327D3B" w14:textId="31EA63A2" w:rsidR="008253E5" w:rsidRPr="00C7031C" w:rsidRDefault="005F261E" w:rsidP="00D67A1B">
      <w:pPr>
        <w:pStyle w:val="Heading4"/>
      </w:pPr>
      <w:r>
        <w:t>Evaluate</w:t>
      </w:r>
    </w:p>
    <w:p w14:paraId="5FFB23A3" w14:textId="4CE55624" w:rsidR="008253E5" w:rsidRDefault="008253E5">
      <w:r w:rsidRPr="00C7031C">
        <w:t xml:space="preserve">French culture will serve as a case study for students to gain a more extensive worldview. They will be able to better identify bias, hate speech, harassment and other pernicious forms of violence toward others. </w:t>
      </w:r>
    </w:p>
    <w:p w14:paraId="15267607" w14:textId="2C0FC85C" w:rsidR="00047B5F" w:rsidRPr="00C7031C" w:rsidRDefault="00047B5F" w:rsidP="00D67A1B">
      <w:pPr>
        <w:pStyle w:val="Heading4"/>
      </w:pPr>
      <w:r>
        <w:t>Create</w:t>
      </w:r>
    </w:p>
    <w:p w14:paraId="525017D5" w14:textId="365CBEB2" w:rsidR="008253E5" w:rsidRDefault="00047B5F">
      <w:r>
        <w:t xml:space="preserve">Students will be encouraged to investigate further. </w:t>
      </w:r>
      <w:r w:rsidR="008253E5">
        <w:t xml:space="preserve">How does gender </w:t>
      </w:r>
      <w:r w:rsidR="00C36547">
        <w:t>affect</w:t>
      </w:r>
      <w:r w:rsidR="000C6056">
        <w:t xml:space="preserve"> </w:t>
      </w:r>
      <w:r w:rsidR="008253E5">
        <w:t>contemporary culture</w:t>
      </w:r>
      <w:r>
        <w:t>, not only in French speaking societies but also in other countries</w:t>
      </w:r>
      <w:r w:rsidR="008253E5">
        <w:t xml:space="preserve">? </w:t>
      </w:r>
      <w:r w:rsidR="008253E5" w:rsidRPr="00C7031C">
        <w:t>How is the concept of gender</w:t>
      </w:r>
      <w:r w:rsidR="008253E5">
        <w:t xml:space="preserve"> both</w:t>
      </w:r>
      <w:r w:rsidR="008253E5" w:rsidRPr="00C7031C">
        <w:t xml:space="preserve"> fashioned and</w:t>
      </w:r>
      <w:r w:rsidR="008253E5">
        <w:t xml:space="preserve"> </w:t>
      </w:r>
      <w:r w:rsidR="008253E5" w:rsidRPr="00C7031C">
        <w:t xml:space="preserve">challenged? Students will be engaged in questioning common </w:t>
      </w:r>
      <w:r w:rsidR="008253E5">
        <w:t>stereotypes</w:t>
      </w:r>
      <w:r w:rsidR="008253E5" w:rsidRPr="00C7031C">
        <w:t xml:space="preserve">. They will acquire the tools </w:t>
      </w:r>
      <w:r w:rsidR="008253E5">
        <w:t xml:space="preserve">necessary </w:t>
      </w:r>
      <w:r w:rsidR="008253E5" w:rsidRPr="00C7031C">
        <w:t xml:space="preserve">to expose cultural biases </w:t>
      </w:r>
      <w:r w:rsidR="008253E5">
        <w:t xml:space="preserve">that result </w:t>
      </w:r>
      <w:r w:rsidR="008253E5" w:rsidRPr="00C7031C">
        <w:t>in perceptions of supposedly innate and stable gender identities.</w:t>
      </w:r>
    </w:p>
    <w:p w14:paraId="39A87554" w14:textId="30F642B6" w:rsidR="00047B5F" w:rsidRPr="00C7031C" w:rsidRDefault="00047B5F">
      <w:r>
        <w:t xml:space="preserve">They will work in groups to develop projects and presentations on related topics such as gender and social class, gender and religion, gender and perceived/imagined ethnicity, gender and nationalisms, gender and political parties, gender and languages. </w:t>
      </w:r>
    </w:p>
    <w:p w14:paraId="2FCDBE04" w14:textId="4D716ABA" w:rsidR="003279B4" w:rsidRPr="00D67A1B" w:rsidRDefault="003279B4" w:rsidP="00D67A1B"/>
    <w:p w14:paraId="098A1412" w14:textId="762B9EBF" w:rsidR="0081236B" w:rsidRPr="00D67A1B" w:rsidRDefault="00425E17" w:rsidP="00D67A1B">
      <w:pPr>
        <w:pStyle w:val="Heading2"/>
        <w:rPr>
          <w:b w:val="0"/>
        </w:rPr>
      </w:pPr>
      <w:r w:rsidRPr="006D7D99">
        <w:t>Course Requirements &amp; Grading</w:t>
      </w:r>
    </w:p>
    <w:tbl>
      <w:tblPr>
        <w:tblStyle w:val="SyllabusTable-withBorders"/>
        <w:tblW w:w="7807" w:type="dxa"/>
        <w:tblLook w:val="04A0" w:firstRow="1" w:lastRow="0" w:firstColumn="1" w:lastColumn="0" w:noHBand="0" w:noVBand="1"/>
        <w:tblCaption w:val="Content table"/>
        <w:tblDescription w:val="Course schedule"/>
      </w:tblPr>
      <w:tblGrid>
        <w:gridCol w:w="5310"/>
        <w:gridCol w:w="2497"/>
      </w:tblGrid>
      <w:tr w:rsidR="004E45BA" w:rsidRPr="006A563B" w14:paraId="7E7D0A1B" w14:textId="77777777" w:rsidTr="00D6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06CA8669" w14:textId="77777777" w:rsidR="004E45BA" w:rsidRPr="00D67A1B" w:rsidRDefault="004E45BA" w:rsidP="00D67A1B">
            <w:pPr>
              <w:pStyle w:val="Heading4"/>
              <w:outlineLvl w:val="3"/>
              <w:rPr>
                <w:b w:val="0"/>
              </w:rPr>
            </w:pPr>
            <w:r w:rsidRPr="00D67A1B">
              <w:t xml:space="preserve">Assignment </w:t>
            </w:r>
          </w:p>
        </w:tc>
        <w:tc>
          <w:tcPr>
            <w:tcW w:w="2497" w:type="dxa"/>
          </w:tcPr>
          <w:p w14:paraId="22930D96" w14:textId="5331252A" w:rsidR="004E45BA" w:rsidRPr="00D67A1B" w:rsidRDefault="004E45BA" w:rsidP="00D67A1B">
            <w:pPr>
              <w:pStyle w:val="Heading4"/>
              <w:outlineLvl w:val="3"/>
              <w:cnfStyle w:val="100000000000" w:firstRow="1" w:lastRow="0" w:firstColumn="0" w:lastColumn="0" w:oddVBand="0" w:evenVBand="0" w:oddHBand="0" w:evenHBand="0" w:firstRowFirstColumn="0" w:firstRowLastColumn="0" w:lastRowFirstColumn="0" w:lastRowLastColumn="0"/>
              <w:rPr>
                <w:b w:val="0"/>
              </w:rPr>
            </w:pPr>
            <w:r w:rsidRPr="00D67A1B">
              <w:t>Weight</w:t>
            </w:r>
          </w:p>
        </w:tc>
      </w:tr>
      <w:tr w:rsidR="004E45BA" w:rsidRPr="006D7D99" w14:paraId="6C494D69" w14:textId="77777777" w:rsidTr="00D67A1B">
        <w:tc>
          <w:tcPr>
            <w:cnfStyle w:val="001000000000" w:firstRow="0" w:lastRow="0" w:firstColumn="1" w:lastColumn="0" w:oddVBand="0" w:evenVBand="0" w:oddHBand="0" w:evenHBand="0" w:firstRowFirstColumn="0" w:firstRowLastColumn="0" w:lastRowFirstColumn="0" w:lastRowLastColumn="0"/>
            <w:tcW w:w="5310" w:type="dxa"/>
          </w:tcPr>
          <w:p w14:paraId="1DF9AD1D" w14:textId="73537422" w:rsidR="004E45BA" w:rsidRPr="006D7D99" w:rsidRDefault="004E45BA">
            <w:r>
              <w:t xml:space="preserve">Quizzes </w:t>
            </w:r>
            <w:r w:rsidR="00DA7BAC">
              <w:rPr>
                <w:i/>
                <w:sz w:val="20"/>
              </w:rPr>
              <w:t>(12</w:t>
            </w:r>
            <w:r w:rsidRPr="00D67A1B">
              <w:rPr>
                <w:i/>
                <w:sz w:val="20"/>
              </w:rPr>
              <w:t>*</w:t>
            </w:r>
            <w:r w:rsidR="00DA7BAC">
              <w:rPr>
                <w:b w:val="0"/>
                <w:i/>
                <w:sz w:val="20"/>
              </w:rPr>
              <w:t>2.</w:t>
            </w:r>
            <w:r w:rsidRPr="00D67A1B">
              <w:rPr>
                <w:i/>
                <w:sz w:val="20"/>
              </w:rPr>
              <w:t xml:space="preserve">5%, </w:t>
            </w:r>
            <w:r w:rsidR="00DA7BAC">
              <w:rPr>
                <w:b w:val="0"/>
                <w:i/>
                <w:sz w:val="20"/>
              </w:rPr>
              <w:t>weekly</w:t>
            </w:r>
            <w:r w:rsidR="00DA7BAC">
              <w:rPr>
                <w:i/>
                <w:sz w:val="20"/>
              </w:rPr>
              <w:t xml:space="preserve"> over</w:t>
            </w:r>
            <w:r w:rsidRPr="00D67A1B">
              <w:rPr>
                <w:i/>
                <w:sz w:val="20"/>
              </w:rPr>
              <w:t xml:space="preserve"> </w:t>
            </w:r>
            <w:r w:rsidR="00641732">
              <w:rPr>
                <w:i/>
                <w:sz w:val="20"/>
              </w:rPr>
              <w:t>12 wee</w:t>
            </w:r>
            <w:r w:rsidRPr="00D67A1B">
              <w:rPr>
                <w:i/>
                <w:sz w:val="20"/>
              </w:rPr>
              <w:t>ks)</w:t>
            </w:r>
          </w:p>
        </w:tc>
        <w:tc>
          <w:tcPr>
            <w:tcW w:w="2497" w:type="dxa"/>
          </w:tcPr>
          <w:p w14:paraId="0E72FC64" w14:textId="0420030B" w:rsidR="004E45BA" w:rsidRPr="006D7D99" w:rsidRDefault="004E45BA">
            <w:pPr>
              <w:cnfStyle w:val="000000000000" w:firstRow="0" w:lastRow="0" w:firstColumn="0" w:lastColumn="0" w:oddVBand="0" w:evenVBand="0" w:oddHBand="0" w:evenHBand="0" w:firstRowFirstColumn="0" w:firstRowLastColumn="0" w:lastRowFirstColumn="0" w:lastRowLastColumn="0"/>
            </w:pPr>
            <w:r>
              <w:t>30</w:t>
            </w:r>
            <w:r w:rsidRPr="006D7D99">
              <w:t>%</w:t>
            </w:r>
          </w:p>
        </w:tc>
      </w:tr>
      <w:tr w:rsidR="004E45BA" w:rsidRPr="006D7D99" w14:paraId="15B55961" w14:textId="77777777" w:rsidTr="00D67A1B">
        <w:tc>
          <w:tcPr>
            <w:cnfStyle w:val="001000000000" w:firstRow="0" w:lastRow="0" w:firstColumn="1" w:lastColumn="0" w:oddVBand="0" w:evenVBand="0" w:oddHBand="0" w:evenHBand="0" w:firstRowFirstColumn="0" w:firstRowLastColumn="0" w:lastRowFirstColumn="0" w:lastRowLastColumn="0"/>
            <w:tcW w:w="5310" w:type="dxa"/>
          </w:tcPr>
          <w:p w14:paraId="6CE32139" w14:textId="2E038B05" w:rsidR="004E45BA" w:rsidRDefault="004E45BA">
            <w:r>
              <w:t xml:space="preserve">Homework </w:t>
            </w:r>
            <w:r w:rsidRPr="00D67A1B">
              <w:rPr>
                <w:i/>
                <w:sz w:val="20"/>
              </w:rPr>
              <w:t xml:space="preserve">(12*2%, weekly over </w:t>
            </w:r>
            <w:r w:rsidR="00641732">
              <w:rPr>
                <w:b w:val="0"/>
                <w:i/>
                <w:sz w:val="20"/>
              </w:rPr>
              <w:t>1</w:t>
            </w:r>
            <w:r w:rsidRPr="00D67A1B">
              <w:rPr>
                <w:i/>
                <w:sz w:val="20"/>
              </w:rPr>
              <w:t>st 12 weeks)</w:t>
            </w:r>
          </w:p>
        </w:tc>
        <w:tc>
          <w:tcPr>
            <w:tcW w:w="2497" w:type="dxa"/>
          </w:tcPr>
          <w:p w14:paraId="6C4E5F92" w14:textId="418D1BA5" w:rsidR="004E45BA" w:rsidRDefault="004E45BA">
            <w:pPr>
              <w:cnfStyle w:val="000000000000" w:firstRow="0" w:lastRow="0" w:firstColumn="0" w:lastColumn="0" w:oddVBand="0" w:evenVBand="0" w:oddHBand="0" w:evenHBand="0" w:firstRowFirstColumn="0" w:firstRowLastColumn="0" w:lastRowFirstColumn="0" w:lastRowLastColumn="0"/>
            </w:pPr>
            <w:r>
              <w:t>24%</w:t>
            </w:r>
          </w:p>
        </w:tc>
      </w:tr>
      <w:tr w:rsidR="004E45BA" w:rsidRPr="006D7D99" w14:paraId="42A08D28" w14:textId="77777777" w:rsidTr="00D67A1B">
        <w:tc>
          <w:tcPr>
            <w:cnfStyle w:val="001000000000" w:firstRow="0" w:lastRow="0" w:firstColumn="1" w:lastColumn="0" w:oddVBand="0" w:evenVBand="0" w:oddHBand="0" w:evenHBand="0" w:firstRowFirstColumn="0" w:firstRowLastColumn="0" w:lastRowFirstColumn="0" w:lastRowLastColumn="0"/>
            <w:tcW w:w="5310" w:type="dxa"/>
          </w:tcPr>
          <w:p w14:paraId="17117C7F" w14:textId="4117D123" w:rsidR="004E45BA" w:rsidRPr="00D67A1B" w:rsidRDefault="004E45BA">
            <w:pPr>
              <w:rPr>
                <w:b w:val="0"/>
                <w:i/>
                <w:sz w:val="20"/>
              </w:rPr>
            </w:pPr>
            <w:r w:rsidRPr="006D7D99">
              <w:t>Active participation</w:t>
            </w:r>
            <w:r w:rsidR="00641732">
              <w:t xml:space="preserve"> </w:t>
            </w:r>
            <w:r w:rsidR="00641732">
              <w:rPr>
                <w:b w:val="0"/>
                <w:i/>
                <w:sz w:val="20"/>
              </w:rPr>
              <w:t>(14x1% over 1</w:t>
            </w:r>
            <w:r w:rsidR="00641732" w:rsidRPr="00D67A1B">
              <w:rPr>
                <w:i/>
                <w:sz w:val="20"/>
                <w:vertAlign w:val="superscript"/>
              </w:rPr>
              <w:t>st</w:t>
            </w:r>
            <w:r w:rsidR="00641732">
              <w:rPr>
                <w:b w:val="0"/>
                <w:i/>
                <w:sz w:val="20"/>
              </w:rPr>
              <w:t xml:space="preserve"> 14 weeks)</w:t>
            </w:r>
          </w:p>
        </w:tc>
        <w:tc>
          <w:tcPr>
            <w:tcW w:w="2497" w:type="dxa"/>
          </w:tcPr>
          <w:p w14:paraId="384B7A53" w14:textId="708E453B" w:rsidR="004E45BA" w:rsidRPr="006D7D99" w:rsidRDefault="004E45BA">
            <w:pPr>
              <w:cnfStyle w:val="000000000000" w:firstRow="0" w:lastRow="0" w:firstColumn="0" w:lastColumn="0" w:oddVBand="0" w:evenVBand="0" w:oddHBand="0" w:evenHBand="0" w:firstRowFirstColumn="0" w:firstRowLastColumn="0" w:lastRowFirstColumn="0" w:lastRowLastColumn="0"/>
            </w:pPr>
            <w:r>
              <w:t>14</w:t>
            </w:r>
            <w:r w:rsidRPr="006D7D99">
              <w:t>%</w:t>
            </w:r>
          </w:p>
        </w:tc>
      </w:tr>
      <w:tr w:rsidR="007D2A37" w:rsidRPr="006D7D99" w14:paraId="5423BAE9" w14:textId="77777777" w:rsidTr="000C6056">
        <w:tc>
          <w:tcPr>
            <w:cnfStyle w:val="001000000000" w:firstRow="0" w:lastRow="0" w:firstColumn="1" w:lastColumn="0" w:oddVBand="0" w:evenVBand="0" w:oddHBand="0" w:evenHBand="0" w:firstRowFirstColumn="0" w:firstRowLastColumn="0" w:lastRowFirstColumn="0" w:lastRowLastColumn="0"/>
            <w:tcW w:w="5310" w:type="dxa"/>
          </w:tcPr>
          <w:p w14:paraId="368CE0B4" w14:textId="77777777" w:rsidR="007D2A37" w:rsidRPr="006D7D99" w:rsidRDefault="007D2A37" w:rsidP="000C6056">
            <w:r>
              <w:t xml:space="preserve">Final Presentations </w:t>
            </w:r>
            <w:r>
              <w:rPr>
                <w:b w:val="0"/>
                <w:i/>
                <w:sz w:val="20"/>
              </w:rPr>
              <w:t>(during last 2 weeks)</w:t>
            </w:r>
          </w:p>
        </w:tc>
        <w:tc>
          <w:tcPr>
            <w:tcW w:w="2497" w:type="dxa"/>
          </w:tcPr>
          <w:p w14:paraId="55951A6D" w14:textId="77777777" w:rsidR="007D2A37" w:rsidRPr="006D7D99" w:rsidRDefault="007D2A37" w:rsidP="000C6056">
            <w:pPr>
              <w:cnfStyle w:val="000000000000" w:firstRow="0" w:lastRow="0" w:firstColumn="0" w:lastColumn="0" w:oddVBand="0" w:evenVBand="0" w:oddHBand="0" w:evenHBand="0" w:firstRowFirstColumn="0" w:firstRowLastColumn="0" w:lastRowFirstColumn="0" w:lastRowLastColumn="0"/>
            </w:pPr>
            <w:r>
              <w:t>12</w:t>
            </w:r>
            <w:r w:rsidRPr="006D7D99">
              <w:t>%</w:t>
            </w:r>
          </w:p>
        </w:tc>
      </w:tr>
      <w:tr w:rsidR="004E45BA" w:rsidRPr="006D7D99" w14:paraId="1A92C11F" w14:textId="77777777" w:rsidTr="00D67A1B">
        <w:tc>
          <w:tcPr>
            <w:cnfStyle w:val="001000000000" w:firstRow="0" w:lastRow="0" w:firstColumn="1" w:lastColumn="0" w:oddVBand="0" w:evenVBand="0" w:oddHBand="0" w:evenHBand="0" w:firstRowFirstColumn="0" w:firstRowLastColumn="0" w:lastRowFirstColumn="0" w:lastRowLastColumn="0"/>
            <w:tcW w:w="5310" w:type="dxa"/>
          </w:tcPr>
          <w:p w14:paraId="0DB121C3" w14:textId="0420EE4F" w:rsidR="004E45BA" w:rsidRPr="00D67A1B" w:rsidRDefault="004E45BA" w:rsidP="0081236B">
            <w:pPr>
              <w:rPr>
                <w:b w:val="0"/>
                <w:i/>
                <w:sz w:val="20"/>
              </w:rPr>
            </w:pPr>
            <w:commentRangeStart w:id="2"/>
            <w:r w:rsidRPr="006D7D99">
              <w:t xml:space="preserve">Final </w:t>
            </w:r>
            <w:r w:rsidR="0081236B">
              <w:t>Exam</w:t>
            </w:r>
            <w:r w:rsidR="00A02BD7">
              <w:t>/Final Paper</w:t>
            </w:r>
            <w:r w:rsidR="00641732">
              <w:t xml:space="preserve"> </w:t>
            </w:r>
          </w:p>
        </w:tc>
        <w:tc>
          <w:tcPr>
            <w:tcW w:w="2497" w:type="dxa"/>
          </w:tcPr>
          <w:p w14:paraId="58C86335" w14:textId="6CF6C5A4" w:rsidR="004E45BA" w:rsidRPr="006D7D99" w:rsidRDefault="004E45BA">
            <w:pPr>
              <w:cnfStyle w:val="000000000000" w:firstRow="0" w:lastRow="0" w:firstColumn="0" w:lastColumn="0" w:oddVBand="0" w:evenVBand="0" w:oddHBand="0" w:evenHBand="0" w:firstRowFirstColumn="0" w:firstRowLastColumn="0" w:lastRowFirstColumn="0" w:lastRowLastColumn="0"/>
            </w:pPr>
            <w:r w:rsidRPr="006D7D99">
              <w:t>20%</w:t>
            </w:r>
            <w:commentRangeEnd w:id="2"/>
            <w:r w:rsidR="008E0450">
              <w:rPr>
                <w:rStyle w:val="CommentReference"/>
                <w:lang w:eastAsia="en-US"/>
              </w:rPr>
              <w:commentReference w:id="2"/>
            </w:r>
          </w:p>
        </w:tc>
      </w:tr>
    </w:tbl>
    <w:p w14:paraId="6FC62A3A" w14:textId="5DC71A95" w:rsidR="008F4EC5" w:rsidRDefault="008F4EC5" w:rsidP="00C7031C">
      <w:pPr>
        <w:rPr>
          <w:rFonts w:asciiTheme="majorHAnsi" w:hAnsiTheme="majorHAnsi"/>
          <w:b/>
          <w:color w:val="000000" w:themeColor="text1"/>
          <w:szCs w:val="22"/>
        </w:rPr>
      </w:pPr>
    </w:p>
    <w:p w14:paraId="3A53AE48" w14:textId="21FD0A40" w:rsidR="0081236B" w:rsidRPr="0081236B" w:rsidRDefault="0081236B" w:rsidP="00C7031C">
      <w:pPr>
        <w:rPr>
          <w:rFonts w:asciiTheme="majorHAnsi" w:hAnsiTheme="majorHAnsi"/>
          <w:color w:val="000000" w:themeColor="text1"/>
          <w:szCs w:val="22"/>
        </w:rPr>
      </w:pPr>
      <w:r w:rsidRPr="00A02BD7">
        <w:rPr>
          <w:rFonts w:asciiTheme="majorHAnsi" w:hAnsiTheme="majorHAnsi"/>
          <w:b/>
          <w:i/>
          <w:color w:val="000000" w:themeColor="text1"/>
          <w:szCs w:val="22"/>
          <w:highlight w:val="yellow"/>
        </w:rPr>
        <w:t xml:space="preserve">Please note that students </w:t>
      </w:r>
      <w:r w:rsidR="00710450" w:rsidRPr="00A02BD7">
        <w:rPr>
          <w:rFonts w:asciiTheme="majorHAnsi" w:hAnsiTheme="majorHAnsi"/>
          <w:b/>
          <w:i/>
          <w:color w:val="000000" w:themeColor="text1"/>
          <w:szCs w:val="22"/>
          <w:highlight w:val="yellow"/>
        </w:rPr>
        <w:t>taking</w:t>
      </w:r>
      <w:r w:rsidRPr="00A02BD7">
        <w:rPr>
          <w:rFonts w:asciiTheme="majorHAnsi" w:hAnsiTheme="majorHAnsi"/>
          <w:b/>
          <w:i/>
          <w:color w:val="000000" w:themeColor="text1"/>
          <w:szCs w:val="22"/>
          <w:highlight w:val="yellow"/>
        </w:rPr>
        <w:t xml:space="preserve"> </w:t>
      </w:r>
      <w:r w:rsidR="00710450" w:rsidRPr="00A02BD7">
        <w:rPr>
          <w:rFonts w:asciiTheme="majorHAnsi" w:hAnsiTheme="majorHAnsi"/>
          <w:b/>
          <w:i/>
          <w:color w:val="000000" w:themeColor="text1"/>
          <w:szCs w:val="22"/>
          <w:highlight w:val="yellow"/>
        </w:rPr>
        <w:t xml:space="preserve">6110 </w:t>
      </w:r>
      <w:r w:rsidRPr="00A02BD7">
        <w:rPr>
          <w:rFonts w:asciiTheme="majorHAnsi" w:hAnsiTheme="majorHAnsi"/>
          <w:color w:val="000000" w:themeColor="text1"/>
          <w:szCs w:val="22"/>
          <w:highlight w:val="yellow"/>
        </w:rPr>
        <w:t>will have to write a final paper instead of taking the final exam. The paper should be written in French, be</w:t>
      </w:r>
      <w:r w:rsidR="00586CF9" w:rsidRPr="00A02BD7">
        <w:rPr>
          <w:rFonts w:asciiTheme="majorHAnsi" w:hAnsiTheme="majorHAnsi"/>
          <w:color w:val="000000" w:themeColor="text1"/>
          <w:szCs w:val="22"/>
          <w:highlight w:val="yellow"/>
        </w:rPr>
        <w:t>tween</w:t>
      </w:r>
      <w:r w:rsidRPr="00A02BD7">
        <w:rPr>
          <w:rFonts w:asciiTheme="majorHAnsi" w:hAnsiTheme="majorHAnsi"/>
          <w:color w:val="000000" w:themeColor="text1"/>
          <w:szCs w:val="22"/>
          <w:highlight w:val="yellow"/>
        </w:rPr>
        <w:t xml:space="preserve"> 3,500 to 4,000 </w:t>
      </w:r>
      <w:r w:rsidR="00586CF9" w:rsidRPr="00A02BD7">
        <w:rPr>
          <w:rFonts w:asciiTheme="majorHAnsi" w:hAnsiTheme="majorHAnsi"/>
          <w:color w:val="000000" w:themeColor="text1"/>
          <w:szCs w:val="22"/>
          <w:highlight w:val="yellow"/>
        </w:rPr>
        <w:t>words</w:t>
      </w:r>
      <w:r w:rsidRPr="00A02BD7">
        <w:rPr>
          <w:rFonts w:asciiTheme="majorHAnsi" w:hAnsiTheme="majorHAnsi"/>
          <w:color w:val="000000" w:themeColor="text1"/>
          <w:szCs w:val="22"/>
          <w:highlight w:val="yellow"/>
        </w:rPr>
        <w:t xml:space="preserve"> long, of publishable quality</w:t>
      </w:r>
      <w:r w:rsidR="00586CF9" w:rsidRPr="00A02BD7">
        <w:rPr>
          <w:rFonts w:asciiTheme="majorHAnsi" w:hAnsiTheme="majorHAnsi"/>
          <w:color w:val="000000" w:themeColor="text1"/>
          <w:szCs w:val="22"/>
          <w:highlight w:val="yellow"/>
        </w:rPr>
        <w:t xml:space="preserve">. The work on this paper should start early in the semester. During week 3, the student should visit the professor during her office hours to discuss the project. </w:t>
      </w:r>
      <w:r w:rsidR="00D607A8" w:rsidRPr="00A02BD7">
        <w:rPr>
          <w:rFonts w:asciiTheme="majorHAnsi" w:hAnsiTheme="majorHAnsi"/>
          <w:color w:val="000000" w:themeColor="text1"/>
          <w:szCs w:val="22"/>
          <w:highlight w:val="yellow"/>
        </w:rPr>
        <w:t>During week 4, t</w:t>
      </w:r>
      <w:r w:rsidR="00586CF9" w:rsidRPr="00A02BD7">
        <w:rPr>
          <w:rFonts w:asciiTheme="majorHAnsi" w:hAnsiTheme="majorHAnsi"/>
          <w:color w:val="000000" w:themeColor="text1"/>
          <w:szCs w:val="22"/>
          <w:highlight w:val="yellow"/>
        </w:rPr>
        <w:t>he student should turn in a paragraph describing</w:t>
      </w:r>
      <w:r w:rsidR="00D607A8" w:rsidRPr="00A02BD7">
        <w:rPr>
          <w:rFonts w:asciiTheme="majorHAnsi" w:hAnsiTheme="majorHAnsi"/>
          <w:color w:val="000000" w:themeColor="text1"/>
          <w:szCs w:val="22"/>
          <w:highlight w:val="yellow"/>
        </w:rPr>
        <w:t xml:space="preserve"> the project. Starting on the first day of week 5, the student should send a weekly description of advances made toward the project and indicate at least one paper read per week on the topic. The student should also send notes describing the readings and their relevance to the chosen topic. The student should send a first draft of the paper on week 12. </w:t>
      </w:r>
      <w:commentRangeStart w:id="3"/>
      <w:r w:rsidR="00D607A8" w:rsidRPr="00A02BD7">
        <w:rPr>
          <w:rFonts w:asciiTheme="majorHAnsi" w:hAnsiTheme="majorHAnsi"/>
          <w:color w:val="000000" w:themeColor="text1"/>
          <w:szCs w:val="22"/>
          <w:highlight w:val="yellow"/>
        </w:rPr>
        <w:t xml:space="preserve">The student will present their paper to other students during Final Presentations (last two weeks of classes). </w:t>
      </w:r>
      <w:commentRangeEnd w:id="3"/>
      <w:r w:rsidR="00710450" w:rsidRPr="00A02BD7">
        <w:rPr>
          <w:rStyle w:val="CommentReference"/>
          <w:highlight w:val="yellow"/>
        </w:rPr>
        <w:commentReference w:id="3"/>
      </w:r>
      <w:r w:rsidR="00D607A8" w:rsidRPr="00A02BD7">
        <w:rPr>
          <w:rFonts w:asciiTheme="majorHAnsi" w:hAnsiTheme="majorHAnsi"/>
          <w:color w:val="000000" w:themeColor="text1"/>
          <w:szCs w:val="22"/>
          <w:highlight w:val="yellow"/>
        </w:rPr>
        <w:t xml:space="preserve">The last version of the paper should be turned </w:t>
      </w:r>
      <w:r w:rsidR="00586CF9" w:rsidRPr="00A02BD7">
        <w:rPr>
          <w:rFonts w:asciiTheme="majorHAnsi" w:hAnsiTheme="majorHAnsi"/>
          <w:color w:val="000000" w:themeColor="text1"/>
          <w:szCs w:val="22"/>
          <w:highlight w:val="yellow"/>
        </w:rPr>
        <w:t xml:space="preserve">in no later than the last day of exams, Friday </w:t>
      </w:r>
      <w:r w:rsidR="00D607A8" w:rsidRPr="00A02BD7">
        <w:rPr>
          <w:rFonts w:asciiTheme="majorHAnsi" w:hAnsiTheme="majorHAnsi"/>
          <w:color w:val="000000" w:themeColor="text1"/>
          <w:szCs w:val="22"/>
          <w:highlight w:val="yellow"/>
        </w:rPr>
        <w:t>5</w:t>
      </w:r>
      <w:r w:rsidR="00586CF9" w:rsidRPr="00A02BD7">
        <w:rPr>
          <w:rFonts w:asciiTheme="majorHAnsi" w:hAnsiTheme="majorHAnsi"/>
          <w:color w:val="000000" w:themeColor="text1"/>
          <w:szCs w:val="22"/>
          <w:highlight w:val="yellow"/>
        </w:rPr>
        <w:t>PM, via email.</w:t>
      </w:r>
    </w:p>
    <w:p w14:paraId="2A4D6AEB" w14:textId="22498554" w:rsidR="006A563B" w:rsidRDefault="006A563B" w:rsidP="00D67A1B">
      <w:pPr>
        <w:pStyle w:val="Heading4"/>
      </w:pPr>
      <w:r>
        <w:t>Description of Graded Components</w:t>
      </w:r>
    </w:p>
    <w:p w14:paraId="79FCC92E" w14:textId="6C44BC81" w:rsidR="00641732" w:rsidRDefault="006A563B">
      <w:r w:rsidRPr="00710450">
        <w:rPr>
          <w:u w:val="single"/>
        </w:rPr>
        <w:t>Quizzes</w:t>
      </w:r>
      <w:r>
        <w:t xml:space="preserve">: </w:t>
      </w:r>
      <w:r w:rsidR="00641732">
        <w:t xml:space="preserve">on assigned readings/recordings and on previous class lectures. Taken during the first 10 to 15 minutes of class. Readings and recordings </w:t>
      </w:r>
      <w:r w:rsidR="00781681">
        <w:t xml:space="preserve">are shared </w:t>
      </w:r>
      <w:r w:rsidR="00641732">
        <w:t>via a folder on T-Square or other relevant Tech system.</w:t>
      </w:r>
      <w:r w:rsidR="00DA7BAC">
        <w:t xml:space="preserve"> Quizzes are designed to check that you did your homework</w:t>
      </w:r>
      <w:r w:rsidR="00A52038">
        <w:t xml:space="preserve"> over the week-end</w:t>
      </w:r>
      <w:r w:rsidR="00DA7BAC">
        <w:t xml:space="preserve"> (reading texts </w:t>
      </w:r>
      <w:r w:rsidR="00A52038">
        <w:t>and/</w:t>
      </w:r>
      <w:r w:rsidR="00DA7BAC">
        <w:t>or viewing/listening to recordings)</w:t>
      </w:r>
      <w:r w:rsidR="00A52038">
        <w:t xml:space="preserve"> and that you paid attention during class</w:t>
      </w:r>
      <w:r w:rsidR="00DA7BAC">
        <w:t xml:space="preserve">. </w:t>
      </w:r>
    </w:p>
    <w:p w14:paraId="2FF7D53B" w14:textId="1AE3E0CE" w:rsidR="00781681" w:rsidRDefault="00641732">
      <w:r w:rsidRPr="00710450">
        <w:rPr>
          <w:u w:val="single"/>
        </w:rPr>
        <w:t>Homework</w:t>
      </w:r>
      <w:r>
        <w:t xml:space="preserve">: </w:t>
      </w:r>
      <w:r w:rsidR="00781681">
        <w:t xml:space="preserve">Homework is due on the </w:t>
      </w:r>
      <w:r w:rsidR="00DA7BAC">
        <w:t>last</w:t>
      </w:r>
      <w:r w:rsidR="00781681">
        <w:t xml:space="preserve"> day of class </w:t>
      </w:r>
      <w:r w:rsidR="00DA7BAC">
        <w:t>each week</w:t>
      </w:r>
      <w:r w:rsidR="00781681">
        <w:t xml:space="preserve">. Please make sure that you bring a printed copy of your homework with you to class. Font size of 12 or 14, in either Georgia or Times New Roman, double-spaced, with </w:t>
      </w:r>
      <w:r w:rsidR="007D2A37">
        <w:t xml:space="preserve">normal margins (leaving space for my comments). </w:t>
      </w:r>
    </w:p>
    <w:p w14:paraId="31D6324C" w14:textId="6A1955A6" w:rsidR="005D44A4" w:rsidRDefault="005D44A4">
      <w:r w:rsidRPr="00710450">
        <w:rPr>
          <w:u w:val="single"/>
        </w:rPr>
        <w:t>Active participation</w:t>
      </w:r>
      <w:r w:rsidR="00710450">
        <w:t xml:space="preserve"> (20 points each component):</w:t>
      </w:r>
    </w:p>
    <w:p w14:paraId="42C8179D" w14:textId="1CD70CD4" w:rsidR="005D44A4" w:rsidRDefault="005D44A4" w:rsidP="00D67A1B">
      <w:pPr>
        <w:pStyle w:val="ListParagraph"/>
        <w:numPr>
          <w:ilvl w:val="0"/>
          <w:numId w:val="25"/>
        </w:numPr>
      </w:pPr>
      <w:r>
        <w:t>Respecting other members of the classroom</w:t>
      </w:r>
    </w:p>
    <w:p w14:paraId="560A6DF0" w14:textId="34EA704D" w:rsidR="005D44A4" w:rsidRDefault="005D44A4" w:rsidP="00D67A1B">
      <w:pPr>
        <w:pStyle w:val="ListParagraph"/>
        <w:numPr>
          <w:ilvl w:val="0"/>
          <w:numId w:val="25"/>
        </w:numPr>
      </w:pPr>
      <w:r>
        <w:t>Taking part in class discussions</w:t>
      </w:r>
    </w:p>
    <w:p w14:paraId="5A34CCF0" w14:textId="77BFD60D" w:rsidR="00D57B81" w:rsidRDefault="005D44A4" w:rsidP="00D67A1B">
      <w:pPr>
        <w:pStyle w:val="ListParagraph"/>
        <w:numPr>
          <w:ilvl w:val="0"/>
          <w:numId w:val="25"/>
        </w:numPr>
      </w:pPr>
      <w:r>
        <w:t>Volunteering to answer your prof’s questions</w:t>
      </w:r>
      <w:r w:rsidR="00D57B81">
        <w:t xml:space="preserve"> / Being able to answer your prof’s questions</w:t>
      </w:r>
    </w:p>
    <w:p w14:paraId="2B96D944" w14:textId="303A31B2" w:rsidR="005D44A4" w:rsidRDefault="005D44A4" w:rsidP="00D67A1B">
      <w:pPr>
        <w:pStyle w:val="ListParagraph"/>
        <w:numPr>
          <w:ilvl w:val="0"/>
          <w:numId w:val="25"/>
        </w:numPr>
      </w:pPr>
      <w:r>
        <w:t>Focusing on the points that are relevant to the discussion</w:t>
      </w:r>
    </w:p>
    <w:p w14:paraId="2FA33FA9" w14:textId="4ED87F53" w:rsidR="005D44A4" w:rsidRDefault="00D57B81" w:rsidP="00D67A1B">
      <w:pPr>
        <w:pStyle w:val="ListParagraph"/>
        <w:numPr>
          <w:ilvl w:val="0"/>
          <w:numId w:val="25"/>
        </w:numPr>
      </w:pPr>
      <w:r>
        <w:t xml:space="preserve">Not doing anything that is unrelated to the discussion. This would </w:t>
      </w:r>
      <w:r w:rsidR="00A52038">
        <w:t>include</w:t>
      </w:r>
      <w:r>
        <w:t xml:space="preserve"> texting, doing homework for another class</w:t>
      </w:r>
      <w:r w:rsidR="00A52038">
        <w:t>, speaking in English, browsing,</w:t>
      </w:r>
      <w:r>
        <w:t xml:space="preserve"> etc. </w:t>
      </w:r>
    </w:p>
    <w:p w14:paraId="62997E13" w14:textId="16FA04BD" w:rsidR="00710450" w:rsidRDefault="00710450" w:rsidP="00A02BD7">
      <w:pPr>
        <w:ind w:left="1080"/>
      </w:pPr>
      <w:r>
        <w:t>This grade will be recorded weekly and averaged for the final participation grade at the end of the summer. The grade will be accessible via T-Square</w:t>
      </w:r>
      <w:r w:rsidR="00A02BD7">
        <w:t>/Canvas</w:t>
      </w:r>
      <w:r>
        <w:t xml:space="preserve">. </w:t>
      </w:r>
    </w:p>
    <w:p w14:paraId="5A6D0E70" w14:textId="6738916F" w:rsidR="007D2A37" w:rsidRDefault="007D2A37">
      <w:r w:rsidRPr="00710450">
        <w:rPr>
          <w:u w:val="single"/>
        </w:rPr>
        <w:t>Final presentations</w:t>
      </w:r>
      <w:r>
        <w:t xml:space="preserve">: The last weeks will be devoted to your final presentations. You will work with other students to design a presentation based on what you learned during the semester. You will use your knowledge of the subject to investigate a particular aspect of our topic that can be of interest not only to you but also to the rest of the class. This work will be graded </w:t>
      </w:r>
      <w:r w:rsidR="0074464B">
        <w:t>according to the following criteria (10 points each)</w:t>
      </w:r>
      <w:r w:rsidR="0025626D">
        <w:t xml:space="preserve">: </w:t>
      </w:r>
    </w:p>
    <w:p w14:paraId="1B1995A9" w14:textId="3BEC2EB9" w:rsidR="0074464B" w:rsidRDefault="0074464B" w:rsidP="00D67A1B">
      <w:pPr>
        <w:pStyle w:val="ListParagraph"/>
        <w:numPr>
          <w:ilvl w:val="0"/>
          <w:numId w:val="23"/>
        </w:numPr>
      </w:pPr>
      <w:r>
        <w:t>Respect of deadlines</w:t>
      </w:r>
    </w:p>
    <w:p w14:paraId="66CF6FC1" w14:textId="015E5618" w:rsidR="0025626D" w:rsidRDefault="0025626D" w:rsidP="00D67A1B">
      <w:pPr>
        <w:pStyle w:val="ListParagraph"/>
        <w:numPr>
          <w:ilvl w:val="0"/>
          <w:numId w:val="23"/>
        </w:numPr>
      </w:pPr>
      <w:r>
        <w:t>Relevance</w:t>
      </w:r>
    </w:p>
    <w:p w14:paraId="70BAB69C" w14:textId="245CFF9F" w:rsidR="0025626D" w:rsidRDefault="0074464B" w:rsidP="00D67A1B">
      <w:pPr>
        <w:pStyle w:val="ListParagraph"/>
        <w:numPr>
          <w:ilvl w:val="0"/>
          <w:numId w:val="23"/>
        </w:numPr>
      </w:pPr>
      <w:r>
        <w:t xml:space="preserve">Quality and depth </w:t>
      </w:r>
    </w:p>
    <w:p w14:paraId="53B05412" w14:textId="4F1A8DA3" w:rsidR="0025626D" w:rsidRDefault="0025626D" w:rsidP="00D67A1B">
      <w:pPr>
        <w:pStyle w:val="ListParagraph"/>
        <w:numPr>
          <w:ilvl w:val="0"/>
          <w:numId w:val="23"/>
        </w:numPr>
      </w:pPr>
      <w:r>
        <w:t>Originality (</w:t>
      </w:r>
      <w:r w:rsidR="0074464B">
        <w:t xml:space="preserve">don’t forget that </w:t>
      </w:r>
      <w:r>
        <w:t>it must be your own ideas)</w:t>
      </w:r>
    </w:p>
    <w:p w14:paraId="7BA4D632" w14:textId="41E0ED2C" w:rsidR="0074464B" w:rsidRDefault="0074464B" w:rsidP="00D67A1B">
      <w:pPr>
        <w:pStyle w:val="ListParagraph"/>
        <w:numPr>
          <w:ilvl w:val="0"/>
          <w:numId w:val="23"/>
        </w:numPr>
      </w:pPr>
      <w:r>
        <w:t xml:space="preserve">Clarity and fluency </w:t>
      </w:r>
    </w:p>
    <w:p w14:paraId="3E7F95CE" w14:textId="05B229B7" w:rsidR="0025626D" w:rsidRDefault="0074464B" w:rsidP="00D67A1B">
      <w:pPr>
        <w:pStyle w:val="ListParagraph"/>
        <w:numPr>
          <w:ilvl w:val="0"/>
          <w:numId w:val="23"/>
        </w:numPr>
      </w:pPr>
      <w:r>
        <w:t>Appropriate</w:t>
      </w:r>
      <w:r w:rsidR="0025626D">
        <w:t xml:space="preserve"> and balanced use of visuals</w:t>
      </w:r>
    </w:p>
    <w:p w14:paraId="444C4597" w14:textId="16AB2C6B" w:rsidR="0025626D" w:rsidRDefault="0025626D" w:rsidP="00D67A1B">
      <w:pPr>
        <w:pStyle w:val="ListParagraph"/>
        <w:numPr>
          <w:ilvl w:val="0"/>
          <w:numId w:val="23"/>
        </w:numPr>
      </w:pPr>
      <w:r>
        <w:t>Ability to foster interest in the listener</w:t>
      </w:r>
    </w:p>
    <w:p w14:paraId="6B127182" w14:textId="467F485C" w:rsidR="0025626D" w:rsidRDefault="0025626D" w:rsidP="00D67A1B">
      <w:pPr>
        <w:pStyle w:val="ListParagraph"/>
        <w:numPr>
          <w:ilvl w:val="0"/>
          <w:numId w:val="23"/>
        </w:numPr>
      </w:pPr>
      <w:r>
        <w:t>Respect of time limits</w:t>
      </w:r>
      <w:r w:rsidR="0074464B">
        <w:t xml:space="preserve"> and g</w:t>
      </w:r>
      <w:r>
        <w:t xml:space="preserve">ood use of </w:t>
      </w:r>
      <w:r w:rsidR="0074464B">
        <w:t>your time</w:t>
      </w:r>
    </w:p>
    <w:p w14:paraId="6414E495" w14:textId="395CAAB7" w:rsidR="0074464B" w:rsidRDefault="0074464B" w:rsidP="00D67A1B">
      <w:pPr>
        <w:pStyle w:val="ListParagraph"/>
        <w:numPr>
          <w:ilvl w:val="0"/>
          <w:numId w:val="23"/>
        </w:numPr>
      </w:pPr>
      <w:r>
        <w:t>Respect for other students in your group</w:t>
      </w:r>
    </w:p>
    <w:p w14:paraId="6D98AD7D" w14:textId="0045AFFD" w:rsidR="00641732" w:rsidRDefault="0074464B" w:rsidP="00D67A1B">
      <w:pPr>
        <w:pStyle w:val="ListParagraph"/>
        <w:numPr>
          <w:ilvl w:val="0"/>
          <w:numId w:val="23"/>
        </w:numPr>
      </w:pPr>
      <w:r>
        <w:t>Ability to answer questions from students</w:t>
      </w:r>
    </w:p>
    <w:p w14:paraId="69B625F3" w14:textId="037F07EE" w:rsidR="0089742B" w:rsidRPr="00A02BD7" w:rsidRDefault="0089742B" w:rsidP="0089742B">
      <w:pPr>
        <w:rPr>
          <w:highlight w:val="yellow"/>
        </w:rPr>
      </w:pPr>
      <w:r w:rsidRPr="00A02BD7">
        <w:rPr>
          <w:highlight w:val="yellow"/>
          <w:u w:val="single"/>
        </w:rPr>
        <w:t>Final Research Pape</w:t>
      </w:r>
      <w:r w:rsidRPr="00A02BD7">
        <w:rPr>
          <w:highlight w:val="yellow"/>
        </w:rPr>
        <w:t>r (</w:t>
      </w:r>
      <w:r w:rsidR="00710450" w:rsidRPr="00A02BD7">
        <w:rPr>
          <w:highlight w:val="yellow"/>
        </w:rPr>
        <w:t>6110 students</w:t>
      </w:r>
      <w:r w:rsidRPr="00A02BD7">
        <w:rPr>
          <w:highlight w:val="yellow"/>
        </w:rPr>
        <w:t>): Font size of 12 or 14, in either Georgia or Times New Roman. Submitted over T-Square.</w:t>
      </w:r>
    </w:p>
    <w:p w14:paraId="0BDAD1AB" w14:textId="13B6BB2F" w:rsidR="0089742B" w:rsidRPr="00A02BD7" w:rsidRDefault="0089742B" w:rsidP="00D67A1B">
      <w:pPr>
        <w:pStyle w:val="ListParagraph"/>
        <w:numPr>
          <w:ilvl w:val="0"/>
          <w:numId w:val="27"/>
        </w:numPr>
        <w:rPr>
          <w:highlight w:val="yellow"/>
        </w:rPr>
      </w:pPr>
      <w:r w:rsidRPr="00A02BD7">
        <w:rPr>
          <w:highlight w:val="yellow"/>
        </w:rPr>
        <w:t>Respect of deadlines: 10%</w:t>
      </w:r>
    </w:p>
    <w:p w14:paraId="6437AE39" w14:textId="16E5B354" w:rsidR="0089742B" w:rsidRPr="00A02BD7" w:rsidRDefault="0089742B" w:rsidP="0089742B">
      <w:pPr>
        <w:pStyle w:val="ListParagraph"/>
        <w:numPr>
          <w:ilvl w:val="0"/>
          <w:numId w:val="27"/>
        </w:numPr>
        <w:rPr>
          <w:highlight w:val="yellow"/>
        </w:rPr>
      </w:pPr>
      <w:r w:rsidRPr="00A02BD7">
        <w:rPr>
          <w:highlight w:val="yellow"/>
        </w:rPr>
        <w:t>Timeliness and quality of the production from week 4 to 14: 30%</w:t>
      </w:r>
    </w:p>
    <w:p w14:paraId="64AA404C" w14:textId="16EE4446" w:rsidR="0089742B" w:rsidRPr="00A02BD7" w:rsidRDefault="0089742B" w:rsidP="00D67A1B">
      <w:pPr>
        <w:pStyle w:val="ListParagraph"/>
        <w:numPr>
          <w:ilvl w:val="0"/>
          <w:numId w:val="27"/>
        </w:numPr>
        <w:rPr>
          <w:highlight w:val="yellow"/>
        </w:rPr>
      </w:pPr>
      <w:r w:rsidRPr="00A02BD7">
        <w:rPr>
          <w:highlight w:val="yellow"/>
        </w:rPr>
        <w:t>Quality and relevance of your introduction: 5%</w:t>
      </w:r>
    </w:p>
    <w:p w14:paraId="72717FC5" w14:textId="667CF33F" w:rsidR="0089742B" w:rsidRPr="00A02BD7" w:rsidRDefault="0089742B" w:rsidP="00D67A1B">
      <w:pPr>
        <w:pStyle w:val="ListParagraph"/>
        <w:numPr>
          <w:ilvl w:val="0"/>
          <w:numId w:val="27"/>
        </w:numPr>
        <w:rPr>
          <w:highlight w:val="yellow"/>
        </w:rPr>
      </w:pPr>
      <w:r w:rsidRPr="00A02BD7">
        <w:rPr>
          <w:highlight w:val="yellow"/>
        </w:rPr>
        <w:t>Articulation and relevance of main points: 20%</w:t>
      </w:r>
    </w:p>
    <w:p w14:paraId="073F9272" w14:textId="1D7B87FD" w:rsidR="0089742B" w:rsidRPr="00A02BD7" w:rsidRDefault="0089742B" w:rsidP="00D67A1B">
      <w:pPr>
        <w:pStyle w:val="ListParagraph"/>
        <w:numPr>
          <w:ilvl w:val="0"/>
          <w:numId w:val="27"/>
        </w:numPr>
        <w:rPr>
          <w:highlight w:val="yellow"/>
        </w:rPr>
      </w:pPr>
      <w:r w:rsidRPr="00A02BD7">
        <w:rPr>
          <w:highlight w:val="yellow"/>
        </w:rPr>
        <w:t>Relevant and convincing conclusion: 5%</w:t>
      </w:r>
    </w:p>
    <w:p w14:paraId="2CE1C5DB" w14:textId="77777777" w:rsidR="0089742B" w:rsidRPr="00A02BD7" w:rsidRDefault="0089742B" w:rsidP="00D67A1B">
      <w:pPr>
        <w:pStyle w:val="ListParagraph"/>
        <w:numPr>
          <w:ilvl w:val="0"/>
          <w:numId w:val="27"/>
        </w:numPr>
        <w:rPr>
          <w:highlight w:val="yellow"/>
        </w:rPr>
      </w:pPr>
      <w:r w:rsidRPr="00A02BD7">
        <w:rPr>
          <w:highlight w:val="yellow"/>
        </w:rPr>
        <w:t>Grammatical accuracy in the target language: 15%</w:t>
      </w:r>
    </w:p>
    <w:p w14:paraId="6C701D00" w14:textId="77777777" w:rsidR="0089742B" w:rsidRPr="00A02BD7" w:rsidRDefault="0089742B" w:rsidP="00D67A1B">
      <w:pPr>
        <w:pStyle w:val="ListParagraph"/>
        <w:numPr>
          <w:ilvl w:val="0"/>
          <w:numId w:val="27"/>
        </w:numPr>
        <w:rPr>
          <w:highlight w:val="yellow"/>
        </w:rPr>
      </w:pPr>
      <w:r w:rsidRPr="00A02BD7">
        <w:rPr>
          <w:highlight w:val="yellow"/>
        </w:rPr>
        <w:t>Fluency in the target language: 15%</w:t>
      </w:r>
    </w:p>
    <w:p w14:paraId="24157CEB" w14:textId="77777777" w:rsidR="0089742B" w:rsidRPr="00A02BD7" w:rsidRDefault="0089742B" w:rsidP="00D67A1B">
      <w:pPr>
        <w:pStyle w:val="ListParagraph"/>
        <w:numPr>
          <w:ilvl w:val="0"/>
          <w:numId w:val="27"/>
        </w:numPr>
        <w:rPr>
          <w:highlight w:val="yellow"/>
        </w:rPr>
      </w:pPr>
      <w:r w:rsidRPr="00A02BD7">
        <w:rPr>
          <w:highlight w:val="yellow"/>
        </w:rPr>
        <w:t>Bibliography: 10%</w:t>
      </w:r>
    </w:p>
    <w:p w14:paraId="0C7D30FD" w14:textId="77777777" w:rsidR="0089742B" w:rsidRDefault="0089742B" w:rsidP="0089742B"/>
    <w:p w14:paraId="5B260E24" w14:textId="77777777" w:rsidR="00F73666" w:rsidRDefault="00F73666" w:rsidP="00D67A1B">
      <w:pPr>
        <w:pStyle w:val="Heading4"/>
      </w:pPr>
    </w:p>
    <w:p w14:paraId="0998087D" w14:textId="194DDD0D" w:rsidR="00174C89" w:rsidRPr="006D7D99" w:rsidRDefault="00174C89" w:rsidP="00D67A1B">
      <w:pPr>
        <w:pStyle w:val="Heading4"/>
      </w:pPr>
      <w:r w:rsidRPr="006D7D99">
        <w:t>Grading Scale</w:t>
      </w:r>
    </w:p>
    <w:p w14:paraId="288A5A7C" w14:textId="51BC1064" w:rsidR="00174C89" w:rsidRPr="006D7D99" w:rsidRDefault="00DE6F88" w:rsidP="00D67A1B">
      <w:r w:rsidRPr="006D7D99">
        <w:t>Your final grade will be assigned as a letter grade according to the following scale:</w:t>
      </w:r>
    </w:p>
    <w:p w14:paraId="2D68F7AB" w14:textId="46F62C41" w:rsidR="00DE6F88" w:rsidRPr="006D7D99" w:rsidRDefault="00DE6F88" w:rsidP="00C7031C">
      <w:pPr>
        <w:spacing w:after="0"/>
        <w:ind w:left="720"/>
        <w:rPr>
          <w:rFonts w:asciiTheme="majorHAnsi" w:hAnsiTheme="majorHAnsi"/>
          <w:color w:val="000000" w:themeColor="text1"/>
          <w:szCs w:val="22"/>
        </w:rPr>
      </w:pPr>
      <w:r w:rsidRPr="006D7D99">
        <w:rPr>
          <w:rFonts w:asciiTheme="majorHAnsi" w:hAnsiTheme="majorHAnsi"/>
          <w:color w:val="000000" w:themeColor="text1"/>
          <w:szCs w:val="22"/>
        </w:rPr>
        <w:t>A</w:t>
      </w:r>
      <w:r w:rsidRPr="006D7D99">
        <w:rPr>
          <w:rFonts w:asciiTheme="majorHAnsi" w:hAnsiTheme="majorHAnsi"/>
          <w:color w:val="000000" w:themeColor="text1"/>
          <w:szCs w:val="22"/>
        </w:rPr>
        <w:tab/>
        <w:t>90-100%</w:t>
      </w:r>
    </w:p>
    <w:p w14:paraId="1C42BA6A" w14:textId="17509181" w:rsidR="00DE6F88" w:rsidRPr="006D7D99" w:rsidRDefault="00DE6F88" w:rsidP="00C7031C">
      <w:pPr>
        <w:spacing w:after="0"/>
        <w:ind w:left="720"/>
        <w:rPr>
          <w:rFonts w:asciiTheme="majorHAnsi" w:hAnsiTheme="majorHAnsi"/>
          <w:color w:val="000000" w:themeColor="text1"/>
          <w:szCs w:val="22"/>
        </w:rPr>
      </w:pPr>
      <w:r w:rsidRPr="006D7D99">
        <w:rPr>
          <w:rFonts w:asciiTheme="majorHAnsi" w:hAnsiTheme="majorHAnsi"/>
          <w:color w:val="000000" w:themeColor="text1"/>
          <w:szCs w:val="22"/>
        </w:rPr>
        <w:t>B</w:t>
      </w:r>
      <w:r w:rsidRPr="006D7D99">
        <w:rPr>
          <w:rFonts w:asciiTheme="majorHAnsi" w:hAnsiTheme="majorHAnsi"/>
          <w:color w:val="000000" w:themeColor="text1"/>
          <w:szCs w:val="22"/>
        </w:rPr>
        <w:tab/>
        <w:t>80-89%</w:t>
      </w:r>
    </w:p>
    <w:p w14:paraId="6D0C98D8" w14:textId="30B70B35" w:rsidR="00DE6F88" w:rsidRPr="006D7D99" w:rsidRDefault="00DE6F88" w:rsidP="00C7031C">
      <w:pPr>
        <w:spacing w:after="0"/>
        <w:ind w:left="720"/>
        <w:rPr>
          <w:rFonts w:asciiTheme="majorHAnsi" w:hAnsiTheme="majorHAnsi"/>
          <w:color w:val="000000" w:themeColor="text1"/>
          <w:szCs w:val="22"/>
        </w:rPr>
      </w:pPr>
      <w:r w:rsidRPr="006D7D99">
        <w:rPr>
          <w:rFonts w:asciiTheme="majorHAnsi" w:hAnsiTheme="majorHAnsi"/>
          <w:color w:val="000000" w:themeColor="text1"/>
          <w:szCs w:val="22"/>
        </w:rPr>
        <w:t>C</w:t>
      </w:r>
      <w:r w:rsidRPr="006D7D99">
        <w:rPr>
          <w:rFonts w:asciiTheme="majorHAnsi" w:hAnsiTheme="majorHAnsi"/>
          <w:color w:val="000000" w:themeColor="text1"/>
          <w:szCs w:val="22"/>
        </w:rPr>
        <w:tab/>
        <w:t>70-79%</w:t>
      </w:r>
    </w:p>
    <w:p w14:paraId="08EABF3C" w14:textId="1E7D1911" w:rsidR="00DE6F88" w:rsidRPr="006D7D99" w:rsidRDefault="00DE6F88" w:rsidP="00C7031C">
      <w:pPr>
        <w:spacing w:after="0"/>
        <w:ind w:left="720"/>
        <w:rPr>
          <w:rFonts w:asciiTheme="majorHAnsi" w:hAnsiTheme="majorHAnsi"/>
          <w:color w:val="000000" w:themeColor="text1"/>
          <w:szCs w:val="22"/>
        </w:rPr>
      </w:pPr>
      <w:r w:rsidRPr="006D7D99">
        <w:rPr>
          <w:rFonts w:asciiTheme="majorHAnsi" w:hAnsiTheme="majorHAnsi"/>
          <w:color w:val="000000" w:themeColor="text1"/>
          <w:szCs w:val="22"/>
        </w:rPr>
        <w:t>D</w:t>
      </w:r>
      <w:r w:rsidRPr="006D7D99">
        <w:rPr>
          <w:rFonts w:asciiTheme="majorHAnsi" w:hAnsiTheme="majorHAnsi"/>
          <w:color w:val="000000" w:themeColor="text1"/>
          <w:szCs w:val="22"/>
        </w:rPr>
        <w:tab/>
        <w:t>60-69%</w:t>
      </w:r>
    </w:p>
    <w:p w14:paraId="7935C2BF" w14:textId="36CDB574" w:rsidR="00DE6F88" w:rsidRPr="006D7D99" w:rsidRDefault="00DE6F88" w:rsidP="00C7031C">
      <w:pPr>
        <w:ind w:left="720"/>
        <w:rPr>
          <w:rFonts w:asciiTheme="majorHAnsi" w:hAnsiTheme="majorHAnsi"/>
          <w:color w:val="000000" w:themeColor="text1"/>
          <w:szCs w:val="22"/>
        </w:rPr>
      </w:pPr>
      <w:r w:rsidRPr="006D7D99">
        <w:rPr>
          <w:rFonts w:asciiTheme="majorHAnsi" w:hAnsiTheme="majorHAnsi"/>
          <w:color w:val="000000" w:themeColor="text1"/>
          <w:szCs w:val="22"/>
        </w:rPr>
        <w:t>F</w:t>
      </w:r>
      <w:r w:rsidRPr="006D7D99">
        <w:rPr>
          <w:rFonts w:asciiTheme="majorHAnsi" w:hAnsiTheme="majorHAnsi"/>
          <w:color w:val="000000" w:themeColor="text1"/>
          <w:szCs w:val="22"/>
        </w:rPr>
        <w:tab/>
        <w:t>0-59%</w:t>
      </w:r>
    </w:p>
    <w:p w14:paraId="57D9BAE3" w14:textId="5EA5EA23" w:rsidR="00BC406F" w:rsidRDefault="00425E17" w:rsidP="00D67A1B">
      <w:pPr>
        <w:pStyle w:val="Heading2"/>
      </w:pPr>
      <w:r w:rsidRPr="006D7D99">
        <w:t>Course Materials</w:t>
      </w:r>
    </w:p>
    <w:p w14:paraId="47DEEC08" w14:textId="426488FB" w:rsidR="00A34575" w:rsidRPr="006D7D99" w:rsidRDefault="00A34575">
      <w:pPr>
        <w:rPr>
          <w:bCs/>
        </w:rPr>
      </w:pPr>
      <w:r>
        <w:t>Chosen passages from a variety of essays, reference books, novels and movies.</w:t>
      </w:r>
    </w:p>
    <w:p w14:paraId="376696B3" w14:textId="4230C5EC" w:rsidR="008D6E8D" w:rsidRPr="006D7D99" w:rsidRDefault="008D6E8D" w:rsidP="00D67A1B">
      <w:r w:rsidRPr="006D7D99">
        <w:t xml:space="preserve">Course Website </w:t>
      </w:r>
      <w:r w:rsidR="008E0D1F" w:rsidRPr="006D7D99">
        <w:t>and</w:t>
      </w:r>
      <w:r w:rsidRPr="006D7D99">
        <w:t xml:space="preserve"> Other Classroom Management Tools</w:t>
      </w:r>
    </w:p>
    <w:p w14:paraId="3CBB0F77" w14:textId="3E915365" w:rsidR="00832EE6" w:rsidRPr="006D7D99" w:rsidRDefault="00A34575">
      <w:pPr>
        <w:rPr>
          <w:rFonts w:asciiTheme="majorHAnsi" w:hAnsiTheme="majorHAnsi"/>
        </w:rPr>
      </w:pPr>
      <w:r w:rsidRPr="00A34575">
        <w:rPr>
          <w:rFonts w:asciiTheme="majorHAnsi" w:hAnsiTheme="majorHAnsi"/>
        </w:rPr>
        <w:t>http://www.prism.gatech.edu/~nc44/</w:t>
      </w:r>
    </w:p>
    <w:p w14:paraId="2340F692" w14:textId="28CDC393" w:rsidR="001C5E8D" w:rsidRPr="006D7D99" w:rsidRDefault="00425E17" w:rsidP="00D67A1B">
      <w:pPr>
        <w:pStyle w:val="Heading2"/>
      </w:pPr>
      <w:r w:rsidRPr="006D7D99">
        <w:t>Course Expectations &amp; Guidelines</w:t>
      </w:r>
    </w:p>
    <w:p w14:paraId="12CD69F8" w14:textId="4E791DAB" w:rsidR="002C7849" w:rsidRPr="006D7D99" w:rsidRDefault="002C7849" w:rsidP="00D67A1B">
      <w:pPr>
        <w:pStyle w:val="Heading4"/>
      </w:pPr>
      <w:r w:rsidRPr="006D7D99">
        <w:t>Academic Integrity</w:t>
      </w:r>
    </w:p>
    <w:p w14:paraId="7C4F073F" w14:textId="1830F802" w:rsidR="00F67017" w:rsidRDefault="00A34575" w:rsidP="00C7031C">
      <w:pPr>
        <w:rPr>
          <w:rFonts w:asciiTheme="majorHAnsi" w:hAnsiTheme="majorHAnsi" w:cs="Arial"/>
          <w:color w:val="000000" w:themeColor="text1"/>
          <w:szCs w:val="22"/>
        </w:rPr>
      </w:pPr>
      <w:r>
        <w:rPr>
          <w:rFonts w:asciiTheme="majorHAnsi" w:hAnsiTheme="majorHAnsi" w:cs="Arial"/>
          <w:color w:val="000000" w:themeColor="text1"/>
          <w:szCs w:val="22"/>
        </w:rPr>
        <w:t>Please make sure that you respect our Academic Honor Code:</w:t>
      </w:r>
    </w:p>
    <w:p w14:paraId="29A73341" w14:textId="29B8D944" w:rsidR="00A34575" w:rsidRDefault="0032706C" w:rsidP="00C7031C">
      <w:pPr>
        <w:rPr>
          <w:rFonts w:asciiTheme="majorHAnsi" w:hAnsiTheme="majorHAnsi"/>
          <w:color w:val="000000" w:themeColor="text1"/>
          <w:szCs w:val="22"/>
        </w:rPr>
      </w:pPr>
      <w:hyperlink r:id="rId10" w:history="1">
        <w:r w:rsidR="00A34575" w:rsidRPr="00F550E1">
          <w:rPr>
            <w:rStyle w:val="Hyperlink"/>
            <w:rFonts w:asciiTheme="majorHAnsi" w:hAnsiTheme="majorHAnsi"/>
            <w:szCs w:val="22"/>
          </w:rPr>
          <w:t>https://policylibrary.gatech.edu/student-affairs/academic-honor-code</w:t>
        </w:r>
      </w:hyperlink>
      <w:r w:rsidR="00A34575">
        <w:rPr>
          <w:rFonts w:asciiTheme="majorHAnsi" w:hAnsiTheme="majorHAnsi"/>
          <w:color w:val="000000" w:themeColor="text1"/>
          <w:szCs w:val="22"/>
        </w:rPr>
        <w:t xml:space="preserve"> </w:t>
      </w:r>
    </w:p>
    <w:p w14:paraId="2E2951BF" w14:textId="0A87FC14" w:rsidR="00BF2568" w:rsidRDefault="0032706C" w:rsidP="00C7031C">
      <w:pPr>
        <w:rPr>
          <w:rFonts w:asciiTheme="majorHAnsi" w:hAnsiTheme="majorHAnsi"/>
          <w:color w:val="000000" w:themeColor="text1"/>
          <w:szCs w:val="22"/>
        </w:rPr>
      </w:pPr>
      <w:hyperlink r:id="rId11" w:history="1">
        <w:r w:rsidR="00BF2568" w:rsidRPr="00F550E1">
          <w:rPr>
            <w:rStyle w:val="Hyperlink"/>
            <w:rFonts w:asciiTheme="majorHAnsi" w:hAnsiTheme="majorHAnsi"/>
            <w:szCs w:val="22"/>
          </w:rPr>
          <w:t>https://policylibrary.gatech.edu/academic-affairs/other-academic-student-policies</w:t>
        </w:r>
      </w:hyperlink>
      <w:r w:rsidR="00BF2568">
        <w:rPr>
          <w:rFonts w:asciiTheme="majorHAnsi" w:hAnsiTheme="majorHAnsi"/>
          <w:color w:val="000000" w:themeColor="text1"/>
          <w:szCs w:val="22"/>
        </w:rPr>
        <w:t xml:space="preserve"> </w:t>
      </w:r>
    </w:p>
    <w:p w14:paraId="3373BCC7" w14:textId="1E1437C7" w:rsidR="00A34575" w:rsidRPr="006D7D99" w:rsidRDefault="00BF2568" w:rsidP="00C7031C">
      <w:pPr>
        <w:rPr>
          <w:rFonts w:asciiTheme="majorHAnsi" w:hAnsiTheme="majorHAnsi"/>
          <w:color w:val="000000" w:themeColor="text1"/>
          <w:szCs w:val="22"/>
        </w:rPr>
      </w:pPr>
      <w:r>
        <w:rPr>
          <w:rFonts w:asciiTheme="majorHAnsi" w:hAnsiTheme="majorHAnsi"/>
          <w:color w:val="000000" w:themeColor="text1"/>
          <w:szCs w:val="22"/>
        </w:rPr>
        <w:t xml:space="preserve">Any academic misconduct </w:t>
      </w:r>
      <w:r w:rsidR="00A34575">
        <w:rPr>
          <w:rFonts w:asciiTheme="majorHAnsi" w:hAnsiTheme="majorHAnsi"/>
          <w:color w:val="000000" w:themeColor="text1"/>
          <w:szCs w:val="22"/>
        </w:rPr>
        <w:t>will be reported</w:t>
      </w:r>
      <w:r>
        <w:rPr>
          <w:rFonts w:asciiTheme="majorHAnsi" w:hAnsiTheme="majorHAnsi"/>
          <w:color w:val="000000" w:themeColor="text1"/>
          <w:szCs w:val="22"/>
        </w:rPr>
        <w:t xml:space="preserve"> to the Office of Student Integrity.</w:t>
      </w:r>
    </w:p>
    <w:p w14:paraId="196A9B95" w14:textId="630DCBEF" w:rsidR="002C7849" w:rsidRPr="006D7D99" w:rsidRDefault="002C7849" w:rsidP="00D67A1B">
      <w:pPr>
        <w:pStyle w:val="Heading4"/>
      </w:pPr>
      <w:r w:rsidRPr="006D7D99">
        <w:t>Accommodations for Individuals with Disabilities</w:t>
      </w:r>
    </w:p>
    <w:p w14:paraId="29DF7015" w14:textId="0D01CBD5" w:rsidR="002C7849" w:rsidRPr="006D7D99" w:rsidRDefault="002C7849">
      <w:r w:rsidRPr="006D7D99">
        <w:rPr>
          <w:bCs/>
        </w:rPr>
        <w:t>If you</w:t>
      </w:r>
      <w:r w:rsidR="00174C89" w:rsidRPr="006D7D99">
        <w:rPr>
          <w:bCs/>
        </w:rPr>
        <w:t xml:space="preserve"> are a student with </w:t>
      </w:r>
      <w:r w:rsidRPr="006D7D99">
        <w:rPr>
          <w:bCs/>
        </w:rPr>
        <w:t>learning needs</w:t>
      </w:r>
      <w:r w:rsidR="00174C89" w:rsidRPr="006D7D99">
        <w:rPr>
          <w:bCs/>
        </w:rPr>
        <w:t xml:space="preserve"> that</w:t>
      </w:r>
      <w:r w:rsidRPr="006D7D99">
        <w:rPr>
          <w:bCs/>
        </w:rPr>
        <w:t xml:space="preserve"> </w:t>
      </w:r>
      <w:r w:rsidRPr="006D7D99">
        <w:t xml:space="preserve">require </w:t>
      </w:r>
      <w:r w:rsidRPr="006D7D99">
        <w:rPr>
          <w:bCs/>
        </w:rPr>
        <w:t xml:space="preserve">special </w:t>
      </w:r>
      <w:r w:rsidRPr="006D7D99">
        <w:t>accommodation</w:t>
      </w:r>
      <w:r w:rsidRPr="006D7D99">
        <w:rPr>
          <w:bCs/>
        </w:rPr>
        <w:t xml:space="preserve">, </w:t>
      </w:r>
      <w:r w:rsidRPr="006D7D99">
        <w:t xml:space="preserve">contact </w:t>
      </w:r>
      <w:r w:rsidRPr="006D7D99">
        <w:rPr>
          <w:bCs/>
        </w:rPr>
        <w:t xml:space="preserve">the Office of Disability Services (often referred to as </w:t>
      </w:r>
      <w:r w:rsidRPr="006D7D99">
        <w:t>ADAPTS) at (404)</w:t>
      </w:r>
      <w:r w:rsidR="00174C89" w:rsidRPr="006D7D99">
        <w:t>89-</w:t>
      </w:r>
      <w:r w:rsidRPr="006D7D99">
        <w:t>256</w:t>
      </w:r>
      <w:r w:rsidRPr="006D7D99">
        <w:rPr>
          <w:bCs/>
        </w:rPr>
        <w:t>3</w:t>
      </w:r>
      <w:r w:rsidRPr="006D7D99">
        <w:t xml:space="preserve"> or </w:t>
      </w:r>
      <w:hyperlink r:id="rId12" w:history="1">
        <w:r w:rsidRPr="00710450">
          <w:rPr>
            <w:rStyle w:val="Hyperlink"/>
          </w:rPr>
          <w:t>http://disabilityservices.gatech.edu/</w:t>
        </w:r>
      </w:hyperlink>
      <w:r w:rsidRPr="006D7D99">
        <w:rPr>
          <w:bCs/>
        </w:rPr>
        <w:t>,</w:t>
      </w:r>
      <w:r w:rsidRPr="006D7D99">
        <w:t xml:space="preserve"> as soon as possible</w:t>
      </w:r>
      <w:r w:rsidR="00174C89" w:rsidRPr="006D7D99">
        <w:rPr>
          <w:bCs/>
        </w:rPr>
        <w:t xml:space="preserve">, </w:t>
      </w:r>
      <w:r w:rsidRPr="006D7D99">
        <w:rPr>
          <w:bCs/>
        </w:rPr>
        <w:t xml:space="preserve">to </w:t>
      </w:r>
      <w:r w:rsidRPr="006D7D99">
        <w:t xml:space="preserve">make an appointment to discuss </w:t>
      </w:r>
      <w:r w:rsidRPr="006D7D99">
        <w:rPr>
          <w:bCs/>
        </w:rPr>
        <w:t xml:space="preserve">your </w:t>
      </w:r>
      <w:r w:rsidRPr="006D7D99">
        <w:t xml:space="preserve">special needs and </w:t>
      </w:r>
      <w:r w:rsidRPr="006D7D99">
        <w:rPr>
          <w:bCs/>
        </w:rPr>
        <w:t xml:space="preserve">to </w:t>
      </w:r>
      <w:r w:rsidRPr="006D7D99">
        <w:t xml:space="preserve">obtain an accommodations letter.  </w:t>
      </w:r>
      <w:r w:rsidRPr="006D7D99">
        <w:rPr>
          <w:bCs/>
        </w:rPr>
        <w:t>Please also e-mail me as soon as possible in order to set up a time to discuss your learning needs</w:t>
      </w:r>
      <w:r w:rsidRPr="006D7D99">
        <w:t>.</w:t>
      </w:r>
    </w:p>
    <w:p w14:paraId="75B72D5A" w14:textId="76373F05" w:rsidR="007A7848" w:rsidRPr="006D7D99" w:rsidRDefault="007A7848" w:rsidP="00D67A1B">
      <w:pPr>
        <w:pStyle w:val="Heading4"/>
      </w:pPr>
      <w:r w:rsidRPr="006D7D99">
        <w:t>Assignment Turn-In</w:t>
      </w:r>
    </w:p>
    <w:p w14:paraId="0F53D527" w14:textId="4D767AEE" w:rsidR="007A7848" w:rsidRPr="006D7D99" w:rsidRDefault="00561008">
      <w:r w:rsidRPr="006D7D99">
        <w:t xml:space="preserve">All assignments </w:t>
      </w:r>
      <w:r w:rsidR="00D42271">
        <w:t>must be printed and brought to class on the day they are due</w:t>
      </w:r>
      <w:r w:rsidRPr="006D7D99">
        <w:t xml:space="preserve">. </w:t>
      </w:r>
      <w:r w:rsidR="00D42271">
        <w:t>Please note: Type 12, Times New Roman</w:t>
      </w:r>
      <w:r w:rsidRPr="006D7D99">
        <w:t>,</w:t>
      </w:r>
      <w:r w:rsidR="00A34575">
        <w:t xml:space="preserve"> double-spaced,</w:t>
      </w:r>
      <w:r w:rsidRPr="006D7D99">
        <w:t xml:space="preserve"> </w:t>
      </w:r>
      <w:r w:rsidR="00A34575">
        <w:t xml:space="preserve">pages </w:t>
      </w:r>
      <w:r w:rsidR="00D42271">
        <w:t xml:space="preserve">numbered and </w:t>
      </w:r>
      <w:r w:rsidRPr="006D7D99">
        <w:t>print</w:t>
      </w:r>
      <w:r w:rsidR="00D42271">
        <w:t>ed</w:t>
      </w:r>
      <w:r w:rsidRPr="006D7D99">
        <w:t>.</w:t>
      </w:r>
    </w:p>
    <w:p w14:paraId="620AA612" w14:textId="08AC98D3" w:rsidR="00A34575" w:rsidRDefault="00D42271" w:rsidP="00D67A1B">
      <w:pPr>
        <w:rPr>
          <w:rFonts w:cs="Arial"/>
        </w:rPr>
      </w:pPr>
      <w:r>
        <w:rPr>
          <w:rFonts w:cs="Arial"/>
        </w:rPr>
        <w:t>Late assignments will not be accepted.</w:t>
      </w:r>
    </w:p>
    <w:p w14:paraId="3370EE73" w14:textId="606F8DB9" w:rsidR="00AC4C00" w:rsidRPr="00D67A1B" w:rsidRDefault="00A34575" w:rsidP="00D67A1B">
      <w:pPr>
        <w:rPr>
          <w:rFonts w:cs="Arial"/>
        </w:rPr>
      </w:pPr>
      <w:r>
        <w:rPr>
          <w:rFonts w:cs="Arial"/>
        </w:rPr>
        <w:t xml:space="preserve">Please note that any case of plagiarism or other form of academic dishonesty </w:t>
      </w:r>
      <w:r w:rsidR="00BF2568">
        <w:rPr>
          <w:rFonts w:cs="Arial"/>
        </w:rPr>
        <w:t>will be reported</w:t>
      </w:r>
      <w:r w:rsidR="00563C37">
        <w:rPr>
          <w:rFonts w:cs="Arial"/>
        </w:rPr>
        <w:t>.</w:t>
      </w:r>
    </w:p>
    <w:p w14:paraId="08D7A749" w14:textId="04B4A919" w:rsidR="00F67017" w:rsidRPr="006D7D99" w:rsidRDefault="00177FF3" w:rsidP="00D67A1B">
      <w:pPr>
        <w:pStyle w:val="Heading4"/>
      </w:pPr>
      <w:r w:rsidRPr="006D7D99">
        <w:t>Extensions, Late Assignments, &amp; Re-Scheduled/Missed Exams</w:t>
      </w:r>
    </w:p>
    <w:p w14:paraId="56209936" w14:textId="2DB2A9A0" w:rsidR="00AC4C00" w:rsidRPr="006D7D99" w:rsidRDefault="00F67017">
      <w:r w:rsidRPr="006D7D99">
        <w:t xml:space="preserve">NO arrangements will be made for late assignments or missed exams. Make-up exams will be given only for documented reasons of illness, family emergency, or participation in approved Institute activities (such as field trips and athletic events, see </w:t>
      </w:r>
      <w:hyperlink r:id="rId13" w:history="1">
        <w:r w:rsidRPr="00710450">
          <w:rPr>
            <w:rStyle w:val="Hyperlink"/>
          </w:rPr>
          <w:t>http://www.catalog.gatech.edu/rules/4b.php</w:t>
        </w:r>
      </w:hyperlink>
      <w:r w:rsidRPr="006D7D99">
        <w:t xml:space="preserve"> for more information).</w:t>
      </w:r>
    </w:p>
    <w:p w14:paraId="7876D8C9" w14:textId="6EA80091" w:rsidR="001F5180" w:rsidRPr="006D7D99" w:rsidRDefault="00177FF3" w:rsidP="00D67A1B">
      <w:pPr>
        <w:pStyle w:val="Heading4"/>
      </w:pPr>
      <w:r w:rsidRPr="006D7D99">
        <w:t>Student Use of Mobile Devices in the Classroom</w:t>
      </w:r>
      <w:r w:rsidR="00BF1EE7" w:rsidRPr="006D7D99">
        <w:t>: Cell Phones, Laptops, and Related Technology</w:t>
      </w:r>
    </w:p>
    <w:p w14:paraId="02678B50" w14:textId="59FB5CE2" w:rsidR="001F5180" w:rsidRPr="006D7D99" w:rsidRDefault="001F5180">
      <w:r w:rsidRPr="006D7D99">
        <w:t xml:space="preserve">Use of portable technology during class time </w:t>
      </w:r>
      <w:r w:rsidR="00563C37">
        <w:t xml:space="preserve">is restricted. </w:t>
      </w:r>
      <w:r w:rsidR="00146D40">
        <w:t>Please, o</w:t>
      </w:r>
      <w:r w:rsidR="00563C37">
        <w:t xml:space="preserve">nly use your laptop when asked to do so by your professor. </w:t>
      </w:r>
    </w:p>
    <w:p w14:paraId="4CA7FA3C" w14:textId="3CF80B28" w:rsidR="00177FF3" w:rsidRPr="006D7D99" w:rsidRDefault="00177FF3" w:rsidP="00D67A1B">
      <w:pPr>
        <w:pStyle w:val="Heading4"/>
      </w:pPr>
      <w:r w:rsidRPr="006D7D99">
        <w:t>Student-Faculty Expectations</w:t>
      </w:r>
    </w:p>
    <w:p w14:paraId="048A1D0F" w14:textId="0675596D" w:rsidR="008D6E8D" w:rsidRPr="006D7D99" w:rsidRDefault="008E0D1F">
      <w:r w:rsidRPr="006D7D99">
        <w:t xml:space="preserve">At Georgia Tech we believe </w:t>
      </w:r>
      <w:r w:rsidR="00177FF3" w:rsidRPr="006D7D99">
        <w:t xml:space="preserve">that it is important to continually strive for an atmosphere of mutual respect, acknowledgement, and responsibility between faculty members and the student body. </w:t>
      </w:r>
      <w:r w:rsidR="0086301F" w:rsidRPr="006D7D99">
        <w:t xml:space="preserve">See </w:t>
      </w:r>
      <w:hyperlink r:id="rId14" w:history="1">
        <w:r w:rsidR="00BF2568" w:rsidRPr="00F550E1">
          <w:rPr>
            <w:rStyle w:val="Hyperlink"/>
            <w:rFonts w:asciiTheme="majorHAnsi" w:hAnsiTheme="majorHAnsi"/>
            <w:szCs w:val="22"/>
          </w:rPr>
          <w:t>http://www.catalog.gatech.edu/rules/22.php</w:t>
        </w:r>
      </w:hyperlink>
      <w:r w:rsidR="00BF2568">
        <w:t xml:space="preserve"> </w:t>
      </w:r>
      <w:r w:rsidR="0086301F" w:rsidRPr="006D7D99">
        <w:t xml:space="preserve"> </w:t>
      </w:r>
      <w:r w:rsidR="008D6E8D" w:rsidRPr="006D7D99">
        <w:br w:type="page"/>
      </w:r>
    </w:p>
    <w:p w14:paraId="0D19BA59" w14:textId="77777777" w:rsidR="008501C6" w:rsidRPr="006D7D99" w:rsidRDefault="008501C6" w:rsidP="002632C0">
      <w:pPr>
        <w:spacing w:after="0"/>
        <w:rPr>
          <w:rFonts w:asciiTheme="majorHAnsi" w:eastAsia="Times New Roman" w:hAnsiTheme="majorHAnsi" w:cs="Times New Roman"/>
          <w:color w:val="000000" w:themeColor="text1"/>
          <w:szCs w:val="22"/>
        </w:rPr>
      </w:pPr>
    </w:p>
    <w:p w14:paraId="5E90F4CA" w14:textId="5A68A796" w:rsidR="00410DE9" w:rsidRPr="006D7D99" w:rsidRDefault="00410DE9" w:rsidP="00F1470F">
      <w:pPr>
        <w:jc w:val="center"/>
        <w:rPr>
          <w:rFonts w:asciiTheme="majorHAnsi" w:hAnsiTheme="majorHAnsi"/>
          <w:b/>
          <w:color w:val="000000" w:themeColor="text1"/>
          <w:szCs w:val="22"/>
        </w:rPr>
      </w:pPr>
      <w:r w:rsidRPr="006D7D99">
        <w:rPr>
          <w:rFonts w:asciiTheme="majorHAnsi" w:hAnsiTheme="majorHAnsi"/>
          <w:b/>
          <w:color w:val="000000" w:themeColor="text1"/>
          <w:szCs w:val="22"/>
        </w:rPr>
        <w:t>COURSE SCHEDULE</w:t>
      </w:r>
    </w:p>
    <w:p w14:paraId="27D51671" w14:textId="77777777" w:rsidR="00410DE9" w:rsidRPr="006D7D99" w:rsidRDefault="00410DE9" w:rsidP="00410DE9">
      <w:pPr>
        <w:rPr>
          <w:b/>
          <w:bCs/>
          <w:color w:val="000000" w:themeColor="text1"/>
          <w:szCs w:val="22"/>
        </w:rPr>
      </w:pPr>
      <w:r w:rsidRPr="006D7D99">
        <w:rPr>
          <w:b/>
          <w:bCs/>
          <w:color w:val="000000" w:themeColor="text1"/>
          <w:szCs w:val="22"/>
        </w:rPr>
        <w:t xml:space="preserve">The course syllabus can and may be modified at any time according to the needs of the class. </w:t>
      </w:r>
    </w:p>
    <w:p w14:paraId="5795C5E0" w14:textId="186BAB35" w:rsidR="00410DE9" w:rsidRDefault="00410DE9" w:rsidP="0033112F">
      <w:pPr>
        <w:rPr>
          <w:i/>
          <w:color w:val="000000" w:themeColor="text1"/>
          <w:szCs w:val="22"/>
        </w:rPr>
      </w:pPr>
      <w:r w:rsidRPr="006D7D99">
        <w:rPr>
          <w:b/>
          <w:bCs/>
          <w:i/>
          <w:iCs/>
          <w:color w:val="000000" w:themeColor="text1"/>
          <w:szCs w:val="22"/>
        </w:rPr>
        <w:t xml:space="preserve">All homework / reading is to be done BEFORE coming to class </w:t>
      </w:r>
    </w:p>
    <w:p w14:paraId="7593D51C" w14:textId="021B955F" w:rsidR="00BF2568" w:rsidRDefault="00BF2568" w:rsidP="0033112F">
      <w:pPr>
        <w:rPr>
          <w:i/>
          <w:color w:val="000000" w:themeColor="text1"/>
          <w:szCs w:val="22"/>
        </w:rPr>
      </w:pPr>
    </w:p>
    <w:p w14:paraId="7F09A2FD" w14:textId="1B271D6D" w:rsidR="00BF2568" w:rsidRDefault="00BF2568" w:rsidP="00BF2568">
      <w:pPr>
        <w:pStyle w:val="ListParagraph"/>
        <w:spacing w:after="160" w:line="259" w:lineRule="auto"/>
      </w:pPr>
      <w:r>
        <w:rPr>
          <w:b/>
        </w:rPr>
        <w:t xml:space="preserve">Weeks 1 </w:t>
      </w:r>
      <w:r w:rsidR="004D242A">
        <w:rPr>
          <w:b/>
        </w:rPr>
        <w:t>thru 4</w:t>
      </w:r>
      <w:r>
        <w:rPr>
          <w:b/>
        </w:rPr>
        <w:t xml:space="preserve">: </w:t>
      </w:r>
      <w:r>
        <w:t>Gender, History and Political Thought</w:t>
      </w:r>
    </w:p>
    <w:p w14:paraId="2FBEBF9E" w14:textId="77777777" w:rsidR="00BF2568" w:rsidRPr="006359EB" w:rsidRDefault="00BF2568" w:rsidP="00BF2568">
      <w:pPr>
        <w:pStyle w:val="ListParagraph"/>
        <w:numPr>
          <w:ilvl w:val="1"/>
          <w:numId w:val="21"/>
        </w:numPr>
        <w:spacing w:after="160" w:line="259" w:lineRule="auto"/>
        <w:rPr>
          <w:lang w:val="fr-FR"/>
        </w:rPr>
      </w:pPr>
      <w:r w:rsidRPr="006359EB">
        <w:rPr>
          <w:lang w:val="fr-FR"/>
        </w:rPr>
        <w:t>Middle Ages</w:t>
      </w:r>
      <w:r>
        <w:rPr>
          <w:lang w:val="fr-FR"/>
        </w:rPr>
        <w:t xml:space="preserve"> (Marie de France)</w:t>
      </w:r>
    </w:p>
    <w:p w14:paraId="43C9E60B" w14:textId="77777777" w:rsidR="00BF2568" w:rsidRDefault="00BF2568" w:rsidP="00BF2568">
      <w:pPr>
        <w:pStyle w:val="ListParagraph"/>
        <w:numPr>
          <w:ilvl w:val="1"/>
          <w:numId w:val="21"/>
        </w:numPr>
        <w:spacing w:after="160" w:line="259" w:lineRule="auto"/>
        <w:rPr>
          <w:lang w:val="fr-FR"/>
        </w:rPr>
      </w:pPr>
      <w:r>
        <w:rPr>
          <w:lang w:val="fr-FR"/>
        </w:rPr>
        <w:t>Renaissance (Christine de Pisan)</w:t>
      </w:r>
    </w:p>
    <w:p w14:paraId="338AFF13" w14:textId="77777777" w:rsidR="00BF2568" w:rsidRDefault="00BF2568" w:rsidP="00BF2568">
      <w:pPr>
        <w:pStyle w:val="ListParagraph"/>
        <w:numPr>
          <w:ilvl w:val="1"/>
          <w:numId w:val="21"/>
        </w:numPr>
        <w:spacing w:after="160" w:line="259" w:lineRule="auto"/>
        <w:rPr>
          <w:lang w:val="fr-FR"/>
        </w:rPr>
      </w:pPr>
      <w:r>
        <w:rPr>
          <w:lang w:val="fr-FR"/>
        </w:rPr>
        <w:t>French Revolution (Olympe de Gouges)</w:t>
      </w:r>
    </w:p>
    <w:p w14:paraId="766855E3" w14:textId="77777777" w:rsidR="00BF2568" w:rsidRDefault="00BF2568" w:rsidP="00BF2568">
      <w:pPr>
        <w:pStyle w:val="ListParagraph"/>
        <w:numPr>
          <w:ilvl w:val="1"/>
          <w:numId w:val="21"/>
        </w:numPr>
        <w:spacing w:after="160" w:line="259" w:lineRule="auto"/>
      </w:pPr>
      <w:r w:rsidRPr="00095A9B">
        <w:t>19</w:t>
      </w:r>
      <w:r>
        <w:t>th c</w:t>
      </w:r>
      <w:r w:rsidRPr="00095A9B">
        <w:t>entury : Louise Michel, Marguerite Durand, S</w:t>
      </w:r>
      <w:r>
        <w:t>éverine</w:t>
      </w:r>
    </w:p>
    <w:p w14:paraId="1BB3EB70" w14:textId="77777777" w:rsidR="00BF2568" w:rsidRPr="00095A9B" w:rsidRDefault="00BF2568" w:rsidP="00BF2568">
      <w:pPr>
        <w:pStyle w:val="ListParagraph"/>
        <w:numPr>
          <w:ilvl w:val="1"/>
          <w:numId w:val="21"/>
        </w:numPr>
        <w:spacing w:after="160" w:line="259" w:lineRule="auto"/>
      </w:pPr>
      <w:r>
        <w:t>20</w:t>
      </w:r>
      <w:r w:rsidRPr="0021065B">
        <w:rPr>
          <w:vertAlign w:val="superscript"/>
        </w:rPr>
        <w:t>th</w:t>
      </w:r>
      <w:r>
        <w:t xml:space="preserve"> century: Simone de Beauvoir</w:t>
      </w:r>
      <w:r>
        <w:br/>
      </w:r>
    </w:p>
    <w:p w14:paraId="605BF8D5" w14:textId="18F9B59D" w:rsidR="00BF2568" w:rsidRDefault="00BF2568" w:rsidP="00BF2568">
      <w:pPr>
        <w:pStyle w:val="ListParagraph"/>
        <w:spacing w:after="160" w:line="259" w:lineRule="auto"/>
      </w:pPr>
      <w:r>
        <w:rPr>
          <w:b/>
        </w:rPr>
        <w:t xml:space="preserve">Weeks </w:t>
      </w:r>
      <w:r w:rsidR="004D242A">
        <w:rPr>
          <w:b/>
        </w:rPr>
        <w:t>5</w:t>
      </w:r>
      <w:r>
        <w:rPr>
          <w:b/>
        </w:rPr>
        <w:t xml:space="preserve"> thru </w:t>
      </w:r>
      <w:r w:rsidR="00C97BDD">
        <w:rPr>
          <w:b/>
        </w:rPr>
        <w:t>11</w:t>
      </w:r>
      <w:r w:rsidR="005F703A">
        <w:rPr>
          <w:b/>
        </w:rPr>
        <w:t xml:space="preserve"> </w:t>
      </w:r>
      <w:r>
        <w:t>Gender, Politics, Ethics after 1980</w:t>
      </w:r>
    </w:p>
    <w:p w14:paraId="4365F8B7" w14:textId="77777777" w:rsidR="00BF2568" w:rsidRDefault="00BF2568" w:rsidP="00BF2568">
      <w:pPr>
        <w:pStyle w:val="ListParagraph"/>
        <w:numPr>
          <w:ilvl w:val="1"/>
          <w:numId w:val="21"/>
        </w:numPr>
        <w:spacing w:after="160" w:line="259" w:lineRule="auto"/>
      </w:pPr>
      <w:r>
        <w:t>The gendered Body</w:t>
      </w:r>
    </w:p>
    <w:p w14:paraId="3A036F8E" w14:textId="77777777" w:rsidR="00BF2568" w:rsidRDefault="00BF2568" w:rsidP="00BF2568">
      <w:pPr>
        <w:pStyle w:val="ListParagraph"/>
        <w:numPr>
          <w:ilvl w:val="2"/>
          <w:numId w:val="21"/>
        </w:numPr>
        <w:spacing w:after="160" w:line="259" w:lineRule="auto"/>
      </w:pPr>
      <w:r>
        <w:t>Literary representations</w:t>
      </w:r>
    </w:p>
    <w:p w14:paraId="30DB63B8" w14:textId="77777777" w:rsidR="00BF2568" w:rsidRDefault="00BF2568" w:rsidP="00BF2568">
      <w:pPr>
        <w:pStyle w:val="ListParagraph"/>
        <w:numPr>
          <w:ilvl w:val="2"/>
          <w:numId w:val="21"/>
        </w:numPr>
        <w:spacing w:after="160" w:line="259" w:lineRule="auto"/>
      </w:pPr>
      <w:r>
        <w:t>Pictural representations: paintings through the centuries, photography</w:t>
      </w:r>
    </w:p>
    <w:p w14:paraId="6B8D481B" w14:textId="77777777" w:rsidR="00BF2568" w:rsidRDefault="00BF2568" w:rsidP="00BF2568">
      <w:pPr>
        <w:pStyle w:val="ListParagraph"/>
        <w:numPr>
          <w:ilvl w:val="2"/>
          <w:numId w:val="21"/>
        </w:numPr>
        <w:spacing w:after="160" w:line="259" w:lineRule="auto"/>
      </w:pPr>
      <w:r>
        <w:t xml:space="preserve">Bodies for sale: gender representation in ads </w:t>
      </w:r>
    </w:p>
    <w:p w14:paraId="261431D7" w14:textId="77777777" w:rsidR="00BF2568" w:rsidRDefault="00BF2568" w:rsidP="00BF2568">
      <w:pPr>
        <w:pStyle w:val="ListParagraph"/>
        <w:numPr>
          <w:ilvl w:val="2"/>
          <w:numId w:val="21"/>
        </w:numPr>
        <w:spacing w:after="160" w:line="259" w:lineRule="auto"/>
      </w:pPr>
      <w:r>
        <w:t>Gender and the cinema industry</w:t>
      </w:r>
    </w:p>
    <w:p w14:paraId="6FC8CCA9" w14:textId="77777777" w:rsidR="00BF2568" w:rsidRDefault="00BF2568" w:rsidP="00BF2568">
      <w:pPr>
        <w:pStyle w:val="ListParagraph"/>
        <w:numPr>
          <w:ilvl w:val="2"/>
          <w:numId w:val="21"/>
        </w:numPr>
        <w:spacing w:after="160" w:line="259" w:lineRule="auto"/>
      </w:pPr>
      <w:r>
        <w:t>Evolution of the medical gaze: the hysteric body</w:t>
      </w:r>
    </w:p>
    <w:p w14:paraId="05605B25" w14:textId="77777777" w:rsidR="00BF2568" w:rsidRDefault="00BF2568" w:rsidP="00BF2568">
      <w:pPr>
        <w:pStyle w:val="ListParagraph"/>
        <w:numPr>
          <w:ilvl w:val="1"/>
          <w:numId w:val="21"/>
        </w:numPr>
        <w:spacing w:after="160" w:line="259" w:lineRule="auto"/>
      </w:pPr>
      <w:r w:rsidRPr="00216675">
        <w:t>Questioning gendered identity.</w:t>
      </w:r>
      <w:r>
        <w:t xml:space="preserve"> </w:t>
      </w:r>
    </w:p>
    <w:p w14:paraId="5C9555B5" w14:textId="77777777" w:rsidR="00BF2568" w:rsidRDefault="00BF2568" w:rsidP="00BF2568">
      <w:pPr>
        <w:pStyle w:val="ListParagraph"/>
        <w:numPr>
          <w:ilvl w:val="2"/>
          <w:numId w:val="21"/>
        </w:numPr>
        <w:spacing w:after="160" w:line="259" w:lineRule="auto"/>
      </w:pPr>
      <w:r w:rsidRPr="00216675">
        <w:t xml:space="preserve">Judith Butler : </w:t>
      </w:r>
      <w:r w:rsidRPr="00216675">
        <w:rPr>
          <w:i/>
        </w:rPr>
        <w:t>Gender Trouble</w:t>
      </w:r>
      <w:r>
        <w:t xml:space="preserve"> (1990)</w:t>
      </w:r>
    </w:p>
    <w:p w14:paraId="6805F497" w14:textId="77777777" w:rsidR="00BF2568" w:rsidRDefault="00BF2568" w:rsidP="00BF2568">
      <w:pPr>
        <w:pStyle w:val="ListParagraph"/>
        <w:numPr>
          <w:ilvl w:val="2"/>
          <w:numId w:val="21"/>
        </w:numPr>
        <w:spacing w:after="160" w:line="259" w:lineRule="auto"/>
      </w:pPr>
      <w:r>
        <w:t xml:space="preserve">Judith Butler: </w:t>
      </w:r>
      <w:r w:rsidRPr="00EA11B3">
        <w:rPr>
          <w:i/>
        </w:rPr>
        <w:t>Undoing Gender</w:t>
      </w:r>
      <w:r>
        <w:t xml:space="preserve"> (2004)</w:t>
      </w:r>
    </w:p>
    <w:p w14:paraId="47853E04" w14:textId="77777777" w:rsidR="00BF2568" w:rsidRDefault="00BF2568" w:rsidP="00BF2568">
      <w:pPr>
        <w:pStyle w:val="ListParagraph"/>
        <w:numPr>
          <w:ilvl w:val="1"/>
          <w:numId w:val="21"/>
        </w:numPr>
        <w:spacing w:after="160" w:line="259" w:lineRule="auto"/>
      </w:pPr>
      <w:r>
        <w:t>Gender and the Law</w:t>
      </w:r>
    </w:p>
    <w:p w14:paraId="5DA8EE47" w14:textId="77777777" w:rsidR="00BF2568" w:rsidRDefault="00BF2568" w:rsidP="00BF2568">
      <w:pPr>
        <w:pStyle w:val="ListParagraph"/>
        <w:numPr>
          <w:ilvl w:val="1"/>
          <w:numId w:val="21"/>
        </w:numPr>
        <w:spacing w:after="160" w:line="259" w:lineRule="auto"/>
      </w:pPr>
      <w:r>
        <w:t>Gender and hate speech</w:t>
      </w:r>
    </w:p>
    <w:p w14:paraId="34C9F6EE" w14:textId="77777777" w:rsidR="00BF2568" w:rsidRPr="000C0678" w:rsidRDefault="00BF2568" w:rsidP="00BF2568">
      <w:pPr>
        <w:pStyle w:val="ListParagraph"/>
        <w:numPr>
          <w:ilvl w:val="2"/>
          <w:numId w:val="21"/>
        </w:numPr>
        <w:spacing w:after="160" w:line="259" w:lineRule="auto"/>
      </w:pPr>
      <w:r>
        <w:t xml:space="preserve">Marie Darrieussecq, </w:t>
      </w:r>
      <w:r>
        <w:rPr>
          <w:i/>
        </w:rPr>
        <w:t>Truismes</w:t>
      </w:r>
    </w:p>
    <w:p w14:paraId="4312D9D5" w14:textId="77777777" w:rsidR="00BF2568" w:rsidRDefault="00BF2568" w:rsidP="00BF2568">
      <w:pPr>
        <w:pStyle w:val="ListParagraph"/>
        <w:numPr>
          <w:ilvl w:val="2"/>
          <w:numId w:val="21"/>
        </w:numPr>
        <w:spacing w:after="160" w:line="259" w:lineRule="auto"/>
      </w:pPr>
      <w:r>
        <w:t>Les Chiennes de garde</w:t>
      </w:r>
    </w:p>
    <w:p w14:paraId="453BA442" w14:textId="77777777" w:rsidR="00BF2568" w:rsidRDefault="00BF2568" w:rsidP="00BF2568">
      <w:pPr>
        <w:pStyle w:val="ListParagraph"/>
        <w:numPr>
          <w:ilvl w:val="1"/>
          <w:numId w:val="21"/>
        </w:numPr>
        <w:spacing w:after="160" w:line="259" w:lineRule="auto"/>
      </w:pPr>
      <w:r>
        <w:t>Performativity</w:t>
      </w:r>
    </w:p>
    <w:p w14:paraId="1C1956B0" w14:textId="77777777" w:rsidR="00BF2568" w:rsidRDefault="00BF2568" w:rsidP="00BF2568">
      <w:pPr>
        <w:pStyle w:val="ListParagraph"/>
        <w:numPr>
          <w:ilvl w:val="2"/>
          <w:numId w:val="21"/>
        </w:numPr>
        <w:spacing w:after="160" w:line="259" w:lineRule="auto"/>
      </w:pPr>
      <w:r>
        <w:t xml:space="preserve">Judith Butler: </w:t>
      </w:r>
      <w:r>
        <w:rPr>
          <w:i/>
        </w:rPr>
        <w:t xml:space="preserve">Excitable Speech: A Politics of the PerformativeI </w:t>
      </w:r>
      <w:r>
        <w:t>(1997)</w:t>
      </w:r>
    </w:p>
    <w:p w14:paraId="131F6832" w14:textId="77777777" w:rsidR="00BF2568" w:rsidRDefault="00BF2568" w:rsidP="00BF2568">
      <w:pPr>
        <w:pStyle w:val="ListParagraph"/>
        <w:numPr>
          <w:ilvl w:val="1"/>
          <w:numId w:val="21"/>
        </w:numPr>
        <w:spacing w:after="160" w:line="259" w:lineRule="auto"/>
      </w:pPr>
      <w:r>
        <w:t>Employment and gender</w:t>
      </w:r>
    </w:p>
    <w:p w14:paraId="36ECF9DE" w14:textId="77777777" w:rsidR="00BF2568" w:rsidRDefault="00BF2568" w:rsidP="00BF2568">
      <w:pPr>
        <w:pStyle w:val="ListParagraph"/>
        <w:numPr>
          <w:ilvl w:val="2"/>
          <w:numId w:val="21"/>
        </w:numPr>
        <w:spacing w:after="160" w:line="259" w:lineRule="auto"/>
      </w:pPr>
      <w:r>
        <w:t>Gender and professions</w:t>
      </w:r>
    </w:p>
    <w:p w14:paraId="3C3A79DD" w14:textId="77777777" w:rsidR="00BF2568" w:rsidRDefault="00BF2568" w:rsidP="00BF2568">
      <w:pPr>
        <w:pStyle w:val="ListParagraph"/>
        <w:numPr>
          <w:ilvl w:val="2"/>
          <w:numId w:val="21"/>
        </w:numPr>
        <w:spacing w:after="160" w:line="259" w:lineRule="auto"/>
      </w:pPr>
      <w:r>
        <w:t>Gender and job interviews</w:t>
      </w:r>
    </w:p>
    <w:p w14:paraId="2A61E050" w14:textId="77777777" w:rsidR="00BF2568" w:rsidRDefault="00BF2568" w:rsidP="00BF2568">
      <w:pPr>
        <w:pStyle w:val="ListParagraph"/>
        <w:numPr>
          <w:ilvl w:val="2"/>
          <w:numId w:val="21"/>
        </w:numPr>
        <w:spacing w:after="160" w:line="259" w:lineRule="auto"/>
      </w:pPr>
      <w:r>
        <w:t>Gender and wage (in)equality</w:t>
      </w:r>
      <w:r>
        <w:br/>
      </w:r>
    </w:p>
    <w:p w14:paraId="07E72C6A" w14:textId="58B56C59" w:rsidR="00BF2568" w:rsidRPr="00216675" w:rsidRDefault="005F703A" w:rsidP="00BF2568">
      <w:pPr>
        <w:pStyle w:val="ListParagraph"/>
        <w:spacing w:after="160" w:line="259" w:lineRule="auto"/>
      </w:pPr>
      <w:r>
        <w:rPr>
          <w:b/>
        </w:rPr>
        <w:t xml:space="preserve">Week </w:t>
      </w:r>
      <w:r w:rsidR="00C97BDD">
        <w:rPr>
          <w:b/>
        </w:rPr>
        <w:t xml:space="preserve">12 </w:t>
      </w:r>
      <w:r w:rsidR="00BF2568">
        <w:t>LGBT in France</w:t>
      </w:r>
    </w:p>
    <w:p w14:paraId="4A9F9FB2" w14:textId="77777777" w:rsidR="00BF2568" w:rsidRDefault="00BF2568" w:rsidP="00BF2568">
      <w:pPr>
        <w:pStyle w:val="ListParagraph"/>
        <w:numPr>
          <w:ilvl w:val="1"/>
          <w:numId w:val="21"/>
        </w:numPr>
        <w:spacing w:after="160" w:line="259" w:lineRule="auto"/>
      </w:pPr>
      <w:r>
        <w:t xml:space="preserve">Civil unions regardless of gender: the </w:t>
      </w:r>
      <w:r w:rsidRPr="0006500A">
        <w:rPr>
          <w:i/>
        </w:rPr>
        <w:t>PACS</w:t>
      </w:r>
      <w:r>
        <w:t xml:space="preserve"> (1999) </w:t>
      </w:r>
    </w:p>
    <w:p w14:paraId="68BE4A8D" w14:textId="77777777" w:rsidR="00BF2568" w:rsidRDefault="00BF2568" w:rsidP="00BF2568">
      <w:pPr>
        <w:pStyle w:val="ListParagraph"/>
        <w:numPr>
          <w:ilvl w:val="1"/>
          <w:numId w:val="21"/>
        </w:numPr>
        <w:spacing w:after="160" w:line="259" w:lineRule="auto"/>
      </w:pPr>
      <w:r>
        <w:t>LGBT culture in Paris</w:t>
      </w:r>
    </w:p>
    <w:p w14:paraId="673EE9B9" w14:textId="77777777" w:rsidR="00BF2568" w:rsidRDefault="00BF2568" w:rsidP="00BF2568">
      <w:pPr>
        <w:pStyle w:val="ListParagraph"/>
        <w:numPr>
          <w:ilvl w:val="1"/>
          <w:numId w:val="21"/>
        </w:numPr>
        <w:spacing w:after="160" w:line="259" w:lineRule="auto"/>
      </w:pPr>
      <w:r>
        <w:t>Le Marais neighborhood</w:t>
      </w:r>
    </w:p>
    <w:p w14:paraId="73994AA0" w14:textId="77777777" w:rsidR="00BF2568" w:rsidRDefault="00BF2568" w:rsidP="00BF2568">
      <w:pPr>
        <w:pStyle w:val="ListParagraph"/>
        <w:numPr>
          <w:ilvl w:val="1"/>
          <w:numId w:val="21"/>
        </w:numPr>
        <w:spacing w:after="160" w:line="259" w:lineRule="auto"/>
        <w:rPr>
          <w:lang w:val="fr-FR"/>
        </w:rPr>
      </w:pPr>
      <w:r w:rsidRPr="00EA11B3">
        <w:rPr>
          <w:lang w:val="fr-FR"/>
        </w:rPr>
        <w:t>Literature: Col</w:t>
      </w:r>
      <w:r w:rsidRPr="0006500A">
        <w:rPr>
          <w:lang w:val="fr-FR"/>
        </w:rPr>
        <w:t xml:space="preserve">ette, Violette Leduc, </w:t>
      </w:r>
      <w:r>
        <w:rPr>
          <w:lang w:val="fr-FR"/>
        </w:rPr>
        <w:t>Marcel Proust, Jean Genet</w:t>
      </w:r>
      <w:r>
        <w:rPr>
          <w:lang w:val="fr-FR"/>
        </w:rPr>
        <w:br/>
      </w:r>
    </w:p>
    <w:p w14:paraId="5AD0D5F5" w14:textId="430A7A42" w:rsidR="00BF2568" w:rsidRDefault="00613F98" w:rsidP="00613F98">
      <w:pPr>
        <w:pStyle w:val="ListParagraph"/>
        <w:spacing w:after="160" w:line="259" w:lineRule="auto"/>
      </w:pPr>
      <w:r>
        <w:rPr>
          <w:b/>
        </w:rPr>
        <w:t>Week 1</w:t>
      </w:r>
      <w:r w:rsidR="00C97BDD">
        <w:rPr>
          <w:b/>
        </w:rPr>
        <w:t>3 thru 15:</w:t>
      </w:r>
      <w:r>
        <w:rPr>
          <w:b/>
        </w:rPr>
        <w:t xml:space="preserve"> </w:t>
      </w:r>
      <w:r w:rsidR="00BF2568" w:rsidRPr="007B4670">
        <w:t xml:space="preserve">Intersections for </w:t>
      </w:r>
      <w:r>
        <w:t xml:space="preserve">gendered bodies; </w:t>
      </w:r>
      <w:r w:rsidR="00C97BDD">
        <w:t xml:space="preserve">brainstorming, class discussions, </w:t>
      </w:r>
      <w:r>
        <w:t>student presentations</w:t>
      </w:r>
      <w:r w:rsidR="00C97BDD">
        <w:t>/projects</w:t>
      </w:r>
    </w:p>
    <w:p w14:paraId="18ACFF55" w14:textId="77777777" w:rsidR="00BF2568" w:rsidRDefault="00BF2568" w:rsidP="00BF2568">
      <w:pPr>
        <w:pStyle w:val="ListParagraph"/>
        <w:numPr>
          <w:ilvl w:val="1"/>
          <w:numId w:val="21"/>
        </w:numPr>
        <w:spacing w:after="160" w:line="259" w:lineRule="auto"/>
      </w:pPr>
      <w:r>
        <w:t>Gender and social class</w:t>
      </w:r>
    </w:p>
    <w:p w14:paraId="3FCC25DD" w14:textId="77777777" w:rsidR="00BF2568" w:rsidRDefault="00BF2568" w:rsidP="00BF2568">
      <w:pPr>
        <w:pStyle w:val="ListParagraph"/>
        <w:numPr>
          <w:ilvl w:val="1"/>
          <w:numId w:val="21"/>
        </w:numPr>
        <w:spacing w:after="160" w:line="259" w:lineRule="auto"/>
      </w:pPr>
      <w:r>
        <w:t>Gender and religion</w:t>
      </w:r>
    </w:p>
    <w:p w14:paraId="15D55BCA" w14:textId="77777777" w:rsidR="00BF2568" w:rsidRDefault="00BF2568" w:rsidP="00BF2568">
      <w:pPr>
        <w:pStyle w:val="ListParagraph"/>
        <w:numPr>
          <w:ilvl w:val="1"/>
          <w:numId w:val="21"/>
        </w:numPr>
        <w:spacing w:after="160" w:line="259" w:lineRule="auto"/>
      </w:pPr>
      <w:r>
        <w:t>Gender and perceived/imagined ethnicity</w:t>
      </w:r>
    </w:p>
    <w:p w14:paraId="352F1951" w14:textId="77777777" w:rsidR="00BF2568" w:rsidRDefault="00BF2568" w:rsidP="00BF2568">
      <w:pPr>
        <w:pStyle w:val="ListParagraph"/>
        <w:numPr>
          <w:ilvl w:val="1"/>
          <w:numId w:val="21"/>
        </w:numPr>
        <w:spacing w:after="160" w:line="259" w:lineRule="auto"/>
      </w:pPr>
      <w:r>
        <w:t>Gender and nationalisms</w:t>
      </w:r>
    </w:p>
    <w:p w14:paraId="6AEB1675" w14:textId="77777777" w:rsidR="00BF2568" w:rsidRDefault="00BF2568" w:rsidP="00BF2568">
      <w:pPr>
        <w:pStyle w:val="ListParagraph"/>
        <w:numPr>
          <w:ilvl w:val="1"/>
          <w:numId w:val="21"/>
        </w:numPr>
        <w:spacing w:after="160" w:line="259" w:lineRule="auto"/>
      </w:pPr>
      <w:r>
        <w:t>Gender and political parties</w:t>
      </w:r>
    </w:p>
    <w:p w14:paraId="57C98522" w14:textId="77777777" w:rsidR="00BF2568" w:rsidRDefault="00BF2568" w:rsidP="00BF2568">
      <w:pPr>
        <w:pStyle w:val="ListParagraph"/>
        <w:numPr>
          <w:ilvl w:val="1"/>
          <w:numId w:val="21"/>
        </w:numPr>
        <w:spacing w:after="160" w:line="259" w:lineRule="auto"/>
      </w:pPr>
      <w:r>
        <w:t>Gender and Languages</w:t>
      </w:r>
    </w:p>
    <w:p w14:paraId="6905424A" w14:textId="77777777" w:rsidR="00BF2568" w:rsidRPr="007B4670" w:rsidRDefault="00BF2568" w:rsidP="00BF2568">
      <w:pPr>
        <w:pStyle w:val="ListParagraph"/>
        <w:numPr>
          <w:ilvl w:val="1"/>
          <w:numId w:val="21"/>
        </w:numPr>
        <w:spacing w:after="160" w:line="259" w:lineRule="auto"/>
      </w:pPr>
      <w:r>
        <w:t>Gender and social media</w:t>
      </w:r>
      <w:r w:rsidRPr="007B4670">
        <w:br/>
      </w:r>
    </w:p>
    <w:p w14:paraId="0A27CB53" w14:textId="77777777" w:rsidR="00193CD8" w:rsidRPr="00BF2568" w:rsidRDefault="00193CD8" w:rsidP="0033112F">
      <w:pPr>
        <w:rPr>
          <w:color w:val="000000" w:themeColor="text1"/>
          <w:szCs w:val="22"/>
        </w:rPr>
      </w:pPr>
    </w:p>
    <w:sectPr w:rsidR="00193CD8" w:rsidRPr="00BF2568">
      <w:footerReference w:type="default" r:id="rId15"/>
      <w:pgSz w:w="12240" w:h="15840"/>
      <w:pgMar w:top="1152" w:right="1253" w:bottom="2160" w:left="1253"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ook, David J" w:date="2017-11-14T09:45:00Z" w:initials="SDJ">
    <w:p w14:paraId="14099140" w14:textId="2FD2528F" w:rsidR="000C6056" w:rsidRDefault="000C6056">
      <w:pPr>
        <w:pStyle w:val="CommentText"/>
      </w:pPr>
      <w:bookmarkStart w:id="1" w:name="_GoBack"/>
      <w:bookmarkEnd w:id="1"/>
      <w:r>
        <w:rPr>
          <w:rStyle w:val="CommentReference"/>
        </w:rPr>
        <w:annotationRef/>
      </w:r>
      <w:r>
        <w:t>What is the difference between LGBT and LBGTQIA?</w:t>
      </w:r>
    </w:p>
  </w:comment>
  <w:comment w:id="2" w:author="Shook, David J" w:date="2017-11-14T11:18:00Z" w:initials="SDJ">
    <w:p w14:paraId="362F655D" w14:textId="0FB63F9C" w:rsidR="008E0450" w:rsidRDefault="008E0450">
      <w:pPr>
        <w:pStyle w:val="CommentText"/>
      </w:pPr>
      <w:r>
        <w:rPr>
          <w:rStyle w:val="CommentReference"/>
        </w:rPr>
        <w:annotationRef/>
      </w:r>
      <w:r>
        <w:t xml:space="preserve">It seems that there is a difference between grad requirement and undergrad requirements that is not clear from this schema. Please differentiate accordingly. </w:t>
      </w:r>
    </w:p>
  </w:comment>
  <w:comment w:id="3" w:author="Shook, David J" w:date="2017-11-14T09:36:00Z" w:initials="SDJ">
    <w:p w14:paraId="173B1A84" w14:textId="64B7EF8B" w:rsidR="000C6056" w:rsidRDefault="000C6056">
      <w:pPr>
        <w:pStyle w:val="CommentText"/>
      </w:pPr>
      <w:r>
        <w:rPr>
          <w:rStyle w:val="CommentReference"/>
        </w:rPr>
        <w:annotationRef/>
      </w:r>
      <w:r>
        <w:t xml:space="preserve">I don’t see how this corresponds to the final presentation description you present below. “You will work with other students to design a presentation based on what you learned during the semester. You will use your knowledge of the subject to investigate a particular aspect of our topic that can be of interest not only to you but also to the rest of the class.” This sounds different from the more individualized paper you describe here. We need to resolve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099140" w15:done="0"/>
  <w15:commentEx w15:paraId="362F655D" w15:done="0"/>
  <w15:commentEx w15:paraId="173B1A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9624F" w14:textId="77777777" w:rsidR="00354A6E" w:rsidRDefault="00354A6E">
      <w:pPr>
        <w:spacing w:after="0"/>
      </w:pPr>
      <w:r>
        <w:separator/>
      </w:r>
    </w:p>
  </w:endnote>
  <w:endnote w:type="continuationSeparator" w:id="0">
    <w:p w14:paraId="6B2D9FE1" w14:textId="77777777" w:rsidR="00354A6E" w:rsidRDefault="00354A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0C6056"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25128AB0" w:rsidR="000C6056" w:rsidRDefault="000C6056">
          <w:pPr>
            <w:pStyle w:val="Footer"/>
            <w:rPr>
              <w:noProof/>
            </w:rPr>
          </w:pPr>
          <w:r>
            <w:t xml:space="preserve">Page </w:t>
          </w:r>
          <w:r>
            <w:fldChar w:fldCharType="begin"/>
          </w:r>
          <w:r>
            <w:instrText xml:space="preserve"> PAGE   \* MERGEFORMAT </w:instrText>
          </w:r>
          <w:r>
            <w:fldChar w:fldCharType="separate"/>
          </w:r>
          <w:r w:rsidR="0032706C">
            <w:rPr>
              <w:noProof/>
            </w:rPr>
            <w:t>1</w:t>
          </w:r>
          <w:r>
            <w:rPr>
              <w:noProof/>
            </w:rPr>
            <w:fldChar w:fldCharType="end"/>
          </w:r>
        </w:p>
      </w:tc>
    </w:tr>
  </w:tbl>
  <w:p w14:paraId="63EF4675" w14:textId="77777777" w:rsidR="000C6056" w:rsidRDefault="000C6056">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8261E" w14:textId="77777777" w:rsidR="00354A6E" w:rsidRDefault="00354A6E">
      <w:pPr>
        <w:spacing w:after="0"/>
      </w:pPr>
      <w:r>
        <w:separator/>
      </w:r>
    </w:p>
  </w:footnote>
  <w:footnote w:type="continuationSeparator" w:id="0">
    <w:p w14:paraId="263E9E5C" w14:textId="77777777" w:rsidR="00354A6E" w:rsidRDefault="00354A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2C6810"/>
    <w:multiLevelType w:val="multilevel"/>
    <w:tmpl w:val="FA8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02BF9"/>
    <w:multiLevelType w:val="hybridMultilevel"/>
    <w:tmpl w:val="4E1C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41190"/>
    <w:multiLevelType w:val="hybridMultilevel"/>
    <w:tmpl w:val="D6C24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52430"/>
    <w:multiLevelType w:val="hybridMultilevel"/>
    <w:tmpl w:val="F50A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AA113E"/>
    <w:multiLevelType w:val="hybridMultilevel"/>
    <w:tmpl w:val="5FD26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DC4FA5"/>
    <w:multiLevelType w:val="multilevel"/>
    <w:tmpl w:val="6B540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E28FC"/>
    <w:multiLevelType w:val="hybridMultilevel"/>
    <w:tmpl w:val="2C60D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577CE9"/>
    <w:multiLevelType w:val="hybridMultilevel"/>
    <w:tmpl w:val="A8AEBB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C973F0"/>
    <w:multiLevelType w:val="hybridMultilevel"/>
    <w:tmpl w:val="333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3B6C8C"/>
    <w:multiLevelType w:val="multilevel"/>
    <w:tmpl w:val="160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05296"/>
    <w:multiLevelType w:val="multilevel"/>
    <w:tmpl w:val="2C6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C418B4"/>
    <w:multiLevelType w:val="hybridMultilevel"/>
    <w:tmpl w:val="EF901E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85715"/>
    <w:multiLevelType w:val="hybridMultilevel"/>
    <w:tmpl w:val="66008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910C2"/>
    <w:multiLevelType w:val="multilevel"/>
    <w:tmpl w:val="94B45318"/>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441E0"/>
    <w:multiLevelType w:val="multilevel"/>
    <w:tmpl w:val="C12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83D00"/>
    <w:multiLevelType w:val="hybridMultilevel"/>
    <w:tmpl w:val="B3A0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5"/>
  </w:num>
  <w:num w:numId="14">
    <w:abstractNumId w:val="18"/>
  </w:num>
  <w:num w:numId="15">
    <w:abstractNumId w:val="11"/>
  </w:num>
  <w:num w:numId="16">
    <w:abstractNumId w:val="20"/>
  </w:num>
  <w:num w:numId="17">
    <w:abstractNumId w:val="15"/>
  </w:num>
  <w:num w:numId="18">
    <w:abstractNumId w:val="24"/>
  </w:num>
  <w:num w:numId="19">
    <w:abstractNumId w:val="10"/>
  </w:num>
  <w:num w:numId="20">
    <w:abstractNumId w:val="21"/>
  </w:num>
  <w:num w:numId="21">
    <w:abstractNumId w:val="23"/>
  </w:num>
  <w:num w:numId="22">
    <w:abstractNumId w:val="22"/>
  </w:num>
  <w:num w:numId="23">
    <w:abstractNumId w:val="13"/>
  </w:num>
  <w:num w:numId="24">
    <w:abstractNumId w:val="17"/>
  </w:num>
  <w:num w:numId="25">
    <w:abstractNumId w:val="16"/>
  </w:num>
  <w:num w:numId="26">
    <w:abstractNumId w:val="12"/>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21BCD"/>
    <w:rsid w:val="00047787"/>
    <w:rsid w:val="00047B5F"/>
    <w:rsid w:val="00072AFA"/>
    <w:rsid w:val="000A4C1E"/>
    <w:rsid w:val="000B54EF"/>
    <w:rsid w:val="000C6056"/>
    <w:rsid w:val="000D1A3D"/>
    <w:rsid w:val="0011346F"/>
    <w:rsid w:val="00115F33"/>
    <w:rsid w:val="001361D8"/>
    <w:rsid w:val="00146D40"/>
    <w:rsid w:val="0017392F"/>
    <w:rsid w:val="00174C89"/>
    <w:rsid w:val="00177FF3"/>
    <w:rsid w:val="00193CD8"/>
    <w:rsid w:val="001A5DF4"/>
    <w:rsid w:val="001B29D2"/>
    <w:rsid w:val="001C5E8D"/>
    <w:rsid w:val="001C62BB"/>
    <w:rsid w:val="001D3574"/>
    <w:rsid w:val="001F5180"/>
    <w:rsid w:val="002001DA"/>
    <w:rsid w:val="00222E6B"/>
    <w:rsid w:val="0025626D"/>
    <w:rsid w:val="002632C0"/>
    <w:rsid w:val="00270222"/>
    <w:rsid w:val="00280ED7"/>
    <w:rsid w:val="00293B49"/>
    <w:rsid w:val="002C7849"/>
    <w:rsid w:val="002D43A7"/>
    <w:rsid w:val="002D471F"/>
    <w:rsid w:val="002E26C0"/>
    <w:rsid w:val="002F6BC5"/>
    <w:rsid w:val="00313B72"/>
    <w:rsid w:val="0032706C"/>
    <w:rsid w:val="003279B4"/>
    <w:rsid w:val="0033112F"/>
    <w:rsid w:val="003352EF"/>
    <w:rsid w:val="00354A6E"/>
    <w:rsid w:val="00365253"/>
    <w:rsid w:val="00366072"/>
    <w:rsid w:val="00375906"/>
    <w:rsid w:val="0037779E"/>
    <w:rsid w:val="00385EAC"/>
    <w:rsid w:val="003B240B"/>
    <w:rsid w:val="003C28FF"/>
    <w:rsid w:val="00410DE9"/>
    <w:rsid w:val="00425E17"/>
    <w:rsid w:val="00433453"/>
    <w:rsid w:val="00444C32"/>
    <w:rsid w:val="00463815"/>
    <w:rsid w:val="004A5270"/>
    <w:rsid w:val="004B2A40"/>
    <w:rsid w:val="004B4C21"/>
    <w:rsid w:val="004D242A"/>
    <w:rsid w:val="004E2AFB"/>
    <w:rsid w:val="004E45BA"/>
    <w:rsid w:val="004E47BF"/>
    <w:rsid w:val="00502885"/>
    <w:rsid w:val="00534C76"/>
    <w:rsid w:val="00545C76"/>
    <w:rsid w:val="00561008"/>
    <w:rsid w:val="00563C37"/>
    <w:rsid w:val="00572FE1"/>
    <w:rsid w:val="00584A40"/>
    <w:rsid w:val="00586CF9"/>
    <w:rsid w:val="00587CBB"/>
    <w:rsid w:val="005B59D5"/>
    <w:rsid w:val="005C3649"/>
    <w:rsid w:val="005D3608"/>
    <w:rsid w:val="005D44A4"/>
    <w:rsid w:val="005E60ED"/>
    <w:rsid w:val="005F261E"/>
    <w:rsid w:val="005F703A"/>
    <w:rsid w:val="00610EFD"/>
    <w:rsid w:val="00613F98"/>
    <w:rsid w:val="00625420"/>
    <w:rsid w:val="00630D02"/>
    <w:rsid w:val="00641732"/>
    <w:rsid w:val="006503F1"/>
    <w:rsid w:val="0066582A"/>
    <w:rsid w:val="006A563B"/>
    <w:rsid w:val="006A6EDA"/>
    <w:rsid w:val="006D7D99"/>
    <w:rsid w:val="00710450"/>
    <w:rsid w:val="0071672B"/>
    <w:rsid w:val="00725A38"/>
    <w:rsid w:val="007276B0"/>
    <w:rsid w:val="00743C52"/>
    <w:rsid w:val="0074464B"/>
    <w:rsid w:val="00747206"/>
    <w:rsid w:val="00756CE2"/>
    <w:rsid w:val="00764E33"/>
    <w:rsid w:val="007653EF"/>
    <w:rsid w:val="007716E7"/>
    <w:rsid w:val="00781681"/>
    <w:rsid w:val="00786472"/>
    <w:rsid w:val="0079739C"/>
    <w:rsid w:val="007A7848"/>
    <w:rsid w:val="007D2A37"/>
    <w:rsid w:val="007D67B0"/>
    <w:rsid w:val="008121C7"/>
    <w:rsid w:val="0081236B"/>
    <w:rsid w:val="008253E5"/>
    <w:rsid w:val="00826931"/>
    <w:rsid w:val="00826E97"/>
    <w:rsid w:val="00832EE6"/>
    <w:rsid w:val="008357E7"/>
    <w:rsid w:val="00845AD6"/>
    <w:rsid w:val="008501C6"/>
    <w:rsid w:val="0086301F"/>
    <w:rsid w:val="00875294"/>
    <w:rsid w:val="00886199"/>
    <w:rsid w:val="00890284"/>
    <w:rsid w:val="008931FD"/>
    <w:rsid w:val="00896F64"/>
    <w:rsid w:val="0089742B"/>
    <w:rsid w:val="008A4CB0"/>
    <w:rsid w:val="008D6E8D"/>
    <w:rsid w:val="008E0450"/>
    <w:rsid w:val="008E0D1F"/>
    <w:rsid w:val="008F4EC5"/>
    <w:rsid w:val="00914F90"/>
    <w:rsid w:val="00926107"/>
    <w:rsid w:val="00932E1B"/>
    <w:rsid w:val="009544BB"/>
    <w:rsid w:val="0097259C"/>
    <w:rsid w:val="009A7FA7"/>
    <w:rsid w:val="009C1FF0"/>
    <w:rsid w:val="009E0863"/>
    <w:rsid w:val="009E3F85"/>
    <w:rsid w:val="009F0EFA"/>
    <w:rsid w:val="009F7892"/>
    <w:rsid w:val="00A001BE"/>
    <w:rsid w:val="00A02BD7"/>
    <w:rsid w:val="00A11086"/>
    <w:rsid w:val="00A15089"/>
    <w:rsid w:val="00A34575"/>
    <w:rsid w:val="00A52038"/>
    <w:rsid w:val="00A649D3"/>
    <w:rsid w:val="00A96FD8"/>
    <w:rsid w:val="00AC4C00"/>
    <w:rsid w:val="00AE68AE"/>
    <w:rsid w:val="00AF7B92"/>
    <w:rsid w:val="00B05473"/>
    <w:rsid w:val="00B15087"/>
    <w:rsid w:val="00B72D24"/>
    <w:rsid w:val="00B76089"/>
    <w:rsid w:val="00B7698A"/>
    <w:rsid w:val="00B81D4A"/>
    <w:rsid w:val="00BA4D50"/>
    <w:rsid w:val="00BB21F0"/>
    <w:rsid w:val="00BB4E21"/>
    <w:rsid w:val="00BB7E8F"/>
    <w:rsid w:val="00BC23FD"/>
    <w:rsid w:val="00BC312E"/>
    <w:rsid w:val="00BC406F"/>
    <w:rsid w:val="00BD5CED"/>
    <w:rsid w:val="00BF1EE7"/>
    <w:rsid w:val="00BF2568"/>
    <w:rsid w:val="00C063EB"/>
    <w:rsid w:val="00C36547"/>
    <w:rsid w:val="00C7031C"/>
    <w:rsid w:val="00C8082D"/>
    <w:rsid w:val="00C80CDD"/>
    <w:rsid w:val="00C97B9B"/>
    <w:rsid w:val="00C97BDD"/>
    <w:rsid w:val="00CA412A"/>
    <w:rsid w:val="00CE75E3"/>
    <w:rsid w:val="00CF74A4"/>
    <w:rsid w:val="00D10B5F"/>
    <w:rsid w:val="00D12422"/>
    <w:rsid w:val="00D2397D"/>
    <w:rsid w:val="00D42271"/>
    <w:rsid w:val="00D45E67"/>
    <w:rsid w:val="00D51688"/>
    <w:rsid w:val="00D57B81"/>
    <w:rsid w:val="00D607A8"/>
    <w:rsid w:val="00D67A1B"/>
    <w:rsid w:val="00D72D95"/>
    <w:rsid w:val="00D92413"/>
    <w:rsid w:val="00DA10E7"/>
    <w:rsid w:val="00DA44CE"/>
    <w:rsid w:val="00DA7BAC"/>
    <w:rsid w:val="00DB6CAA"/>
    <w:rsid w:val="00DD3DDB"/>
    <w:rsid w:val="00DE6F88"/>
    <w:rsid w:val="00DE7977"/>
    <w:rsid w:val="00DF025A"/>
    <w:rsid w:val="00E0569B"/>
    <w:rsid w:val="00E127A4"/>
    <w:rsid w:val="00E14658"/>
    <w:rsid w:val="00E16050"/>
    <w:rsid w:val="00E51911"/>
    <w:rsid w:val="00EC3506"/>
    <w:rsid w:val="00EF20BA"/>
    <w:rsid w:val="00F02D69"/>
    <w:rsid w:val="00F1470F"/>
    <w:rsid w:val="00F2002C"/>
    <w:rsid w:val="00F610A5"/>
    <w:rsid w:val="00F62170"/>
    <w:rsid w:val="00F62B02"/>
    <w:rsid w:val="00F63F62"/>
    <w:rsid w:val="00F66AC0"/>
    <w:rsid w:val="00F67017"/>
    <w:rsid w:val="00F73666"/>
    <w:rsid w:val="00FD0E2E"/>
    <w:rsid w:val="00FD5E9C"/>
    <w:rsid w:val="00FD7C0A"/>
    <w:rsid w:val="00FE4E1C"/>
    <w:rsid w:val="00FF03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83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94"/>
    <w:rPr>
      <w:sz w:val="22"/>
    </w:rPr>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rPr>
  </w:style>
  <w:style w:type="paragraph" w:styleId="Heading3">
    <w:name w:val="heading 3"/>
    <w:basedOn w:val="Normal"/>
    <w:next w:val="Normal"/>
    <w:link w:val="Heading3Char"/>
    <w:uiPriority w:val="9"/>
    <w:unhideWhenUsed/>
    <w:qFormat/>
    <w:rsid w:val="008253E5"/>
    <w:pPr>
      <w:keepNext/>
      <w:keepLines/>
      <w:spacing w:before="40" w:after="0"/>
      <w:outlineLvl w:val="2"/>
    </w:pPr>
    <w:rPr>
      <w:rFonts w:ascii="Georgia" w:eastAsiaTheme="majorEastAsia" w:hAnsi="Georgia" w:cstheme="majorBidi"/>
      <w:color w:val="000000" w:themeColor="text1"/>
      <w:szCs w:val="24"/>
    </w:rPr>
  </w:style>
  <w:style w:type="paragraph" w:styleId="Heading4">
    <w:name w:val="heading 4"/>
    <w:basedOn w:val="Normal"/>
    <w:next w:val="Normal"/>
    <w:link w:val="Heading4Char"/>
    <w:autoRedefine/>
    <w:uiPriority w:val="9"/>
    <w:unhideWhenUsed/>
    <w:qFormat/>
    <w:rsid w:val="00875294"/>
    <w:pPr>
      <w:keepNext/>
      <w:keepLines/>
      <w:spacing w:before="40" w:after="20"/>
      <w:outlineLvl w:val="3"/>
    </w:pPr>
    <w:rPr>
      <w:rFonts w:asciiTheme="majorHAnsi" w:eastAsiaTheme="majorEastAsia" w:hAnsiTheme="majorHAnsi" w:cstheme="majorBidi"/>
      <w:i/>
      <w:iCs/>
      <w:color w:val="0F6FC6" w:themeColor="accen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rsid w:val="00875294"/>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rsid w:val="008253E5"/>
    <w:rPr>
      <w:rFonts w:ascii="Georgia" w:eastAsiaTheme="majorEastAsia" w:hAnsi="Georgia" w:cstheme="majorBidi"/>
      <w:color w:val="000000" w:themeColor="text1"/>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table" w:styleId="LightShading-Accent1">
    <w:name w:val="Light Shading Accent 1"/>
    <w:basedOn w:val="TableNormal"/>
    <w:uiPriority w:val="60"/>
    <w:rsid w:val="00E51911"/>
    <w:pPr>
      <w:spacing w:after="0"/>
    </w:pPr>
    <w:rPr>
      <w:rFonts w:eastAsiaTheme="minorEastAsia"/>
      <w:color w:val="0B5294" w:themeColor="accent1" w:themeShade="BF"/>
      <w:sz w:val="24"/>
      <w:szCs w:val="24"/>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NormalWeb">
    <w:name w:val="Normal (Web)"/>
    <w:basedOn w:val="Normal"/>
    <w:unhideWhenUsed/>
    <w:rsid w:val="00BF1EE7"/>
    <w:pPr>
      <w:spacing w:before="100" w:beforeAutospacing="1" w:after="100" w:afterAutospacing="1"/>
    </w:pPr>
    <w:rPr>
      <w:rFonts w:ascii="Times New Roman" w:eastAsia="Times New Roman" w:hAnsi="Times New Roman" w:cs="Times New Roman"/>
      <w:color w:val="auto"/>
      <w:sz w:val="24"/>
      <w:szCs w:val="24"/>
      <w:lang w:eastAsia="zh-CN"/>
    </w:rPr>
  </w:style>
  <w:style w:type="paragraph" w:styleId="ListParagraph">
    <w:name w:val="List Paragraph"/>
    <w:basedOn w:val="Normal"/>
    <w:uiPriority w:val="34"/>
    <w:qFormat/>
    <w:rsid w:val="00313B72"/>
    <w:pPr>
      <w:ind w:left="720"/>
      <w:contextualSpacing/>
    </w:pPr>
  </w:style>
  <w:style w:type="table" w:styleId="ListTable7Colorful-Accent6">
    <w:name w:val="List Table 7 Colorful Accent 6"/>
    <w:basedOn w:val="TableNormal"/>
    <w:uiPriority w:val="52"/>
    <w:rsid w:val="00293B49"/>
    <w:pPr>
      <w:spacing w:after="0"/>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769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9C1FF0"/>
    <w:rPr>
      <w:sz w:val="16"/>
      <w:szCs w:val="16"/>
    </w:rPr>
  </w:style>
  <w:style w:type="paragraph" w:styleId="CommentText">
    <w:name w:val="annotation text"/>
    <w:basedOn w:val="Normal"/>
    <w:link w:val="CommentTextChar"/>
    <w:uiPriority w:val="99"/>
    <w:semiHidden/>
    <w:unhideWhenUsed/>
    <w:rsid w:val="009C1FF0"/>
  </w:style>
  <w:style w:type="character" w:customStyle="1" w:styleId="CommentTextChar">
    <w:name w:val="Comment Text Char"/>
    <w:basedOn w:val="DefaultParagraphFont"/>
    <w:link w:val="CommentText"/>
    <w:uiPriority w:val="99"/>
    <w:semiHidden/>
    <w:rsid w:val="009C1FF0"/>
  </w:style>
  <w:style w:type="paragraph" w:styleId="CommentSubject">
    <w:name w:val="annotation subject"/>
    <w:basedOn w:val="CommentText"/>
    <w:next w:val="CommentText"/>
    <w:link w:val="CommentSubjectChar"/>
    <w:uiPriority w:val="99"/>
    <w:semiHidden/>
    <w:unhideWhenUsed/>
    <w:rsid w:val="009C1FF0"/>
    <w:rPr>
      <w:b/>
      <w:bCs/>
    </w:rPr>
  </w:style>
  <w:style w:type="character" w:customStyle="1" w:styleId="CommentSubjectChar">
    <w:name w:val="Comment Subject Char"/>
    <w:basedOn w:val="CommentTextChar"/>
    <w:link w:val="CommentSubject"/>
    <w:uiPriority w:val="99"/>
    <w:semiHidden/>
    <w:rsid w:val="009C1FF0"/>
    <w:rPr>
      <w:b/>
      <w:bCs/>
    </w:rPr>
  </w:style>
  <w:style w:type="paragraph" w:styleId="Revision">
    <w:name w:val="Revision"/>
    <w:hidden/>
    <w:uiPriority w:val="99"/>
    <w:semiHidden/>
    <w:rsid w:val="009C1F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43805">
      <w:bodyDiv w:val="1"/>
      <w:marLeft w:val="0"/>
      <w:marRight w:val="0"/>
      <w:marTop w:val="0"/>
      <w:marBottom w:val="0"/>
      <w:divBdr>
        <w:top w:val="none" w:sz="0" w:space="0" w:color="auto"/>
        <w:left w:val="none" w:sz="0" w:space="0" w:color="auto"/>
        <w:bottom w:val="none" w:sz="0" w:space="0" w:color="auto"/>
        <w:right w:val="none" w:sz="0" w:space="0" w:color="auto"/>
      </w:divBdr>
    </w:div>
    <w:div w:id="744568497">
      <w:bodyDiv w:val="1"/>
      <w:marLeft w:val="0"/>
      <w:marRight w:val="0"/>
      <w:marTop w:val="0"/>
      <w:marBottom w:val="0"/>
      <w:divBdr>
        <w:top w:val="none" w:sz="0" w:space="0" w:color="auto"/>
        <w:left w:val="none" w:sz="0" w:space="0" w:color="auto"/>
        <w:bottom w:val="none" w:sz="0" w:space="0" w:color="auto"/>
        <w:right w:val="none" w:sz="0" w:space="0" w:color="auto"/>
      </w:divBdr>
    </w:div>
    <w:div w:id="1430275408">
      <w:bodyDiv w:val="1"/>
      <w:marLeft w:val="0"/>
      <w:marRight w:val="0"/>
      <w:marTop w:val="0"/>
      <w:marBottom w:val="0"/>
      <w:divBdr>
        <w:top w:val="none" w:sz="0" w:space="0" w:color="auto"/>
        <w:left w:val="none" w:sz="0" w:space="0" w:color="auto"/>
        <w:bottom w:val="none" w:sz="0" w:space="0" w:color="auto"/>
        <w:right w:val="none" w:sz="0" w:space="0" w:color="auto"/>
      </w:divBdr>
      <w:divsChild>
        <w:div w:id="2145538956">
          <w:marLeft w:val="0"/>
          <w:marRight w:val="0"/>
          <w:marTop w:val="0"/>
          <w:marBottom w:val="0"/>
          <w:divBdr>
            <w:top w:val="none" w:sz="0" w:space="0" w:color="auto"/>
            <w:left w:val="none" w:sz="0" w:space="0" w:color="auto"/>
            <w:bottom w:val="none" w:sz="0" w:space="0" w:color="auto"/>
            <w:right w:val="none" w:sz="0" w:space="0" w:color="auto"/>
          </w:divBdr>
        </w:div>
      </w:divsChild>
    </w:div>
    <w:div w:id="19503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atalog.gatech.edu/rules/4b.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sabilityservices.gatech.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library.gatech.edu/academic-affairs/other-academic-student-polic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olicylibrary.gatech.edu/student-affairs/academic-honor-co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talog.gatech.edu/rules/22.php"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BEF65-828B-488E-A311-2BF0AC13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Wall, Victoria L</dc:creator>
  <cp:lastModifiedBy>Hodges, Amy D</cp:lastModifiedBy>
  <cp:revision>2</cp:revision>
  <cp:lastPrinted>2017-11-01T19:57:00Z</cp:lastPrinted>
  <dcterms:created xsi:type="dcterms:W3CDTF">2018-03-14T18:23:00Z</dcterms:created>
  <dcterms:modified xsi:type="dcterms:W3CDTF">2018-03-14T18:23:00Z</dcterms:modified>
</cp:coreProperties>
</file>