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A448A" w14:textId="77777777" w:rsidR="00CD7C8D" w:rsidRDefault="001E3EBC">
      <w:pPr>
        <w:rPr>
          <w:b/>
        </w:rPr>
      </w:pPr>
      <w:bookmarkStart w:id="0" w:name="_gjdgxs" w:colFirst="0" w:colLast="0"/>
      <w:bookmarkEnd w:id="0"/>
      <w:r>
        <w:rPr>
          <w:b/>
        </w:rPr>
        <w:t>GMC6002: Research Methodologies</w:t>
      </w:r>
    </w:p>
    <w:p w14:paraId="2154481D" w14:textId="77777777" w:rsidR="00CD7C8D" w:rsidRDefault="001E3EBC">
      <w:r>
        <w:rPr>
          <w:b/>
        </w:rPr>
        <w:t>Instructors</w:t>
      </w:r>
      <w:r>
        <w:t xml:space="preserve">: Karen </w:t>
      </w:r>
      <w:proofErr w:type="spellStart"/>
      <w:r>
        <w:t>Viars</w:t>
      </w:r>
      <w:proofErr w:type="spellEnd"/>
      <w:r>
        <w:t xml:space="preserve"> and </w:t>
      </w:r>
      <w:proofErr w:type="spellStart"/>
      <w:r>
        <w:t>Marlee</w:t>
      </w:r>
      <w:proofErr w:type="spellEnd"/>
      <w:r>
        <w:t xml:space="preserve"> Givens, Georgia Tech Library, with the following faculty serving as alternating Instructors of Record: Jenny </w:t>
      </w:r>
      <w:proofErr w:type="spellStart"/>
      <w:r>
        <w:t>Strakovsky</w:t>
      </w:r>
      <w:proofErr w:type="spellEnd"/>
      <w:r>
        <w:t xml:space="preserve">, Aaron </w:t>
      </w:r>
      <w:proofErr w:type="spellStart"/>
      <w:r>
        <w:t>Santesso</w:t>
      </w:r>
      <w:proofErr w:type="spellEnd"/>
      <w:r>
        <w:t xml:space="preserve">, Vicki Galloway, Richard </w:t>
      </w:r>
      <w:proofErr w:type="spellStart"/>
      <w:r>
        <w:t>Utz</w:t>
      </w:r>
      <w:proofErr w:type="spellEnd"/>
      <w:r>
        <w:t xml:space="preserve">, and Anna </w:t>
      </w:r>
      <w:proofErr w:type="spellStart"/>
      <w:r>
        <w:t>Stenport</w:t>
      </w:r>
      <w:proofErr w:type="spellEnd"/>
    </w:p>
    <w:p w14:paraId="395F3C2E" w14:textId="77777777" w:rsidR="00CD7C8D" w:rsidRDefault="001E3EBC">
      <w:r>
        <w:rPr>
          <w:b/>
        </w:rPr>
        <w:t>Course Credit</w:t>
      </w:r>
      <w:r>
        <w:t xml:space="preserve">: (1), </w:t>
      </w:r>
      <w:r>
        <w:rPr>
          <w:b/>
        </w:rPr>
        <w:t>Prerequisite</w:t>
      </w:r>
      <w:r>
        <w:t xml:space="preserve">: GMC6001. </w:t>
      </w:r>
      <w:proofErr w:type="gramStart"/>
      <w:r>
        <w:t>Concurrent enrollment with GMC6003.</w:t>
      </w:r>
      <w:proofErr w:type="gramEnd"/>
      <w:r>
        <w:t xml:space="preserve"> Consent by instructor.</w:t>
      </w:r>
    </w:p>
    <w:p w14:paraId="15947AAB" w14:textId="77777777" w:rsidR="00CD7C8D" w:rsidRDefault="001E3EBC">
      <w:r>
        <w:rPr>
          <w:b/>
        </w:rPr>
        <w:t>Course Objective</w:t>
      </w:r>
      <w:r>
        <w:t xml:space="preserve">: To provide a working knowledge of methods and practices for conducting and communicating high-quality research in a modern global environment. </w:t>
      </w:r>
    </w:p>
    <w:p w14:paraId="7C32B04F" w14:textId="77777777" w:rsidR="00CD7C8D" w:rsidRDefault="001E3EBC">
      <w:r>
        <w:rPr>
          <w:b/>
        </w:rPr>
        <w:t>Textbook</w:t>
      </w:r>
      <w:r>
        <w:t>: Class notes and readings (available online)</w:t>
      </w:r>
    </w:p>
    <w:p w14:paraId="3FA2BDC3" w14:textId="77777777" w:rsidR="00CD7C8D" w:rsidRDefault="00CD7C8D"/>
    <w:p w14:paraId="6156AD71" w14:textId="77777777" w:rsidR="00CD7C8D" w:rsidRDefault="001E3EBC">
      <w:r>
        <w:rPr>
          <w:b/>
        </w:rPr>
        <w:t>Course Description</w:t>
      </w:r>
      <w:r>
        <w:t xml:space="preserve">: This course provides an overview of research methods with special emphasis on application to global media and culture. Students will learn how to search effectively for reliable, quality information, in a variety of sources and formats, using a variety of methods, as well as how to compile, annotate and cite their references.  Students will apply this information toward their own research, writing and projects, by writing a literature review, creating an annotated bibliography, and integrating </w:t>
      </w:r>
      <w:proofErr w:type="gramStart"/>
      <w:r>
        <w:t>these research</w:t>
      </w:r>
      <w:proofErr w:type="gramEnd"/>
      <w:r>
        <w:t xml:space="preserve"> as part of communication plan for the Proposal for their final MS project, which they will be developing concurrently in the course GMC6003: Professional Portfolio. The course gives students the opportunity to work with a collaborative team of librarians who support the School of Literature, Media, and Communication (LMC) and the School of Modern Languages (ML), and it will feature guest speakers from the library. Students enrolled in GMC6002 will undertake research and independent learning activities along with the following key course components: active participation, reflecting on readings and discussions, writing an annotated bibliography, writing a literature review, and writing and presenting a plan for communicating their research as a part of their final MS project visually, verbally or aurally. A communication plan helps the student/researcher to consider how to promote and share his or her research in a variety of ways. This can include scholarly journals, public non-scholarly websites (e.g. Slate or similar), podcasts, posters, data visualization, and other methods. The communication plan helps students consider the most effective and appropriate ways share their research and results with </w:t>
      </w:r>
      <w:proofErr w:type="gramStart"/>
      <w:r>
        <w:t>anyone</w:t>
      </w:r>
      <w:proofErr w:type="gramEnd"/>
      <w:r>
        <w:t xml:space="preserve"> who wants or needs to learn about it, and how they'll go about doing so. This research will support an MS thesis, internship, practicum, or project.</w:t>
      </w:r>
    </w:p>
    <w:p w14:paraId="5548AC74" w14:textId="77777777" w:rsidR="00CD7C8D" w:rsidRDefault="00CD7C8D"/>
    <w:p w14:paraId="600CC743" w14:textId="77777777" w:rsidR="00CD7C8D" w:rsidRDefault="001E3EBC">
      <w:r>
        <w:rPr>
          <w:b/>
        </w:rPr>
        <w:t>Learning outcomes</w:t>
      </w:r>
      <w:r>
        <w:t>:</w:t>
      </w:r>
    </w:p>
    <w:p w14:paraId="65454F79" w14:textId="77777777" w:rsidR="00CD7C8D" w:rsidRDefault="001E3EBC">
      <w:r>
        <w:t>At the conclusion of this class the learner will be able to:</w:t>
      </w:r>
    </w:p>
    <w:p w14:paraId="2F06B1A5" w14:textId="77777777" w:rsidR="00CD7C8D" w:rsidRDefault="001E3EBC">
      <w:pPr>
        <w:numPr>
          <w:ilvl w:val="0"/>
          <w:numId w:val="1"/>
        </w:numPr>
      </w:pPr>
      <w:r>
        <w:t>Find primary and secondary sources in order to conduct research on a topic related to global media and communication</w:t>
      </w:r>
    </w:p>
    <w:p w14:paraId="2ED9D4DE" w14:textId="77777777" w:rsidR="00CD7C8D" w:rsidRDefault="001E3EBC">
      <w:pPr>
        <w:numPr>
          <w:ilvl w:val="0"/>
          <w:numId w:val="1"/>
        </w:numPr>
      </w:pPr>
      <w:r>
        <w:t>Write a literature review and cite sources following a recognized style manual</w:t>
      </w:r>
    </w:p>
    <w:p w14:paraId="75C81EE3" w14:textId="77777777" w:rsidR="00CD7C8D" w:rsidRDefault="001E3EBC">
      <w:pPr>
        <w:numPr>
          <w:ilvl w:val="0"/>
          <w:numId w:val="1"/>
        </w:numPr>
      </w:pPr>
      <w:r>
        <w:t>Construct an annotated bibliography suitable to student's research orientation</w:t>
      </w:r>
    </w:p>
    <w:p w14:paraId="1955ED4B" w14:textId="77777777" w:rsidR="00CD7C8D" w:rsidRDefault="001E3EBC">
      <w:pPr>
        <w:numPr>
          <w:ilvl w:val="0"/>
          <w:numId w:val="1"/>
        </w:numPr>
      </w:pPr>
      <w:r>
        <w:t>Investigate methods for sharing and communicating research</w:t>
      </w:r>
    </w:p>
    <w:p w14:paraId="107D0F6B" w14:textId="77777777" w:rsidR="00CD7C8D" w:rsidRDefault="001E3EBC">
      <w:pPr>
        <w:numPr>
          <w:ilvl w:val="0"/>
          <w:numId w:val="1"/>
        </w:numPr>
      </w:pPr>
      <w:r>
        <w:t>Create a plan for conducting and communicating research for a global media and communication project</w:t>
      </w:r>
    </w:p>
    <w:p w14:paraId="28C5460D" w14:textId="77777777" w:rsidR="00CD7C8D" w:rsidRDefault="00CD7C8D"/>
    <w:p w14:paraId="331D33D2" w14:textId="77777777" w:rsidR="00CD7C8D" w:rsidRDefault="00CD7C8D"/>
    <w:p w14:paraId="0259C3A1" w14:textId="77777777" w:rsidR="00CD7C8D" w:rsidRDefault="001E3EBC">
      <w:r>
        <w:rPr>
          <w:b/>
        </w:rPr>
        <w:t>Course outline</w:t>
      </w:r>
      <w:r>
        <w:t>:</w:t>
      </w:r>
    </w:p>
    <w:p w14:paraId="48B29DC7" w14:textId="77777777" w:rsidR="00CD7C8D" w:rsidRDefault="00CD7C8D"/>
    <w:p w14:paraId="075BAE2B" w14:textId="77777777" w:rsidR="00CD7C8D" w:rsidRDefault="001E3EBC">
      <w:r>
        <w:t xml:space="preserve">Module One: Information Seeking </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2430"/>
        <w:gridCol w:w="4950"/>
        <w:gridCol w:w="1885"/>
      </w:tblGrid>
      <w:tr w:rsidR="00CD7C8D" w14:paraId="35B5C67B" w14:textId="77777777">
        <w:tc>
          <w:tcPr>
            <w:tcW w:w="805" w:type="dxa"/>
          </w:tcPr>
          <w:p w14:paraId="63356E0D" w14:textId="77777777" w:rsidR="00CD7C8D" w:rsidRDefault="001E3EBC">
            <w:r>
              <w:t>Week one</w:t>
            </w:r>
          </w:p>
        </w:tc>
        <w:tc>
          <w:tcPr>
            <w:tcW w:w="2430" w:type="dxa"/>
          </w:tcPr>
          <w:p w14:paraId="13CBDF0A" w14:textId="77777777" w:rsidR="00CD7C8D" w:rsidRDefault="001E3EBC">
            <w:r>
              <w:t>Introductions/overview of course. Introduction to the GT Library.</w:t>
            </w:r>
          </w:p>
        </w:tc>
        <w:tc>
          <w:tcPr>
            <w:tcW w:w="4950" w:type="dxa"/>
          </w:tcPr>
          <w:p w14:paraId="0F382ED8" w14:textId="77777777" w:rsidR="00CD7C8D" w:rsidRDefault="001E3EBC">
            <w:r>
              <w:rPr>
                <w:i/>
              </w:rPr>
              <w:t>White Paper: Reimagining the Georgia Tech Library</w:t>
            </w:r>
            <w:r>
              <w:t xml:space="preserve"> (</w:t>
            </w:r>
            <w:hyperlink r:id="rId7">
              <w:r>
                <w:rPr>
                  <w:color w:val="0000FF"/>
                  <w:u w:val="single"/>
                </w:rPr>
                <w:t>http://renewal.library.gatech.edu/white-papers/reimagining-the-georgia-tech-library</w:t>
              </w:r>
            </w:hyperlink>
            <w:r>
              <w:t xml:space="preserve">) </w:t>
            </w:r>
          </w:p>
          <w:p w14:paraId="7969CE63" w14:textId="77777777" w:rsidR="00CD7C8D" w:rsidRDefault="001E3EBC">
            <w:r>
              <w:rPr>
                <w:highlight w:val="white"/>
              </w:rPr>
              <w:t>Barrett, A. (2005). The information-seeking habits of graduate student researchers in the humanities. </w:t>
            </w:r>
            <w:r>
              <w:rPr>
                <w:i/>
                <w:highlight w:val="white"/>
              </w:rPr>
              <w:t>The Journal of Academic Librarianship</w:t>
            </w:r>
            <w:r>
              <w:rPr>
                <w:highlight w:val="white"/>
              </w:rPr>
              <w:t>, </w:t>
            </w:r>
            <w:r>
              <w:rPr>
                <w:i/>
                <w:highlight w:val="white"/>
              </w:rPr>
              <w:t>31</w:t>
            </w:r>
            <w:r>
              <w:rPr>
                <w:highlight w:val="white"/>
              </w:rPr>
              <w:t>(4), 324-331.</w:t>
            </w:r>
          </w:p>
        </w:tc>
        <w:tc>
          <w:tcPr>
            <w:tcW w:w="1885" w:type="dxa"/>
          </w:tcPr>
          <w:p w14:paraId="6B1F9576" w14:textId="77777777" w:rsidR="00CD7C8D" w:rsidRDefault="00CD7C8D"/>
        </w:tc>
      </w:tr>
      <w:tr w:rsidR="00CD7C8D" w14:paraId="6D363103" w14:textId="77777777">
        <w:tc>
          <w:tcPr>
            <w:tcW w:w="805" w:type="dxa"/>
          </w:tcPr>
          <w:p w14:paraId="198C24D8" w14:textId="77777777" w:rsidR="00CD7C8D" w:rsidRDefault="001E3EBC">
            <w:r>
              <w:t xml:space="preserve">Week </w:t>
            </w:r>
            <w:r>
              <w:lastRenderedPageBreak/>
              <w:t>two</w:t>
            </w:r>
          </w:p>
        </w:tc>
        <w:tc>
          <w:tcPr>
            <w:tcW w:w="2430" w:type="dxa"/>
          </w:tcPr>
          <w:p w14:paraId="306E22E0" w14:textId="77777777" w:rsidR="00CD7C8D" w:rsidRDefault="001E3EBC">
            <w:r>
              <w:lastRenderedPageBreak/>
              <w:t xml:space="preserve">Information sources for </w:t>
            </w:r>
            <w:r>
              <w:lastRenderedPageBreak/>
              <w:t>languages, linguistics, literature, media and communication. Citation management.</w:t>
            </w:r>
          </w:p>
        </w:tc>
        <w:tc>
          <w:tcPr>
            <w:tcW w:w="4950" w:type="dxa"/>
          </w:tcPr>
          <w:p w14:paraId="0C3CABE4" w14:textId="77777777" w:rsidR="00CD7C8D" w:rsidRDefault="001E3EBC">
            <w:r>
              <w:lastRenderedPageBreak/>
              <w:t xml:space="preserve">Videos: EndNote X8 on Windows: The Short Course </w:t>
            </w:r>
            <w:r>
              <w:lastRenderedPageBreak/>
              <w:t>(</w:t>
            </w:r>
            <w:hyperlink r:id="rId8">
              <w:r>
                <w:rPr>
                  <w:color w:val="0000FF"/>
                  <w:u w:val="single"/>
                </w:rPr>
                <w:t>https://youtu.be/MSLu1zlX0yc</w:t>
              </w:r>
            </w:hyperlink>
            <w:r>
              <w:t xml:space="preserve">), </w:t>
            </w:r>
            <w:proofErr w:type="spellStart"/>
            <w:r>
              <w:t>Mendeley</w:t>
            </w:r>
            <w:proofErr w:type="spellEnd"/>
            <w:r>
              <w:t xml:space="preserve"> Tutorial (</w:t>
            </w:r>
            <w:hyperlink r:id="rId9">
              <w:r>
                <w:rPr>
                  <w:color w:val="0000FF"/>
                  <w:u w:val="single"/>
                </w:rPr>
                <w:t>https://youtu.be/xLtk6n8cFdk</w:t>
              </w:r>
            </w:hyperlink>
            <w:r>
              <w:t>)</w:t>
            </w:r>
          </w:p>
        </w:tc>
        <w:tc>
          <w:tcPr>
            <w:tcW w:w="1885" w:type="dxa"/>
          </w:tcPr>
          <w:p w14:paraId="0E9B0C5E" w14:textId="77777777" w:rsidR="00CD7C8D" w:rsidRDefault="00CD7C8D"/>
        </w:tc>
      </w:tr>
      <w:tr w:rsidR="00CD7C8D" w14:paraId="722EA450" w14:textId="77777777">
        <w:tc>
          <w:tcPr>
            <w:tcW w:w="805" w:type="dxa"/>
          </w:tcPr>
          <w:p w14:paraId="53032923" w14:textId="77777777" w:rsidR="00CD7C8D" w:rsidRDefault="001E3EBC">
            <w:r>
              <w:lastRenderedPageBreak/>
              <w:t>Week three</w:t>
            </w:r>
          </w:p>
        </w:tc>
        <w:tc>
          <w:tcPr>
            <w:tcW w:w="2430" w:type="dxa"/>
          </w:tcPr>
          <w:p w14:paraId="3B4E1708" w14:textId="77777777" w:rsidR="00CD7C8D" w:rsidRDefault="001E3EBC">
            <w:r>
              <w:t>Writing a literature review.</w:t>
            </w:r>
          </w:p>
        </w:tc>
        <w:tc>
          <w:tcPr>
            <w:tcW w:w="4950" w:type="dxa"/>
          </w:tcPr>
          <w:p w14:paraId="3DD6564A" w14:textId="77777777" w:rsidR="00CD7C8D" w:rsidRDefault="001E3EBC">
            <w:r>
              <w:rPr>
                <w:i/>
              </w:rPr>
              <w:t>Reviewing the Literature: A Short Guide for Research Students</w:t>
            </w:r>
            <w:r>
              <w:t xml:space="preserve"> (</w:t>
            </w:r>
            <w:hyperlink r:id="rId10">
              <w:r>
                <w:rPr>
                  <w:color w:val="0000FF"/>
                  <w:u w:val="single"/>
                </w:rPr>
                <w:t>https://uq.edu.au/student-services/pdf/learning/lit-reviews-for-rx-students-v7.pdf</w:t>
              </w:r>
            </w:hyperlink>
            <w:r>
              <w:t>)</w:t>
            </w:r>
          </w:p>
        </w:tc>
        <w:tc>
          <w:tcPr>
            <w:tcW w:w="1885" w:type="dxa"/>
          </w:tcPr>
          <w:p w14:paraId="62B91A31" w14:textId="77777777" w:rsidR="00CD7C8D" w:rsidRDefault="00CD7C8D"/>
        </w:tc>
      </w:tr>
      <w:tr w:rsidR="00CD7C8D" w14:paraId="0EF79313" w14:textId="77777777">
        <w:tc>
          <w:tcPr>
            <w:tcW w:w="805" w:type="dxa"/>
          </w:tcPr>
          <w:p w14:paraId="02627B17" w14:textId="77777777" w:rsidR="00CD7C8D" w:rsidRDefault="001E3EBC">
            <w:r>
              <w:t>Week four</w:t>
            </w:r>
          </w:p>
        </w:tc>
        <w:tc>
          <w:tcPr>
            <w:tcW w:w="2430" w:type="dxa"/>
          </w:tcPr>
          <w:p w14:paraId="1718D5BC" w14:textId="77777777" w:rsidR="00CD7C8D" w:rsidRDefault="001E3EBC">
            <w:r>
              <w:t xml:space="preserve">Grant finding/Pivot. </w:t>
            </w:r>
          </w:p>
          <w:p w14:paraId="2ECC3F81" w14:textId="77777777" w:rsidR="00CD7C8D" w:rsidRDefault="001E3EBC">
            <w:r>
              <w:t>Statistical literacy/government sources.</w:t>
            </w:r>
          </w:p>
        </w:tc>
        <w:tc>
          <w:tcPr>
            <w:tcW w:w="4950" w:type="dxa"/>
          </w:tcPr>
          <w:p w14:paraId="6CACF6CD" w14:textId="77777777" w:rsidR="00CD7C8D" w:rsidRDefault="001E3EBC">
            <w:pPr>
              <w:spacing w:line="259" w:lineRule="auto"/>
            </w:pPr>
            <w:r>
              <w:t xml:space="preserve">Gal, I. (2002). Adults' Statistical Literacy: Meanings, Components, Responsibilities. </w:t>
            </w:r>
            <w:r>
              <w:rPr>
                <w:i/>
              </w:rPr>
              <w:t xml:space="preserve">International Statistical Review / Revue </w:t>
            </w:r>
            <w:proofErr w:type="spellStart"/>
            <w:r>
              <w:rPr>
                <w:i/>
              </w:rPr>
              <w:t>Internationale</w:t>
            </w:r>
            <w:proofErr w:type="spellEnd"/>
            <w:r>
              <w:rPr>
                <w:i/>
              </w:rPr>
              <w:t xml:space="preserve"> De </w:t>
            </w:r>
            <w:proofErr w:type="spellStart"/>
            <w:r>
              <w:rPr>
                <w:i/>
              </w:rPr>
              <w:t>Statistique</w:t>
            </w:r>
            <w:proofErr w:type="spellEnd"/>
            <w:r>
              <w:t>, 70(1), 1-25. doi:10.2307/1403713</w:t>
            </w:r>
          </w:p>
          <w:p w14:paraId="4285067E" w14:textId="77777777" w:rsidR="00CD7C8D" w:rsidRDefault="001E3EBC">
            <w:proofErr w:type="spellStart"/>
            <w:r>
              <w:t>Wineburg</w:t>
            </w:r>
            <w:proofErr w:type="spellEnd"/>
            <w:r>
              <w:t xml:space="preserve">, S., McGrew, S., Breakstone, J., &amp; Ortega, T. (2016). </w:t>
            </w:r>
            <w:r>
              <w:rPr>
                <w:i/>
              </w:rPr>
              <w:t>Evaluating Information: The Cornerstone of Civic Online Reasoning</w:t>
            </w:r>
            <w:r>
              <w:t>. (</w:t>
            </w:r>
            <w:hyperlink r:id="rId11">
              <w:r>
                <w:rPr>
                  <w:color w:val="0000FF"/>
                  <w:u w:val="single"/>
                </w:rPr>
                <w:t>https://sheg.stanford.edu/upload/V3LessonPlans/Executive%20Summary%2011.21.16.pdf</w:t>
              </w:r>
            </w:hyperlink>
            <w:r>
              <w:t>)</w:t>
            </w:r>
          </w:p>
        </w:tc>
        <w:tc>
          <w:tcPr>
            <w:tcW w:w="1885" w:type="dxa"/>
          </w:tcPr>
          <w:p w14:paraId="0456D888" w14:textId="77777777" w:rsidR="00CD7C8D" w:rsidRDefault="001E3EBC">
            <w:r>
              <w:t xml:space="preserve">Guest speakers: Liz </w:t>
            </w:r>
            <w:proofErr w:type="spellStart"/>
            <w:r>
              <w:t>Holdsworth</w:t>
            </w:r>
            <w:proofErr w:type="spellEnd"/>
            <w:r>
              <w:t>, STEM Librarian. Seth Porter, Social Sciences Librarian.</w:t>
            </w:r>
          </w:p>
          <w:p w14:paraId="12BD9B32" w14:textId="77777777" w:rsidR="00CD7C8D" w:rsidRDefault="001E3EBC">
            <w:r>
              <w:rPr>
                <w:b/>
              </w:rPr>
              <w:t>Assignment due: Annotated bibliography</w:t>
            </w:r>
          </w:p>
        </w:tc>
      </w:tr>
      <w:tr w:rsidR="00CD7C8D" w14:paraId="20B88790" w14:textId="77777777">
        <w:tc>
          <w:tcPr>
            <w:tcW w:w="805" w:type="dxa"/>
          </w:tcPr>
          <w:p w14:paraId="4AD2056F" w14:textId="77777777" w:rsidR="00CD7C8D" w:rsidRDefault="001E3EBC">
            <w:r>
              <w:t>Week five</w:t>
            </w:r>
          </w:p>
        </w:tc>
        <w:tc>
          <w:tcPr>
            <w:tcW w:w="2430" w:type="dxa"/>
          </w:tcPr>
          <w:p w14:paraId="762762BD" w14:textId="77777777" w:rsidR="00CD7C8D" w:rsidRDefault="001E3EBC">
            <w:r>
              <w:t>Multi-media resources and artist-led collaboration.</w:t>
            </w:r>
          </w:p>
        </w:tc>
        <w:tc>
          <w:tcPr>
            <w:tcW w:w="4950" w:type="dxa"/>
          </w:tcPr>
          <w:p w14:paraId="6003F0AF" w14:textId="77777777" w:rsidR="00CD7C8D" w:rsidRDefault="001E3EBC">
            <w:pPr>
              <w:spacing w:line="259" w:lineRule="auto"/>
            </w:pPr>
            <w:proofErr w:type="spellStart"/>
            <w:r>
              <w:t>Bawden</w:t>
            </w:r>
            <w:proofErr w:type="spellEnd"/>
            <w:r>
              <w:t xml:space="preserve">, D. (2001). Information and digital literacies: a review of concepts. </w:t>
            </w:r>
            <w:r>
              <w:rPr>
                <w:i/>
              </w:rPr>
              <w:t>Journal of documentation</w:t>
            </w:r>
            <w:r>
              <w:t xml:space="preserve">, </w:t>
            </w:r>
            <w:r>
              <w:rPr>
                <w:i/>
              </w:rPr>
              <w:t>57</w:t>
            </w:r>
            <w:r>
              <w:t>(2), 218-259.</w:t>
            </w:r>
          </w:p>
        </w:tc>
        <w:tc>
          <w:tcPr>
            <w:tcW w:w="1885" w:type="dxa"/>
          </w:tcPr>
          <w:p w14:paraId="12354584" w14:textId="77777777" w:rsidR="00CD7C8D" w:rsidRDefault="001E3EBC">
            <w:r>
              <w:t xml:space="preserve">Guest speaker: Alison </w:t>
            </w:r>
            <w:proofErr w:type="spellStart"/>
            <w:r>
              <w:t>Valk</w:t>
            </w:r>
            <w:proofErr w:type="spellEnd"/>
            <w:r>
              <w:t>, Multimedia Instruction Librarian</w:t>
            </w:r>
          </w:p>
        </w:tc>
      </w:tr>
      <w:tr w:rsidR="00CD7C8D" w14:paraId="42719C4C" w14:textId="77777777">
        <w:tc>
          <w:tcPr>
            <w:tcW w:w="805" w:type="dxa"/>
          </w:tcPr>
          <w:p w14:paraId="6235520A" w14:textId="77777777" w:rsidR="00CD7C8D" w:rsidRDefault="001E3EBC">
            <w:r>
              <w:t>Week six</w:t>
            </w:r>
          </w:p>
        </w:tc>
        <w:tc>
          <w:tcPr>
            <w:tcW w:w="2430" w:type="dxa"/>
          </w:tcPr>
          <w:p w14:paraId="32992259" w14:textId="77777777" w:rsidR="00CD7C8D" w:rsidRDefault="001E3EBC">
            <w:r>
              <w:t>Introduction to the GT archives; primary sources.</w:t>
            </w:r>
          </w:p>
          <w:p w14:paraId="37C78C92" w14:textId="77777777" w:rsidR="00CD7C8D" w:rsidRDefault="00CD7C8D"/>
          <w:p w14:paraId="7D688784" w14:textId="77777777" w:rsidR="00CD7C8D" w:rsidRDefault="001E3EBC">
            <w:r>
              <w:t>Participation grade update</w:t>
            </w:r>
          </w:p>
        </w:tc>
        <w:tc>
          <w:tcPr>
            <w:tcW w:w="4950" w:type="dxa"/>
          </w:tcPr>
          <w:p w14:paraId="2E23C1EC" w14:textId="77777777" w:rsidR="00CD7C8D" w:rsidRDefault="001E3EBC">
            <w:pPr>
              <w:spacing w:line="259" w:lineRule="auto"/>
            </w:pPr>
            <w:r>
              <w:t xml:space="preserve">Chapter four, "Near Print and Beyond Paper: Knowing by *.pdf." In </w:t>
            </w:r>
            <w:proofErr w:type="spellStart"/>
            <w:r>
              <w:t>Gitelman</w:t>
            </w:r>
            <w:proofErr w:type="spellEnd"/>
            <w:r>
              <w:t xml:space="preserve">, L. (2014) </w:t>
            </w:r>
            <w:r>
              <w:rPr>
                <w:i/>
              </w:rPr>
              <w:t xml:space="preserve">Paper </w:t>
            </w:r>
            <w:proofErr w:type="gramStart"/>
            <w:r>
              <w:rPr>
                <w:i/>
              </w:rPr>
              <w:t>knowledge :</w:t>
            </w:r>
            <w:proofErr w:type="gramEnd"/>
            <w:r>
              <w:rPr>
                <w:i/>
              </w:rPr>
              <w:t xml:space="preserve"> Toward a media history of documents</w:t>
            </w:r>
            <w:r>
              <w:t>. Durham: Duke University Press.</w:t>
            </w:r>
          </w:p>
        </w:tc>
        <w:tc>
          <w:tcPr>
            <w:tcW w:w="1885" w:type="dxa"/>
          </w:tcPr>
          <w:p w14:paraId="2CD35506" w14:textId="77777777" w:rsidR="00CD7C8D" w:rsidRDefault="001E3EBC">
            <w:r>
              <w:t>Guest speaker: Jody Lloyd Thompson, Head, Archives &amp; Records Management</w:t>
            </w:r>
          </w:p>
        </w:tc>
      </w:tr>
      <w:tr w:rsidR="00CD7C8D" w14:paraId="4383F1E5" w14:textId="77777777">
        <w:tc>
          <w:tcPr>
            <w:tcW w:w="805" w:type="dxa"/>
          </w:tcPr>
          <w:p w14:paraId="1B85F6A3" w14:textId="77777777" w:rsidR="00CD7C8D" w:rsidRDefault="001E3EBC">
            <w:r>
              <w:t>Week seven</w:t>
            </w:r>
          </w:p>
        </w:tc>
        <w:tc>
          <w:tcPr>
            <w:tcW w:w="2430" w:type="dxa"/>
          </w:tcPr>
          <w:p w14:paraId="7D539BAF" w14:textId="77777777" w:rsidR="00CD7C8D" w:rsidRDefault="001E3EBC">
            <w:r>
              <w:t>Information sources for history, sociology and public policy.</w:t>
            </w:r>
          </w:p>
        </w:tc>
        <w:tc>
          <w:tcPr>
            <w:tcW w:w="4950" w:type="dxa"/>
          </w:tcPr>
          <w:p w14:paraId="0B888BED" w14:textId="77777777" w:rsidR="00CD7C8D" w:rsidRDefault="00931B0A">
            <w:pPr>
              <w:spacing w:line="259" w:lineRule="auto"/>
            </w:pPr>
            <w:hyperlink r:id="rId12">
              <w:r w:rsidR="001E3EBC">
                <w:t>Chapter 6, "Working With Data: Data Analysis in Qualitative Research</w:t>
              </w:r>
            </w:hyperlink>
            <w:r w:rsidR="001E3EBC">
              <w:t xml:space="preserve">." In Taylor, S. J., Bogdan, R., &amp; </w:t>
            </w:r>
            <w:proofErr w:type="spellStart"/>
            <w:r w:rsidR="001E3EBC">
              <w:t>DeVault</w:t>
            </w:r>
            <w:proofErr w:type="spellEnd"/>
            <w:r w:rsidR="001E3EBC">
              <w:t xml:space="preserve">, M. (2015). </w:t>
            </w:r>
            <w:r w:rsidR="001E3EBC">
              <w:rPr>
                <w:i/>
              </w:rPr>
              <w:t xml:space="preserve">Introduction to qualitative research </w:t>
            </w:r>
            <w:proofErr w:type="gramStart"/>
            <w:r w:rsidR="001E3EBC">
              <w:rPr>
                <w:i/>
              </w:rPr>
              <w:t>methods :</w:t>
            </w:r>
            <w:proofErr w:type="gramEnd"/>
            <w:r w:rsidR="001E3EBC">
              <w:rPr>
                <w:i/>
              </w:rPr>
              <w:t xml:space="preserve"> a guidebook and resource</w:t>
            </w:r>
            <w:r w:rsidR="001E3EBC">
              <w:t>.</w:t>
            </w:r>
          </w:p>
        </w:tc>
        <w:tc>
          <w:tcPr>
            <w:tcW w:w="1885" w:type="dxa"/>
          </w:tcPr>
          <w:p w14:paraId="106CC69C" w14:textId="77777777" w:rsidR="00CD7C8D" w:rsidRDefault="001E3EBC">
            <w:r>
              <w:t>Guest speakers: Bruce Henson, Associate Dean of Libraries, Research &amp; Learning Services.</w:t>
            </w:r>
          </w:p>
          <w:p w14:paraId="380C1B66" w14:textId="77777777" w:rsidR="00CD7C8D" w:rsidRDefault="001E3EBC">
            <w:proofErr w:type="spellStart"/>
            <w:r>
              <w:t>Ameet</w:t>
            </w:r>
            <w:proofErr w:type="spellEnd"/>
            <w:r>
              <w:t xml:space="preserve"> </w:t>
            </w:r>
            <w:proofErr w:type="spellStart"/>
            <w:r>
              <w:t>Doshi</w:t>
            </w:r>
            <w:proofErr w:type="spellEnd"/>
            <w:r>
              <w:t>, Director, Service Experience &amp; Program Design</w:t>
            </w:r>
          </w:p>
        </w:tc>
      </w:tr>
      <w:tr w:rsidR="00CD7C8D" w14:paraId="52CD1202" w14:textId="77777777">
        <w:tc>
          <w:tcPr>
            <w:tcW w:w="805" w:type="dxa"/>
          </w:tcPr>
          <w:p w14:paraId="37E3AFDD" w14:textId="77777777" w:rsidR="00CD7C8D" w:rsidRDefault="001E3EBC">
            <w:r>
              <w:t>Week eight</w:t>
            </w:r>
          </w:p>
        </w:tc>
        <w:tc>
          <w:tcPr>
            <w:tcW w:w="2430" w:type="dxa"/>
          </w:tcPr>
          <w:p w14:paraId="34DE8AAD" w14:textId="77777777" w:rsidR="00CD7C8D" w:rsidRDefault="001E3EBC">
            <w:r>
              <w:t>Digital humanities.</w:t>
            </w:r>
          </w:p>
        </w:tc>
        <w:tc>
          <w:tcPr>
            <w:tcW w:w="4950" w:type="dxa"/>
          </w:tcPr>
          <w:p w14:paraId="587ADD12" w14:textId="77777777" w:rsidR="00CD7C8D" w:rsidRDefault="00931B0A">
            <w:pPr>
              <w:spacing w:line="259" w:lineRule="auto"/>
            </w:pPr>
            <w:hyperlink r:id="rId13">
              <w:r w:rsidR="001E3EBC">
                <w:t>Chapter 2, "E</w:t>
              </w:r>
            </w:hyperlink>
            <w:r w:rsidR="001E3EBC">
              <w:t xml:space="preserve">merging Methods and Genres." In Burdick, A., Drucker, J., &amp; </w:t>
            </w:r>
            <w:proofErr w:type="spellStart"/>
            <w:r w:rsidR="001E3EBC">
              <w:t>Lunenfeld</w:t>
            </w:r>
            <w:proofErr w:type="spellEnd"/>
            <w:r w:rsidR="001E3EBC">
              <w:t xml:space="preserve">, P. (2012). </w:t>
            </w:r>
            <w:proofErr w:type="spellStart"/>
            <w:r w:rsidR="001E3EBC">
              <w:rPr>
                <w:i/>
              </w:rPr>
              <w:t>Digital_humanities</w:t>
            </w:r>
            <w:proofErr w:type="spellEnd"/>
            <w:r w:rsidR="001E3EBC">
              <w:t>.</w:t>
            </w:r>
          </w:p>
        </w:tc>
        <w:tc>
          <w:tcPr>
            <w:tcW w:w="1885" w:type="dxa"/>
          </w:tcPr>
          <w:p w14:paraId="7C7FEDA7" w14:textId="77777777" w:rsidR="00CD7C8D" w:rsidRDefault="001E3EBC">
            <w:r>
              <w:rPr>
                <w:b/>
              </w:rPr>
              <w:t>Assignment due: Literature review</w:t>
            </w:r>
          </w:p>
        </w:tc>
      </w:tr>
    </w:tbl>
    <w:p w14:paraId="2038B7C3" w14:textId="77777777" w:rsidR="00CD7C8D" w:rsidRDefault="00CD7C8D">
      <w:pPr>
        <w:ind w:left="1080"/>
      </w:pPr>
    </w:p>
    <w:p w14:paraId="3AEE6FEF" w14:textId="77777777" w:rsidR="00CD7C8D" w:rsidRDefault="00CD7C8D"/>
    <w:p w14:paraId="6848F139" w14:textId="77777777" w:rsidR="00CD7C8D" w:rsidRDefault="001E3EBC">
      <w:r>
        <w:t>Module Two: Information Sharing</w:t>
      </w:r>
    </w:p>
    <w:tbl>
      <w:tblPr>
        <w:tblStyle w:val="a0"/>
        <w:tblW w:w="10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270"/>
        <w:gridCol w:w="2160"/>
        <w:gridCol w:w="4950"/>
        <w:gridCol w:w="1885"/>
      </w:tblGrid>
      <w:tr w:rsidR="00CD7C8D" w14:paraId="247440EC" w14:textId="77777777">
        <w:tc>
          <w:tcPr>
            <w:tcW w:w="810" w:type="dxa"/>
          </w:tcPr>
          <w:p w14:paraId="515B09E6" w14:textId="77777777" w:rsidR="00CD7C8D" w:rsidRDefault="001E3EBC">
            <w:r>
              <w:t>Week nine</w:t>
            </w:r>
          </w:p>
        </w:tc>
        <w:tc>
          <w:tcPr>
            <w:tcW w:w="2430" w:type="dxa"/>
            <w:gridSpan w:val="2"/>
          </w:tcPr>
          <w:p w14:paraId="2C978F80" w14:textId="77777777" w:rsidR="00CD7C8D" w:rsidRDefault="001E3EBC">
            <w:r>
              <w:t>Scholarly communication and open access publishing.</w:t>
            </w:r>
          </w:p>
        </w:tc>
        <w:tc>
          <w:tcPr>
            <w:tcW w:w="4950" w:type="dxa"/>
          </w:tcPr>
          <w:p w14:paraId="4D68FE43" w14:textId="77777777" w:rsidR="00CD7C8D" w:rsidRDefault="001E3EBC">
            <w:pPr>
              <w:spacing w:line="259" w:lineRule="auto"/>
            </w:pPr>
            <w:r>
              <w:t>Berlin Declaration on Open Access to Knowledge in the Sciences and Humanities (</w:t>
            </w:r>
            <w:hyperlink r:id="rId14">
              <w:r>
                <w:rPr>
                  <w:color w:val="0000FF"/>
                  <w:u w:val="single"/>
                </w:rPr>
                <w:t>https://openaccess.mpg.de/Berlin-Declaration</w:t>
              </w:r>
            </w:hyperlink>
            <w:r>
              <w:t xml:space="preserve">)  </w:t>
            </w:r>
          </w:p>
        </w:tc>
        <w:tc>
          <w:tcPr>
            <w:tcW w:w="1885" w:type="dxa"/>
          </w:tcPr>
          <w:p w14:paraId="4FEF253C" w14:textId="77777777" w:rsidR="00CD7C8D" w:rsidRDefault="001E3EBC">
            <w:r>
              <w:t xml:space="preserve">Guest speaker: Fred </w:t>
            </w:r>
            <w:proofErr w:type="spellStart"/>
            <w:r>
              <w:t>Rascoe</w:t>
            </w:r>
            <w:proofErr w:type="spellEnd"/>
            <w:r>
              <w:t xml:space="preserve">, Scholarly </w:t>
            </w:r>
            <w:r>
              <w:lastRenderedPageBreak/>
              <w:t>Communication Librarian</w:t>
            </w:r>
          </w:p>
        </w:tc>
      </w:tr>
      <w:tr w:rsidR="00CD7C8D" w14:paraId="51884041" w14:textId="77777777">
        <w:tc>
          <w:tcPr>
            <w:tcW w:w="810" w:type="dxa"/>
          </w:tcPr>
          <w:p w14:paraId="1AEB5436" w14:textId="77777777" w:rsidR="00CD7C8D" w:rsidRDefault="001E3EBC">
            <w:r>
              <w:lastRenderedPageBreak/>
              <w:t>Week ten</w:t>
            </w:r>
          </w:p>
        </w:tc>
        <w:tc>
          <w:tcPr>
            <w:tcW w:w="2430" w:type="dxa"/>
            <w:gridSpan w:val="2"/>
          </w:tcPr>
          <w:p w14:paraId="510A511E" w14:textId="77777777" w:rsidR="00CD7C8D" w:rsidRDefault="001E3EBC">
            <w:r>
              <w:t>Research data management and research communication methods.</w:t>
            </w:r>
          </w:p>
        </w:tc>
        <w:tc>
          <w:tcPr>
            <w:tcW w:w="4950" w:type="dxa"/>
          </w:tcPr>
          <w:p w14:paraId="13D6B9E7" w14:textId="77777777" w:rsidR="00CD7C8D" w:rsidRDefault="001E3EBC">
            <w:r>
              <w:t>Data Management General Guidance (</w:t>
            </w:r>
            <w:hyperlink r:id="rId15">
              <w:r>
                <w:rPr>
                  <w:color w:val="0000FF"/>
                  <w:u w:val="single"/>
                </w:rPr>
                <w:t>https://dmptool.org/dm_guidance</w:t>
              </w:r>
            </w:hyperlink>
            <w:r>
              <w:t xml:space="preserve">) </w:t>
            </w:r>
          </w:p>
          <w:p w14:paraId="2FA689C4" w14:textId="77777777" w:rsidR="00CD7C8D" w:rsidRDefault="001E3EBC">
            <w:r>
              <w:rPr>
                <w:color w:val="222222"/>
                <w:highlight w:val="white"/>
              </w:rPr>
              <w:t>Lewis, P. J. (2011). Storytelling as research/research as storytelling. </w:t>
            </w:r>
            <w:r>
              <w:rPr>
                <w:i/>
                <w:color w:val="222222"/>
                <w:highlight w:val="white"/>
              </w:rPr>
              <w:t>Qualitative Inquiry</w:t>
            </w:r>
            <w:r>
              <w:rPr>
                <w:color w:val="222222"/>
                <w:highlight w:val="white"/>
              </w:rPr>
              <w:t>, </w:t>
            </w:r>
            <w:r>
              <w:rPr>
                <w:i/>
                <w:color w:val="222222"/>
                <w:highlight w:val="white"/>
              </w:rPr>
              <w:t>17</w:t>
            </w:r>
            <w:r>
              <w:rPr>
                <w:color w:val="222222"/>
                <w:highlight w:val="white"/>
              </w:rPr>
              <w:t>(6), 505-510.</w:t>
            </w:r>
          </w:p>
        </w:tc>
        <w:tc>
          <w:tcPr>
            <w:tcW w:w="1885" w:type="dxa"/>
          </w:tcPr>
          <w:p w14:paraId="22FFFC8C" w14:textId="77777777" w:rsidR="00CD7C8D" w:rsidRDefault="001E3EBC">
            <w:r>
              <w:t>Guest speakers: Susan Wells Parham, Research Data Librarian. Jason Wright, Library Communications Manager.</w:t>
            </w:r>
          </w:p>
        </w:tc>
      </w:tr>
      <w:tr w:rsidR="00CD7C8D" w14:paraId="3753C462" w14:textId="77777777">
        <w:tc>
          <w:tcPr>
            <w:tcW w:w="810" w:type="dxa"/>
          </w:tcPr>
          <w:p w14:paraId="7315DCB2" w14:textId="77777777" w:rsidR="00CD7C8D" w:rsidRDefault="001E3EBC">
            <w:r>
              <w:t>Week eleven</w:t>
            </w:r>
          </w:p>
        </w:tc>
        <w:tc>
          <w:tcPr>
            <w:tcW w:w="2430" w:type="dxa"/>
            <w:gridSpan w:val="2"/>
          </w:tcPr>
          <w:p w14:paraId="28C085C3" w14:textId="77777777" w:rsidR="00CD7C8D" w:rsidRDefault="001E3EBC">
            <w:r>
              <w:t>Data visualization.</w:t>
            </w:r>
          </w:p>
        </w:tc>
        <w:tc>
          <w:tcPr>
            <w:tcW w:w="4950" w:type="dxa"/>
          </w:tcPr>
          <w:p w14:paraId="7CD84F4C" w14:textId="77777777" w:rsidR="00CD7C8D" w:rsidRDefault="001E3EBC">
            <w:proofErr w:type="spellStart"/>
            <w:r>
              <w:t>Segel</w:t>
            </w:r>
            <w:proofErr w:type="spellEnd"/>
            <w:r>
              <w:t xml:space="preserve">, E., &amp; </w:t>
            </w:r>
            <w:proofErr w:type="spellStart"/>
            <w:r>
              <w:t>Heer</w:t>
            </w:r>
            <w:proofErr w:type="spellEnd"/>
            <w:r>
              <w:t xml:space="preserve">, J. (2010). Narrative visualization: Telling stories with data. </w:t>
            </w:r>
            <w:r>
              <w:rPr>
                <w:i/>
              </w:rPr>
              <w:t>IEEE transactions on visualization and computer graphics</w:t>
            </w:r>
            <w:r>
              <w:t>, 16(6), 1139-1148.</w:t>
            </w:r>
          </w:p>
        </w:tc>
        <w:tc>
          <w:tcPr>
            <w:tcW w:w="1885" w:type="dxa"/>
          </w:tcPr>
          <w:p w14:paraId="1166FF10" w14:textId="77777777" w:rsidR="00CD7C8D" w:rsidRDefault="001E3EBC">
            <w:r>
              <w:t xml:space="preserve">Guest speaker: </w:t>
            </w:r>
            <w:proofErr w:type="spellStart"/>
            <w:r>
              <w:t>Ximin</w:t>
            </w:r>
            <w:proofErr w:type="spellEnd"/>
            <w:r>
              <w:t xml:space="preserve"> </w:t>
            </w:r>
            <w:proofErr w:type="spellStart"/>
            <w:r>
              <w:t>Mi</w:t>
            </w:r>
            <w:proofErr w:type="spellEnd"/>
            <w:r>
              <w:t>, Data Visualization Librarian.</w:t>
            </w:r>
          </w:p>
        </w:tc>
      </w:tr>
      <w:tr w:rsidR="00CD7C8D" w14:paraId="6397D768" w14:textId="77777777">
        <w:tc>
          <w:tcPr>
            <w:tcW w:w="1080" w:type="dxa"/>
            <w:gridSpan w:val="2"/>
          </w:tcPr>
          <w:p w14:paraId="23A1A697" w14:textId="77777777" w:rsidR="00CD7C8D" w:rsidRDefault="001E3EBC">
            <w:r>
              <w:t>Week twelve</w:t>
            </w:r>
          </w:p>
        </w:tc>
        <w:tc>
          <w:tcPr>
            <w:tcW w:w="2160" w:type="dxa"/>
          </w:tcPr>
          <w:p w14:paraId="0B80B12C" w14:textId="77777777" w:rsidR="00CD7C8D" w:rsidRDefault="001E3EBC">
            <w:r>
              <w:t>Copyright &amp; intellectual property.</w:t>
            </w:r>
          </w:p>
        </w:tc>
        <w:tc>
          <w:tcPr>
            <w:tcW w:w="4950" w:type="dxa"/>
          </w:tcPr>
          <w:p w14:paraId="63198EF1" w14:textId="77777777" w:rsidR="00CD7C8D" w:rsidRDefault="001E3EBC">
            <w:r>
              <w:t xml:space="preserve">Chapter 2, “Communicating beyond academia.” In Daly, I., &amp; Brophy Haney, A. (2014). </w:t>
            </w:r>
            <w:r>
              <w:rPr>
                <w:i/>
              </w:rPr>
              <w:t>53 interesting ways to communicate your research</w:t>
            </w:r>
            <w:r>
              <w:t>.</w:t>
            </w:r>
          </w:p>
        </w:tc>
        <w:tc>
          <w:tcPr>
            <w:tcW w:w="1885" w:type="dxa"/>
          </w:tcPr>
          <w:p w14:paraId="668DA8F6" w14:textId="77777777" w:rsidR="00CD7C8D" w:rsidRDefault="001E3EBC">
            <w:r>
              <w:t>Guest speaker: Bing Wang, Director, Intellectual Property Advisory Office</w:t>
            </w:r>
          </w:p>
        </w:tc>
      </w:tr>
      <w:tr w:rsidR="00CD7C8D" w14:paraId="454F4FDA" w14:textId="77777777">
        <w:tc>
          <w:tcPr>
            <w:tcW w:w="1080" w:type="dxa"/>
            <w:gridSpan w:val="2"/>
          </w:tcPr>
          <w:p w14:paraId="532F9C27" w14:textId="77777777" w:rsidR="00CD7C8D" w:rsidRDefault="001E3EBC">
            <w:r>
              <w:t>Week thirteen</w:t>
            </w:r>
          </w:p>
        </w:tc>
        <w:tc>
          <w:tcPr>
            <w:tcW w:w="2160" w:type="dxa"/>
          </w:tcPr>
          <w:p w14:paraId="6486692B" w14:textId="77777777" w:rsidR="00CD7C8D" w:rsidRDefault="001E3EBC">
            <w:r>
              <w:t xml:space="preserve">Podcasting and radio. </w:t>
            </w:r>
          </w:p>
        </w:tc>
        <w:tc>
          <w:tcPr>
            <w:tcW w:w="4950" w:type="dxa"/>
          </w:tcPr>
          <w:p w14:paraId="137D9122" w14:textId="77777777" w:rsidR="00CD7C8D" w:rsidRDefault="001E3EBC">
            <w:r>
              <w:t xml:space="preserve">Chapter 3, “General techniques.” In Daly, I., &amp; Brophy Haney, A. (2014). </w:t>
            </w:r>
            <w:r>
              <w:rPr>
                <w:i/>
              </w:rPr>
              <w:t>53 interesting ways to communicate your research</w:t>
            </w:r>
            <w:r>
              <w:t>.</w:t>
            </w:r>
          </w:p>
        </w:tc>
        <w:tc>
          <w:tcPr>
            <w:tcW w:w="1885" w:type="dxa"/>
          </w:tcPr>
          <w:p w14:paraId="53357827" w14:textId="77777777" w:rsidR="00CD7C8D" w:rsidRDefault="001E3EBC">
            <w:r>
              <w:t>Guest speaker: Charlie Bennett, Undergraduate Programming &amp; Engagement Librarian</w:t>
            </w:r>
          </w:p>
        </w:tc>
      </w:tr>
      <w:tr w:rsidR="00CD7C8D" w14:paraId="20A15390" w14:textId="77777777">
        <w:tc>
          <w:tcPr>
            <w:tcW w:w="1080" w:type="dxa"/>
            <w:gridSpan w:val="2"/>
          </w:tcPr>
          <w:p w14:paraId="0EB73650" w14:textId="77777777" w:rsidR="00CD7C8D" w:rsidRDefault="001E3EBC">
            <w:r>
              <w:t>Weeks fourteen and fifteen</w:t>
            </w:r>
          </w:p>
        </w:tc>
        <w:tc>
          <w:tcPr>
            <w:tcW w:w="2160" w:type="dxa"/>
          </w:tcPr>
          <w:p w14:paraId="25AB65EB" w14:textId="77777777" w:rsidR="00CD7C8D" w:rsidRDefault="001E3EBC">
            <w:r>
              <w:t xml:space="preserve">Conclusion. </w:t>
            </w:r>
          </w:p>
        </w:tc>
        <w:tc>
          <w:tcPr>
            <w:tcW w:w="4950" w:type="dxa"/>
          </w:tcPr>
          <w:p w14:paraId="3B71AD75" w14:textId="77777777" w:rsidR="00CD7C8D" w:rsidRDefault="00CD7C8D"/>
        </w:tc>
        <w:tc>
          <w:tcPr>
            <w:tcW w:w="1885" w:type="dxa"/>
          </w:tcPr>
          <w:p w14:paraId="1318271E" w14:textId="77777777" w:rsidR="00CD7C8D" w:rsidRDefault="001E3EBC">
            <w:r>
              <w:rPr>
                <w:b/>
              </w:rPr>
              <w:t>Presentations of research communication plans.</w:t>
            </w:r>
          </w:p>
        </w:tc>
      </w:tr>
    </w:tbl>
    <w:p w14:paraId="680F6E7D" w14:textId="77777777" w:rsidR="00CD7C8D" w:rsidRDefault="00CD7C8D"/>
    <w:p w14:paraId="330E8D93" w14:textId="77777777" w:rsidR="00CD7C8D" w:rsidRDefault="001E3EBC">
      <w:pPr>
        <w:rPr>
          <w:b/>
        </w:rPr>
      </w:pPr>
      <w:r>
        <w:rPr>
          <w:b/>
        </w:rPr>
        <w:t>Graded assignments and rubrics:</w:t>
      </w:r>
    </w:p>
    <w:p w14:paraId="505A03E9" w14:textId="77777777" w:rsidR="00CD7C8D" w:rsidRDefault="00CD7C8D"/>
    <w:p w14:paraId="2854F4BC" w14:textId="77777777" w:rsidR="00CD7C8D" w:rsidRDefault="001E3EBC">
      <w:r>
        <w:t>This is a pass/fail class. Each assignment will be given a letter grade according to the following grading scale. At the end of the semester, these grades will be combined using the percentages outlined below. A passing grade is a total of 75% or above.</w:t>
      </w:r>
    </w:p>
    <w:p w14:paraId="5E3DAA22" w14:textId="77777777" w:rsidR="00CD7C8D" w:rsidRDefault="00CD7C8D"/>
    <w:p w14:paraId="7EB4D262" w14:textId="77777777" w:rsidR="00CD7C8D" w:rsidRDefault="001E3EBC">
      <w:r>
        <w:t>Grading Scale</w:t>
      </w:r>
    </w:p>
    <w:p w14:paraId="79F7F95A" w14:textId="77777777" w:rsidR="00CD7C8D" w:rsidRDefault="00CD7C8D"/>
    <w:p w14:paraId="3925E65C" w14:textId="77777777" w:rsidR="00CD7C8D" w:rsidRDefault="001E3EBC">
      <w:r>
        <w:t>A 95%</w:t>
      </w:r>
    </w:p>
    <w:p w14:paraId="7E032A37" w14:textId="77777777" w:rsidR="00CD7C8D" w:rsidRDefault="001E3EBC">
      <w:r>
        <w:t>B 85%</w:t>
      </w:r>
    </w:p>
    <w:p w14:paraId="5A77752B" w14:textId="77777777" w:rsidR="00CD7C8D" w:rsidRDefault="001E3EBC">
      <w:r>
        <w:t>C 75%</w:t>
      </w:r>
    </w:p>
    <w:p w14:paraId="33D6CFC2" w14:textId="77777777" w:rsidR="00CD7C8D" w:rsidRDefault="001E3EBC">
      <w:r>
        <w:t>D 65%</w:t>
      </w:r>
    </w:p>
    <w:p w14:paraId="52ED16D9" w14:textId="77777777" w:rsidR="00CD7C8D" w:rsidRDefault="001E3EBC">
      <w:r>
        <w:t>F 64 or below %</w:t>
      </w:r>
    </w:p>
    <w:p w14:paraId="6C9266B6" w14:textId="77777777" w:rsidR="00CD7C8D" w:rsidRDefault="00CD7C8D"/>
    <w:p w14:paraId="69820B17" w14:textId="77777777" w:rsidR="00931B0A" w:rsidRDefault="001E3EBC" w:rsidP="00931B0A">
      <w:pPr>
        <w:numPr>
          <w:ilvl w:val="0"/>
          <w:numId w:val="2"/>
        </w:numPr>
      </w:pPr>
      <w:r>
        <w:t>Class participation: 15%</w:t>
      </w:r>
    </w:p>
    <w:p w14:paraId="6F584B95" w14:textId="46D6AD17" w:rsidR="00931B0A" w:rsidRDefault="00931B0A" w:rsidP="00931B0A">
      <w:pPr>
        <w:numPr>
          <w:ilvl w:val="1"/>
          <w:numId w:val="2"/>
        </w:numPr>
      </w:pPr>
      <w:r>
        <w:t>S/U credit updated weekly on T-Square</w:t>
      </w:r>
    </w:p>
    <w:p w14:paraId="29589847" w14:textId="1A52DDE5" w:rsidR="00931B0A" w:rsidRDefault="00931B0A" w:rsidP="00931B0A">
      <w:pPr>
        <w:numPr>
          <w:ilvl w:val="1"/>
          <w:numId w:val="2"/>
        </w:numPr>
      </w:pPr>
      <w:r>
        <w:lastRenderedPageBreak/>
        <w:t>S = 15% adequate interaction during classroom discussions</w:t>
      </w:r>
    </w:p>
    <w:p w14:paraId="34BB2844" w14:textId="781748A5" w:rsidR="00931B0A" w:rsidRDefault="00931B0A" w:rsidP="00931B0A">
      <w:pPr>
        <w:numPr>
          <w:ilvl w:val="1"/>
          <w:numId w:val="2"/>
        </w:numPr>
      </w:pPr>
      <w:r>
        <w:t>U= 0% inadequate interaction during classroom discussions</w:t>
      </w:r>
      <w:bookmarkStart w:id="1" w:name="_GoBack"/>
      <w:bookmarkEnd w:id="1"/>
    </w:p>
    <w:p w14:paraId="5C59B945" w14:textId="3CF07228" w:rsidR="00CD7C8D" w:rsidRDefault="001E3EBC" w:rsidP="00931B0A">
      <w:pPr>
        <w:numPr>
          <w:ilvl w:val="0"/>
          <w:numId w:val="2"/>
        </w:numPr>
      </w:pPr>
      <w:r>
        <w:t>Annotated bibliography assignment: 25%</w:t>
      </w:r>
    </w:p>
    <w:p w14:paraId="79256621" w14:textId="77777777" w:rsidR="00CD7C8D" w:rsidRDefault="001E3EBC">
      <w:pPr>
        <w:numPr>
          <w:ilvl w:val="0"/>
          <w:numId w:val="2"/>
        </w:numPr>
      </w:pPr>
      <w:r>
        <w:t>Literature review assignment: 35%</w:t>
      </w:r>
    </w:p>
    <w:p w14:paraId="2ACBE691" w14:textId="1B1EE707" w:rsidR="00CD7C8D" w:rsidRDefault="001E3EBC">
      <w:pPr>
        <w:numPr>
          <w:ilvl w:val="0"/>
          <w:numId w:val="2"/>
        </w:numPr>
      </w:pPr>
      <w:r>
        <w:t>Communication plan for final MS assignment: 25%</w:t>
      </w:r>
    </w:p>
    <w:p w14:paraId="6B5915C6" w14:textId="77777777" w:rsidR="00CD7C8D" w:rsidRDefault="00CD7C8D"/>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2"/>
        <w:gridCol w:w="1872"/>
        <w:gridCol w:w="1872"/>
        <w:gridCol w:w="1872"/>
        <w:gridCol w:w="1872"/>
      </w:tblGrid>
      <w:tr w:rsidR="00CD7C8D" w14:paraId="765F0C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3A5499C" w14:textId="77777777" w:rsidR="00CD7C8D" w:rsidRDefault="00CD7C8D"/>
        </w:tc>
        <w:tc>
          <w:tcPr>
            <w:tcW w:w="1872" w:type="dxa"/>
          </w:tcPr>
          <w:p w14:paraId="0705C91B" w14:textId="77777777" w:rsidR="00CD7C8D" w:rsidRDefault="001E3EBC">
            <w:pPr>
              <w:cnfStyle w:val="100000000000" w:firstRow="1" w:lastRow="0" w:firstColumn="0" w:lastColumn="0" w:oddVBand="0" w:evenVBand="0" w:oddHBand="0" w:evenHBand="0" w:firstRowFirstColumn="0" w:firstRowLastColumn="0" w:lastRowFirstColumn="0" w:lastRowLastColumn="0"/>
            </w:pPr>
            <w:r>
              <w:t>A</w:t>
            </w:r>
          </w:p>
        </w:tc>
        <w:tc>
          <w:tcPr>
            <w:tcW w:w="1872" w:type="dxa"/>
          </w:tcPr>
          <w:p w14:paraId="0400C5B6" w14:textId="77777777" w:rsidR="00CD7C8D" w:rsidRDefault="001E3EBC">
            <w:pPr>
              <w:cnfStyle w:val="100000000000" w:firstRow="1" w:lastRow="0" w:firstColumn="0" w:lastColumn="0" w:oddVBand="0" w:evenVBand="0" w:oddHBand="0" w:evenHBand="0" w:firstRowFirstColumn="0" w:firstRowLastColumn="0" w:lastRowFirstColumn="0" w:lastRowLastColumn="0"/>
            </w:pPr>
            <w:r>
              <w:t>B</w:t>
            </w:r>
          </w:p>
        </w:tc>
        <w:tc>
          <w:tcPr>
            <w:tcW w:w="1872" w:type="dxa"/>
          </w:tcPr>
          <w:p w14:paraId="2CAD93BC" w14:textId="77777777" w:rsidR="00CD7C8D" w:rsidRDefault="001E3EBC">
            <w:pPr>
              <w:cnfStyle w:val="100000000000" w:firstRow="1" w:lastRow="0" w:firstColumn="0" w:lastColumn="0" w:oddVBand="0" w:evenVBand="0" w:oddHBand="0" w:evenHBand="0" w:firstRowFirstColumn="0" w:firstRowLastColumn="0" w:lastRowFirstColumn="0" w:lastRowLastColumn="0"/>
            </w:pPr>
            <w:r>
              <w:t>C/D</w:t>
            </w:r>
          </w:p>
        </w:tc>
        <w:tc>
          <w:tcPr>
            <w:tcW w:w="1872" w:type="dxa"/>
          </w:tcPr>
          <w:p w14:paraId="1A096B1E" w14:textId="77777777" w:rsidR="00CD7C8D" w:rsidRDefault="001E3EBC">
            <w:pPr>
              <w:cnfStyle w:val="100000000000" w:firstRow="1" w:lastRow="0" w:firstColumn="0" w:lastColumn="0" w:oddVBand="0" w:evenVBand="0" w:oddHBand="0" w:evenHBand="0" w:firstRowFirstColumn="0" w:firstRowLastColumn="0" w:lastRowFirstColumn="0" w:lastRowLastColumn="0"/>
            </w:pPr>
            <w:r>
              <w:t>F</w:t>
            </w:r>
          </w:p>
        </w:tc>
      </w:tr>
      <w:tr w:rsidR="00CD7C8D" w14:paraId="110E13BF" w14:textId="77777777">
        <w:tc>
          <w:tcPr>
            <w:cnfStyle w:val="001000000000" w:firstRow="0" w:lastRow="0" w:firstColumn="1" w:lastColumn="0" w:oddVBand="0" w:evenVBand="0" w:oddHBand="0" w:evenHBand="0" w:firstRowFirstColumn="0" w:firstRowLastColumn="0" w:lastRowFirstColumn="0" w:lastRowLastColumn="0"/>
            <w:tcW w:w="1872" w:type="dxa"/>
          </w:tcPr>
          <w:p w14:paraId="377DE94F" w14:textId="77777777" w:rsidR="00CD7C8D" w:rsidRDefault="00CD7C8D"/>
        </w:tc>
        <w:tc>
          <w:tcPr>
            <w:tcW w:w="1872" w:type="dxa"/>
          </w:tcPr>
          <w:p w14:paraId="746C3FF5" w14:textId="77777777" w:rsidR="00CD7C8D" w:rsidRDefault="001E3EBC">
            <w:pPr>
              <w:cnfStyle w:val="000000000000" w:firstRow="0" w:lastRow="0" w:firstColumn="0" w:lastColumn="0" w:oddVBand="0" w:evenVBand="0" w:oddHBand="0" w:evenHBand="0" w:firstRowFirstColumn="0" w:firstRowLastColumn="0" w:lastRowFirstColumn="0" w:lastRowLastColumn="0"/>
            </w:pPr>
            <w:r>
              <w:t>Exceeds Expectations</w:t>
            </w:r>
          </w:p>
        </w:tc>
        <w:tc>
          <w:tcPr>
            <w:tcW w:w="1872" w:type="dxa"/>
          </w:tcPr>
          <w:p w14:paraId="77DE860C" w14:textId="77777777" w:rsidR="00CD7C8D" w:rsidRDefault="001E3EBC">
            <w:pPr>
              <w:cnfStyle w:val="000000000000" w:firstRow="0" w:lastRow="0" w:firstColumn="0" w:lastColumn="0" w:oddVBand="0" w:evenVBand="0" w:oddHBand="0" w:evenHBand="0" w:firstRowFirstColumn="0" w:firstRowLastColumn="0" w:lastRowFirstColumn="0" w:lastRowLastColumn="0"/>
            </w:pPr>
            <w:r>
              <w:t>Meets Expectations</w:t>
            </w:r>
          </w:p>
        </w:tc>
        <w:tc>
          <w:tcPr>
            <w:tcW w:w="1872" w:type="dxa"/>
          </w:tcPr>
          <w:p w14:paraId="2EC977DE" w14:textId="77777777" w:rsidR="00CD7C8D" w:rsidRDefault="001E3EBC">
            <w:pPr>
              <w:cnfStyle w:val="000000000000" w:firstRow="0" w:lastRow="0" w:firstColumn="0" w:lastColumn="0" w:oddVBand="0" w:evenVBand="0" w:oddHBand="0" w:evenHBand="0" w:firstRowFirstColumn="0" w:firstRowLastColumn="0" w:lastRowFirstColumn="0" w:lastRowLastColumn="0"/>
            </w:pPr>
            <w:r>
              <w:t>Somewhat Meets Expectations</w:t>
            </w:r>
          </w:p>
        </w:tc>
        <w:tc>
          <w:tcPr>
            <w:tcW w:w="1872" w:type="dxa"/>
          </w:tcPr>
          <w:p w14:paraId="02083CB8" w14:textId="77777777" w:rsidR="00CD7C8D" w:rsidRDefault="001E3EBC">
            <w:pPr>
              <w:cnfStyle w:val="000000000000" w:firstRow="0" w:lastRow="0" w:firstColumn="0" w:lastColumn="0" w:oddVBand="0" w:evenVBand="0" w:oddHBand="0" w:evenHBand="0" w:firstRowFirstColumn="0" w:firstRowLastColumn="0" w:lastRowFirstColumn="0" w:lastRowLastColumn="0"/>
            </w:pPr>
            <w:r>
              <w:t>Below Expectations</w:t>
            </w:r>
          </w:p>
        </w:tc>
      </w:tr>
      <w:tr w:rsidR="00CD7C8D" w14:paraId="371BFB78" w14:textId="77777777">
        <w:tc>
          <w:tcPr>
            <w:cnfStyle w:val="001000000000" w:firstRow="0" w:lastRow="0" w:firstColumn="1" w:lastColumn="0" w:oddVBand="0" w:evenVBand="0" w:oddHBand="0" w:evenHBand="0" w:firstRowFirstColumn="0" w:firstRowLastColumn="0" w:lastRowFirstColumn="0" w:lastRowLastColumn="0"/>
            <w:tcW w:w="1872" w:type="dxa"/>
          </w:tcPr>
          <w:p w14:paraId="64184301" w14:textId="77777777" w:rsidR="00CD7C8D" w:rsidRDefault="001E3EBC">
            <w:r>
              <w:t>Annotated Bibliography</w:t>
            </w:r>
          </w:p>
        </w:tc>
        <w:tc>
          <w:tcPr>
            <w:tcW w:w="1872" w:type="dxa"/>
          </w:tcPr>
          <w:p w14:paraId="11CF6C2F" w14:textId="77777777" w:rsidR="00CD7C8D" w:rsidRDefault="001E3EBC">
            <w:pPr>
              <w:cnfStyle w:val="000000000000" w:firstRow="0" w:lastRow="0" w:firstColumn="0" w:lastColumn="0" w:oddVBand="0" w:evenVBand="0" w:oddHBand="0" w:evenHBand="0" w:firstRowFirstColumn="0" w:firstRowLastColumn="0" w:lastRowFirstColumn="0" w:lastRowLastColumn="0"/>
            </w:pPr>
            <w:r>
              <w:t>All sources are reliable and authoritative</w:t>
            </w:r>
          </w:p>
        </w:tc>
        <w:tc>
          <w:tcPr>
            <w:tcW w:w="1872" w:type="dxa"/>
          </w:tcPr>
          <w:p w14:paraId="5D76135A" w14:textId="77777777" w:rsidR="00CD7C8D" w:rsidRDefault="001E3EBC">
            <w:pPr>
              <w:cnfStyle w:val="000000000000" w:firstRow="0" w:lastRow="0" w:firstColumn="0" w:lastColumn="0" w:oddVBand="0" w:evenVBand="0" w:oddHBand="0" w:evenHBand="0" w:firstRowFirstColumn="0" w:firstRowLastColumn="0" w:lastRowFirstColumn="0" w:lastRowLastColumn="0"/>
            </w:pPr>
            <w:r>
              <w:t>All but one sources is reliable and authoritative</w:t>
            </w:r>
          </w:p>
        </w:tc>
        <w:tc>
          <w:tcPr>
            <w:tcW w:w="1872" w:type="dxa"/>
          </w:tcPr>
          <w:p w14:paraId="15D13A17" w14:textId="77777777" w:rsidR="00CD7C8D" w:rsidRDefault="001E3EBC">
            <w:pPr>
              <w:cnfStyle w:val="000000000000" w:firstRow="0" w:lastRow="0" w:firstColumn="0" w:lastColumn="0" w:oddVBand="0" w:evenVBand="0" w:oddHBand="0" w:evenHBand="0" w:firstRowFirstColumn="0" w:firstRowLastColumn="0" w:lastRowFirstColumn="0" w:lastRowLastColumn="0"/>
            </w:pPr>
            <w:r>
              <w:t>More than one source is unreliable and not authoritative</w:t>
            </w:r>
          </w:p>
        </w:tc>
        <w:tc>
          <w:tcPr>
            <w:tcW w:w="1872" w:type="dxa"/>
          </w:tcPr>
          <w:p w14:paraId="16AE4865" w14:textId="77777777" w:rsidR="00CD7C8D" w:rsidRDefault="001E3EBC">
            <w:pPr>
              <w:cnfStyle w:val="000000000000" w:firstRow="0" w:lastRow="0" w:firstColumn="0" w:lastColumn="0" w:oddVBand="0" w:evenVBand="0" w:oddHBand="0" w:evenHBand="0" w:firstRowFirstColumn="0" w:firstRowLastColumn="0" w:lastRowFirstColumn="0" w:lastRowLastColumn="0"/>
            </w:pPr>
            <w:r>
              <w:t>All sources are unreliable and not authoritative.</w:t>
            </w:r>
          </w:p>
        </w:tc>
      </w:tr>
      <w:tr w:rsidR="00CD7C8D" w14:paraId="4D7DC4E2" w14:textId="77777777">
        <w:tc>
          <w:tcPr>
            <w:cnfStyle w:val="001000000000" w:firstRow="0" w:lastRow="0" w:firstColumn="1" w:lastColumn="0" w:oddVBand="0" w:evenVBand="0" w:oddHBand="0" w:evenHBand="0" w:firstRowFirstColumn="0" w:firstRowLastColumn="0" w:lastRowFirstColumn="0" w:lastRowLastColumn="0"/>
            <w:tcW w:w="1872" w:type="dxa"/>
          </w:tcPr>
          <w:p w14:paraId="478B0DF3" w14:textId="77777777" w:rsidR="00CD7C8D" w:rsidRDefault="00CD7C8D"/>
        </w:tc>
        <w:tc>
          <w:tcPr>
            <w:tcW w:w="1872" w:type="dxa"/>
          </w:tcPr>
          <w:p w14:paraId="3CA2F792" w14:textId="77777777" w:rsidR="00CD7C8D" w:rsidRDefault="001E3EBC">
            <w:pPr>
              <w:cnfStyle w:val="000000000000" w:firstRow="0" w:lastRow="0" w:firstColumn="0" w:lastColumn="0" w:oddVBand="0" w:evenVBand="0" w:oddHBand="0" w:evenHBand="0" w:firstRowFirstColumn="0" w:firstRowLastColumn="0" w:lastRowFirstColumn="0" w:lastRowLastColumn="0"/>
            </w:pPr>
            <w:r>
              <w:t>Four or more types of resources are represented</w:t>
            </w:r>
          </w:p>
        </w:tc>
        <w:tc>
          <w:tcPr>
            <w:tcW w:w="1872" w:type="dxa"/>
          </w:tcPr>
          <w:p w14:paraId="53008324" w14:textId="77777777" w:rsidR="00CD7C8D" w:rsidRDefault="001E3EBC">
            <w:pPr>
              <w:cnfStyle w:val="000000000000" w:firstRow="0" w:lastRow="0" w:firstColumn="0" w:lastColumn="0" w:oddVBand="0" w:evenVBand="0" w:oddHBand="0" w:evenHBand="0" w:firstRowFirstColumn="0" w:firstRowLastColumn="0" w:lastRowFirstColumn="0" w:lastRowLastColumn="0"/>
            </w:pPr>
            <w:r>
              <w:t>Three or more types of resources are represented</w:t>
            </w:r>
          </w:p>
        </w:tc>
        <w:tc>
          <w:tcPr>
            <w:tcW w:w="1872" w:type="dxa"/>
          </w:tcPr>
          <w:p w14:paraId="55B3D385" w14:textId="77777777" w:rsidR="00CD7C8D" w:rsidRDefault="001E3EBC">
            <w:pPr>
              <w:cnfStyle w:val="000000000000" w:firstRow="0" w:lastRow="0" w:firstColumn="0" w:lastColumn="0" w:oddVBand="0" w:evenVBand="0" w:oddHBand="0" w:evenHBand="0" w:firstRowFirstColumn="0" w:firstRowLastColumn="0" w:lastRowFirstColumn="0" w:lastRowLastColumn="0"/>
            </w:pPr>
            <w:r>
              <w:t>Two or more types of resources are represented</w:t>
            </w:r>
          </w:p>
        </w:tc>
        <w:tc>
          <w:tcPr>
            <w:tcW w:w="1872" w:type="dxa"/>
          </w:tcPr>
          <w:p w14:paraId="6EC66E2E" w14:textId="77777777" w:rsidR="00CD7C8D" w:rsidRDefault="001E3EBC">
            <w:pPr>
              <w:cnfStyle w:val="000000000000" w:firstRow="0" w:lastRow="0" w:firstColumn="0" w:lastColumn="0" w:oddVBand="0" w:evenVBand="0" w:oddHBand="0" w:evenHBand="0" w:firstRowFirstColumn="0" w:firstRowLastColumn="0" w:lastRowFirstColumn="0" w:lastRowLastColumn="0"/>
            </w:pPr>
            <w:r>
              <w:t>Only one type of resource is represented</w:t>
            </w:r>
          </w:p>
        </w:tc>
      </w:tr>
      <w:tr w:rsidR="00CD7C8D" w14:paraId="211F1E98" w14:textId="77777777">
        <w:tc>
          <w:tcPr>
            <w:cnfStyle w:val="001000000000" w:firstRow="0" w:lastRow="0" w:firstColumn="1" w:lastColumn="0" w:oddVBand="0" w:evenVBand="0" w:oddHBand="0" w:evenHBand="0" w:firstRowFirstColumn="0" w:firstRowLastColumn="0" w:lastRowFirstColumn="0" w:lastRowLastColumn="0"/>
            <w:tcW w:w="1872" w:type="dxa"/>
          </w:tcPr>
          <w:p w14:paraId="6CF6FAC6" w14:textId="77777777" w:rsidR="00CD7C8D" w:rsidRDefault="00CD7C8D"/>
        </w:tc>
        <w:tc>
          <w:tcPr>
            <w:tcW w:w="1872" w:type="dxa"/>
          </w:tcPr>
          <w:p w14:paraId="59FF749D" w14:textId="77777777" w:rsidR="00CD7C8D" w:rsidRDefault="001E3EBC">
            <w:pPr>
              <w:cnfStyle w:val="000000000000" w:firstRow="0" w:lastRow="0" w:firstColumn="0" w:lastColumn="0" w:oddVBand="0" w:evenVBand="0" w:oddHBand="0" w:evenHBand="0" w:firstRowFirstColumn="0" w:firstRowLastColumn="0" w:lastRowFirstColumn="0" w:lastRowLastColumn="0"/>
            </w:pPr>
            <w:r>
              <w:t xml:space="preserve">The annotation clearly summarizes the source and articulates its value </w:t>
            </w:r>
          </w:p>
        </w:tc>
        <w:tc>
          <w:tcPr>
            <w:tcW w:w="1872" w:type="dxa"/>
          </w:tcPr>
          <w:p w14:paraId="3829A073"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annotation  summarizes the source and mentions but does not fully address its value</w:t>
            </w:r>
          </w:p>
        </w:tc>
        <w:tc>
          <w:tcPr>
            <w:tcW w:w="1872" w:type="dxa"/>
          </w:tcPr>
          <w:p w14:paraId="2FFD2775"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annotation summarizes the sources but does not articulate its value</w:t>
            </w:r>
          </w:p>
        </w:tc>
        <w:tc>
          <w:tcPr>
            <w:tcW w:w="1872" w:type="dxa"/>
          </w:tcPr>
          <w:p w14:paraId="1DDF7884" w14:textId="77777777" w:rsidR="00CD7C8D" w:rsidRDefault="001E3EBC">
            <w:pPr>
              <w:cnfStyle w:val="000000000000" w:firstRow="0" w:lastRow="0" w:firstColumn="0" w:lastColumn="0" w:oddVBand="0" w:evenVBand="0" w:oddHBand="0" w:evenHBand="0" w:firstRowFirstColumn="0" w:firstRowLastColumn="0" w:lastRowFirstColumn="0" w:lastRowLastColumn="0"/>
            </w:pPr>
            <w:r>
              <w:t xml:space="preserve">The </w:t>
            </w:r>
            <w:proofErr w:type="gramStart"/>
            <w:r>
              <w:t>annotation lack</w:t>
            </w:r>
            <w:proofErr w:type="gramEnd"/>
            <w:r>
              <w:t xml:space="preserve"> either or both elements: summary or value.</w:t>
            </w:r>
          </w:p>
        </w:tc>
      </w:tr>
      <w:tr w:rsidR="00CD7C8D" w14:paraId="0ADF2515" w14:textId="77777777">
        <w:tc>
          <w:tcPr>
            <w:cnfStyle w:val="001000000000" w:firstRow="0" w:lastRow="0" w:firstColumn="1" w:lastColumn="0" w:oddVBand="0" w:evenVBand="0" w:oddHBand="0" w:evenHBand="0" w:firstRowFirstColumn="0" w:firstRowLastColumn="0" w:lastRowFirstColumn="0" w:lastRowLastColumn="0"/>
            <w:tcW w:w="1872" w:type="dxa"/>
          </w:tcPr>
          <w:p w14:paraId="41E5815D" w14:textId="77777777" w:rsidR="00CD7C8D" w:rsidRDefault="001E3EBC">
            <w:r>
              <w:t>Literature Review</w:t>
            </w:r>
          </w:p>
        </w:tc>
        <w:tc>
          <w:tcPr>
            <w:tcW w:w="1872" w:type="dxa"/>
          </w:tcPr>
          <w:p w14:paraId="1CA0A5F4"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includes more than the required number of citations</w:t>
            </w:r>
          </w:p>
        </w:tc>
        <w:tc>
          <w:tcPr>
            <w:tcW w:w="1872" w:type="dxa"/>
          </w:tcPr>
          <w:p w14:paraId="5A0B3AF6"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includes the required number of citations</w:t>
            </w:r>
          </w:p>
        </w:tc>
        <w:tc>
          <w:tcPr>
            <w:tcW w:w="1872" w:type="dxa"/>
          </w:tcPr>
          <w:p w14:paraId="7BE1C77B"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does not include the required number of citations</w:t>
            </w:r>
          </w:p>
        </w:tc>
        <w:tc>
          <w:tcPr>
            <w:tcW w:w="1872" w:type="dxa"/>
          </w:tcPr>
          <w:p w14:paraId="1FAEAAE7"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omits citations</w:t>
            </w:r>
          </w:p>
        </w:tc>
      </w:tr>
      <w:tr w:rsidR="00CD7C8D" w14:paraId="63DEFC99" w14:textId="77777777">
        <w:tc>
          <w:tcPr>
            <w:cnfStyle w:val="001000000000" w:firstRow="0" w:lastRow="0" w:firstColumn="1" w:lastColumn="0" w:oddVBand="0" w:evenVBand="0" w:oddHBand="0" w:evenHBand="0" w:firstRowFirstColumn="0" w:firstRowLastColumn="0" w:lastRowFirstColumn="0" w:lastRowLastColumn="0"/>
            <w:tcW w:w="1872" w:type="dxa"/>
          </w:tcPr>
          <w:p w14:paraId="2D9E3CD8" w14:textId="77777777" w:rsidR="00CD7C8D" w:rsidRDefault="00CD7C8D"/>
        </w:tc>
        <w:tc>
          <w:tcPr>
            <w:tcW w:w="1872" w:type="dxa"/>
          </w:tcPr>
          <w:p w14:paraId="2A90F65F" w14:textId="77777777" w:rsidR="00CD7C8D" w:rsidRDefault="001E3EBC">
            <w:pPr>
              <w:cnfStyle w:val="000000000000" w:firstRow="0" w:lastRow="0" w:firstColumn="0" w:lastColumn="0" w:oddVBand="0" w:evenVBand="0" w:oddHBand="0" w:evenHBand="0" w:firstRowFirstColumn="0" w:firstRowLastColumn="0" w:lastRowFirstColumn="0" w:lastRowLastColumn="0"/>
            </w:pPr>
            <w:r>
              <w:t>Four or more types of resources are cited</w:t>
            </w:r>
          </w:p>
          <w:p w14:paraId="1648746E" w14:textId="77777777" w:rsidR="00CD7C8D" w:rsidRDefault="001E3EBC">
            <w:pPr>
              <w:cnfStyle w:val="000000000000" w:firstRow="0" w:lastRow="0" w:firstColumn="0" w:lastColumn="0" w:oddVBand="0" w:evenVBand="0" w:oddHBand="0" w:evenHBand="0" w:firstRowFirstColumn="0" w:firstRowLastColumn="0" w:lastRowFirstColumn="0" w:lastRowLastColumn="0"/>
            </w:pPr>
            <w:r>
              <w:t xml:space="preserve"> </w:t>
            </w:r>
          </w:p>
        </w:tc>
        <w:tc>
          <w:tcPr>
            <w:tcW w:w="1872" w:type="dxa"/>
          </w:tcPr>
          <w:p w14:paraId="74A7523C" w14:textId="77777777" w:rsidR="00CD7C8D" w:rsidRDefault="001E3EBC">
            <w:pPr>
              <w:cnfStyle w:val="000000000000" w:firstRow="0" w:lastRow="0" w:firstColumn="0" w:lastColumn="0" w:oddVBand="0" w:evenVBand="0" w:oddHBand="0" w:evenHBand="0" w:firstRowFirstColumn="0" w:firstRowLastColumn="0" w:lastRowFirstColumn="0" w:lastRowLastColumn="0"/>
            </w:pPr>
            <w:r>
              <w:t>Three or more types of resources are cited</w:t>
            </w:r>
          </w:p>
          <w:p w14:paraId="520AC36E" w14:textId="77777777" w:rsidR="00CD7C8D" w:rsidRDefault="00CD7C8D">
            <w:pPr>
              <w:cnfStyle w:val="000000000000" w:firstRow="0" w:lastRow="0" w:firstColumn="0" w:lastColumn="0" w:oddVBand="0" w:evenVBand="0" w:oddHBand="0" w:evenHBand="0" w:firstRowFirstColumn="0" w:firstRowLastColumn="0" w:lastRowFirstColumn="0" w:lastRowLastColumn="0"/>
            </w:pPr>
          </w:p>
        </w:tc>
        <w:tc>
          <w:tcPr>
            <w:tcW w:w="1872" w:type="dxa"/>
          </w:tcPr>
          <w:p w14:paraId="01F821B7" w14:textId="77777777" w:rsidR="00CD7C8D" w:rsidRDefault="001E3EBC">
            <w:pPr>
              <w:cnfStyle w:val="000000000000" w:firstRow="0" w:lastRow="0" w:firstColumn="0" w:lastColumn="0" w:oddVBand="0" w:evenVBand="0" w:oddHBand="0" w:evenHBand="0" w:firstRowFirstColumn="0" w:firstRowLastColumn="0" w:lastRowFirstColumn="0" w:lastRowLastColumn="0"/>
            </w:pPr>
            <w:r>
              <w:t>Two or more types of resources are cited</w:t>
            </w:r>
          </w:p>
          <w:p w14:paraId="27321949" w14:textId="77777777" w:rsidR="00CD7C8D" w:rsidRDefault="00CD7C8D">
            <w:pPr>
              <w:cnfStyle w:val="000000000000" w:firstRow="0" w:lastRow="0" w:firstColumn="0" w:lastColumn="0" w:oddVBand="0" w:evenVBand="0" w:oddHBand="0" w:evenHBand="0" w:firstRowFirstColumn="0" w:firstRowLastColumn="0" w:lastRowFirstColumn="0" w:lastRowLastColumn="0"/>
            </w:pPr>
          </w:p>
        </w:tc>
        <w:tc>
          <w:tcPr>
            <w:tcW w:w="1872" w:type="dxa"/>
          </w:tcPr>
          <w:p w14:paraId="4800DB04" w14:textId="77777777" w:rsidR="00CD7C8D" w:rsidRDefault="001E3EBC">
            <w:pPr>
              <w:cnfStyle w:val="000000000000" w:firstRow="0" w:lastRow="0" w:firstColumn="0" w:lastColumn="0" w:oddVBand="0" w:evenVBand="0" w:oddHBand="0" w:evenHBand="0" w:firstRowFirstColumn="0" w:firstRowLastColumn="0" w:lastRowFirstColumn="0" w:lastRowLastColumn="0"/>
            </w:pPr>
            <w:r>
              <w:t>Only one type of resource is cited</w:t>
            </w:r>
          </w:p>
        </w:tc>
      </w:tr>
      <w:tr w:rsidR="00CD7C8D" w14:paraId="0C91760A" w14:textId="77777777">
        <w:tc>
          <w:tcPr>
            <w:cnfStyle w:val="001000000000" w:firstRow="0" w:lastRow="0" w:firstColumn="1" w:lastColumn="0" w:oddVBand="0" w:evenVBand="0" w:oddHBand="0" w:evenHBand="0" w:firstRowFirstColumn="0" w:firstRowLastColumn="0" w:lastRowFirstColumn="0" w:lastRowLastColumn="0"/>
            <w:tcW w:w="1872" w:type="dxa"/>
          </w:tcPr>
          <w:p w14:paraId="7C8D52BE" w14:textId="77777777" w:rsidR="00CD7C8D" w:rsidRDefault="00CD7C8D"/>
        </w:tc>
        <w:tc>
          <w:tcPr>
            <w:tcW w:w="1872" w:type="dxa"/>
          </w:tcPr>
          <w:p w14:paraId="54AC4912"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cites and addresses at least three points of view on the topic</w:t>
            </w:r>
          </w:p>
        </w:tc>
        <w:tc>
          <w:tcPr>
            <w:tcW w:w="1872" w:type="dxa"/>
          </w:tcPr>
          <w:p w14:paraId="707C0FBA"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cites and addresses at least two points of view on the topic</w:t>
            </w:r>
          </w:p>
        </w:tc>
        <w:tc>
          <w:tcPr>
            <w:tcW w:w="1872" w:type="dxa"/>
          </w:tcPr>
          <w:p w14:paraId="62744AC1"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addresses multiple points of view on the topic without citing resources, or with a clear bias</w:t>
            </w:r>
          </w:p>
        </w:tc>
        <w:tc>
          <w:tcPr>
            <w:tcW w:w="1872" w:type="dxa"/>
          </w:tcPr>
          <w:p w14:paraId="2264B571"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addresses only a single point of view on the topic.</w:t>
            </w:r>
          </w:p>
        </w:tc>
      </w:tr>
      <w:tr w:rsidR="00CD7C8D" w14:paraId="110BD695" w14:textId="77777777">
        <w:tc>
          <w:tcPr>
            <w:cnfStyle w:val="001000000000" w:firstRow="0" w:lastRow="0" w:firstColumn="1" w:lastColumn="0" w:oddVBand="0" w:evenVBand="0" w:oddHBand="0" w:evenHBand="0" w:firstRowFirstColumn="0" w:firstRowLastColumn="0" w:lastRowFirstColumn="0" w:lastRowLastColumn="0"/>
            <w:tcW w:w="1872" w:type="dxa"/>
          </w:tcPr>
          <w:p w14:paraId="436A03C5" w14:textId="77777777" w:rsidR="00CD7C8D" w:rsidRDefault="00CD7C8D"/>
        </w:tc>
        <w:tc>
          <w:tcPr>
            <w:tcW w:w="1872" w:type="dxa"/>
          </w:tcPr>
          <w:p w14:paraId="551F87DD"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clearly analyzes the state of the literature for the topic.</w:t>
            </w:r>
          </w:p>
        </w:tc>
        <w:tc>
          <w:tcPr>
            <w:tcW w:w="1872" w:type="dxa"/>
          </w:tcPr>
          <w:p w14:paraId="35AC0752"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demonstrates understanding of the state of the literature, with some analysis</w:t>
            </w:r>
          </w:p>
        </w:tc>
        <w:tc>
          <w:tcPr>
            <w:tcW w:w="1872" w:type="dxa"/>
          </w:tcPr>
          <w:p w14:paraId="23A1AD0F"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includes analysis with conceptual errors.</w:t>
            </w:r>
          </w:p>
        </w:tc>
        <w:tc>
          <w:tcPr>
            <w:tcW w:w="1872" w:type="dxa"/>
          </w:tcPr>
          <w:p w14:paraId="0C78CAE1"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assignment reiterates the literature without analysis</w:t>
            </w:r>
          </w:p>
        </w:tc>
      </w:tr>
      <w:tr w:rsidR="00CD7C8D" w14:paraId="65B1FFD0" w14:textId="77777777">
        <w:tc>
          <w:tcPr>
            <w:cnfStyle w:val="001000000000" w:firstRow="0" w:lastRow="0" w:firstColumn="1" w:lastColumn="0" w:oddVBand="0" w:evenVBand="0" w:oddHBand="0" w:evenHBand="0" w:firstRowFirstColumn="0" w:firstRowLastColumn="0" w:lastRowFirstColumn="0" w:lastRowLastColumn="0"/>
            <w:tcW w:w="1872" w:type="dxa"/>
          </w:tcPr>
          <w:p w14:paraId="0E33D87D" w14:textId="77777777" w:rsidR="00CD7C8D" w:rsidRDefault="001E3EBC">
            <w:r>
              <w:t>Communication Plan</w:t>
            </w:r>
          </w:p>
        </w:tc>
        <w:tc>
          <w:tcPr>
            <w:tcW w:w="1872" w:type="dxa"/>
          </w:tcPr>
          <w:p w14:paraId="7604FC63" w14:textId="77777777" w:rsidR="00CD7C8D" w:rsidRDefault="001E3EBC">
            <w:pPr>
              <w:cnfStyle w:val="000000000000" w:firstRow="0" w:lastRow="0" w:firstColumn="0" w:lastColumn="0" w:oddVBand="0" w:evenVBand="0" w:oddHBand="0" w:evenHBand="0" w:firstRowFirstColumn="0" w:firstRowLastColumn="0" w:lastRowFirstColumn="0" w:lastRowLastColumn="0"/>
            </w:pPr>
            <w:r>
              <w:t xml:space="preserve">The chosen topic is relevant to the program in </w:t>
            </w:r>
            <w:r>
              <w:lastRenderedPageBreak/>
              <w:t>multiple ways</w:t>
            </w:r>
          </w:p>
        </w:tc>
        <w:tc>
          <w:tcPr>
            <w:tcW w:w="1872" w:type="dxa"/>
          </w:tcPr>
          <w:p w14:paraId="38535F05" w14:textId="77777777" w:rsidR="00CD7C8D" w:rsidRDefault="001E3EBC">
            <w:pPr>
              <w:cnfStyle w:val="000000000000" w:firstRow="0" w:lastRow="0" w:firstColumn="0" w:lastColumn="0" w:oddVBand="0" w:evenVBand="0" w:oddHBand="0" w:evenHBand="0" w:firstRowFirstColumn="0" w:firstRowLastColumn="0" w:lastRowFirstColumn="0" w:lastRowLastColumn="0"/>
            </w:pPr>
            <w:r>
              <w:lastRenderedPageBreak/>
              <w:t xml:space="preserve">The chosen topic is relevant to the program </w:t>
            </w:r>
          </w:p>
        </w:tc>
        <w:tc>
          <w:tcPr>
            <w:tcW w:w="1872" w:type="dxa"/>
          </w:tcPr>
          <w:p w14:paraId="717122CC"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chosen topic's relevance is questionable</w:t>
            </w:r>
          </w:p>
        </w:tc>
        <w:tc>
          <w:tcPr>
            <w:tcW w:w="1872" w:type="dxa"/>
          </w:tcPr>
          <w:p w14:paraId="1C50E01A" w14:textId="77777777" w:rsidR="00CD7C8D" w:rsidRDefault="001E3EBC">
            <w:pPr>
              <w:cnfStyle w:val="000000000000" w:firstRow="0" w:lastRow="0" w:firstColumn="0" w:lastColumn="0" w:oddVBand="0" w:evenVBand="0" w:oddHBand="0" w:evenHBand="0" w:firstRowFirstColumn="0" w:firstRowLastColumn="0" w:lastRowFirstColumn="0" w:lastRowLastColumn="0"/>
            </w:pPr>
            <w:r>
              <w:t xml:space="preserve">The chosen topic is not relevant or in inappropriate </w:t>
            </w:r>
            <w:r>
              <w:lastRenderedPageBreak/>
              <w:t>in scope</w:t>
            </w:r>
          </w:p>
        </w:tc>
      </w:tr>
      <w:tr w:rsidR="00CD7C8D" w14:paraId="55D175B4" w14:textId="77777777">
        <w:tc>
          <w:tcPr>
            <w:cnfStyle w:val="001000000000" w:firstRow="0" w:lastRow="0" w:firstColumn="1" w:lastColumn="0" w:oddVBand="0" w:evenVBand="0" w:oddHBand="0" w:evenHBand="0" w:firstRowFirstColumn="0" w:firstRowLastColumn="0" w:lastRowFirstColumn="0" w:lastRowLastColumn="0"/>
            <w:tcW w:w="1872" w:type="dxa"/>
          </w:tcPr>
          <w:p w14:paraId="78AFBB81" w14:textId="77777777" w:rsidR="00CD7C8D" w:rsidRDefault="00CD7C8D"/>
        </w:tc>
        <w:tc>
          <w:tcPr>
            <w:tcW w:w="1872" w:type="dxa"/>
          </w:tcPr>
          <w:p w14:paraId="08B9481E"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chosen communication method is appropriate and actionable without changes</w:t>
            </w:r>
          </w:p>
        </w:tc>
        <w:tc>
          <w:tcPr>
            <w:tcW w:w="1872" w:type="dxa"/>
          </w:tcPr>
          <w:p w14:paraId="47104AF0"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appropriate communication method is appropriate and actionable with minor changes</w:t>
            </w:r>
          </w:p>
        </w:tc>
        <w:tc>
          <w:tcPr>
            <w:tcW w:w="1872" w:type="dxa"/>
          </w:tcPr>
          <w:p w14:paraId="5717C130" w14:textId="77777777" w:rsidR="00CD7C8D" w:rsidRDefault="001E3EBC">
            <w:pPr>
              <w:cnfStyle w:val="000000000000" w:firstRow="0" w:lastRow="0" w:firstColumn="0" w:lastColumn="0" w:oddVBand="0" w:evenVBand="0" w:oddHBand="0" w:evenHBand="0" w:firstRowFirstColumn="0" w:firstRowLastColumn="0" w:lastRowFirstColumn="0" w:lastRowLastColumn="0"/>
            </w:pPr>
            <w:r>
              <w:t xml:space="preserve">The chosen communication method is either appropriate or actionable, but not both </w:t>
            </w:r>
          </w:p>
        </w:tc>
        <w:tc>
          <w:tcPr>
            <w:tcW w:w="1872" w:type="dxa"/>
          </w:tcPr>
          <w:p w14:paraId="455B2CC6" w14:textId="77777777" w:rsidR="00CD7C8D" w:rsidRDefault="001E3EBC">
            <w:pPr>
              <w:cnfStyle w:val="000000000000" w:firstRow="0" w:lastRow="0" w:firstColumn="0" w:lastColumn="0" w:oddVBand="0" w:evenVBand="0" w:oddHBand="0" w:evenHBand="0" w:firstRowFirstColumn="0" w:firstRowLastColumn="0" w:lastRowFirstColumn="0" w:lastRowLastColumn="0"/>
            </w:pPr>
            <w:r>
              <w:t>The chosen communication method is neither appropriate nor actionable</w:t>
            </w:r>
          </w:p>
        </w:tc>
      </w:tr>
      <w:tr w:rsidR="00CD7C8D" w14:paraId="4604EB9E" w14:textId="77777777">
        <w:tc>
          <w:tcPr>
            <w:cnfStyle w:val="001000000000" w:firstRow="0" w:lastRow="0" w:firstColumn="1" w:lastColumn="0" w:oddVBand="0" w:evenVBand="0" w:oddHBand="0" w:evenHBand="0" w:firstRowFirstColumn="0" w:firstRowLastColumn="0" w:lastRowFirstColumn="0" w:lastRowLastColumn="0"/>
            <w:tcW w:w="1872" w:type="dxa"/>
          </w:tcPr>
          <w:p w14:paraId="5F9D690F" w14:textId="77777777" w:rsidR="00CD7C8D" w:rsidRDefault="00CD7C8D"/>
        </w:tc>
        <w:tc>
          <w:tcPr>
            <w:tcW w:w="1872" w:type="dxa"/>
          </w:tcPr>
          <w:p w14:paraId="34D44927" w14:textId="77777777" w:rsidR="00CD7C8D" w:rsidRDefault="001E3EBC">
            <w:pPr>
              <w:cnfStyle w:val="000000000000" w:firstRow="0" w:lastRow="0" w:firstColumn="0" w:lastColumn="0" w:oddVBand="0" w:evenVBand="0" w:oddHBand="0" w:evenHBand="0" w:firstRowFirstColumn="0" w:firstRowLastColumn="0" w:lastRowFirstColumn="0" w:lastRowLastColumn="0"/>
            </w:pPr>
            <w:r>
              <w:t>High quality, relevant information from reliable sources is included</w:t>
            </w:r>
          </w:p>
        </w:tc>
        <w:tc>
          <w:tcPr>
            <w:tcW w:w="1872" w:type="dxa"/>
          </w:tcPr>
          <w:p w14:paraId="4F073BCD" w14:textId="77777777" w:rsidR="00CD7C8D" w:rsidRDefault="001E3EBC">
            <w:pPr>
              <w:spacing w:after="160" w:line="259" w:lineRule="auto"/>
              <w:cnfStyle w:val="000000000000" w:firstRow="0" w:lastRow="0" w:firstColumn="0" w:lastColumn="0" w:oddVBand="0" w:evenVBand="0" w:oddHBand="0" w:evenHBand="0" w:firstRowFirstColumn="0" w:firstRowLastColumn="0" w:lastRowFirstColumn="0" w:lastRowLastColumn="0"/>
            </w:pPr>
            <w:r>
              <w:t>High quality information with less relevance from reliable sources is included</w:t>
            </w:r>
          </w:p>
        </w:tc>
        <w:tc>
          <w:tcPr>
            <w:tcW w:w="1872" w:type="dxa"/>
          </w:tcPr>
          <w:p w14:paraId="638E111F" w14:textId="77777777" w:rsidR="00CD7C8D" w:rsidRDefault="001E3EBC">
            <w:pPr>
              <w:cnfStyle w:val="000000000000" w:firstRow="0" w:lastRow="0" w:firstColumn="0" w:lastColumn="0" w:oddVBand="0" w:evenVBand="0" w:oddHBand="0" w:evenHBand="0" w:firstRowFirstColumn="0" w:firstRowLastColumn="0" w:lastRowFirstColumn="0" w:lastRowLastColumn="0"/>
            </w:pPr>
            <w:r>
              <w:t>Information is of questionable quality or relevance is absent</w:t>
            </w:r>
          </w:p>
        </w:tc>
        <w:tc>
          <w:tcPr>
            <w:tcW w:w="1872" w:type="dxa"/>
          </w:tcPr>
          <w:p w14:paraId="5C33B072" w14:textId="77777777" w:rsidR="00CD7C8D" w:rsidRDefault="001E3EBC">
            <w:pPr>
              <w:cnfStyle w:val="000000000000" w:firstRow="0" w:lastRow="0" w:firstColumn="0" w:lastColumn="0" w:oddVBand="0" w:evenVBand="0" w:oddHBand="0" w:evenHBand="0" w:firstRowFirstColumn="0" w:firstRowLastColumn="0" w:lastRowFirstColumn="0" w:lastRowLastColumn="0"/>
            </w:pPr>
            <w:r>
              <w:t>Both quality of information and relevance are absent</w:t>
            </w:r>
          </w:p>
        </w:tc>
      </w:tr>
      <w:tr w:rsidR="00CD7C8D" w14:paraId="14D67F15" w14:textId="77777777">
        <w:tc>
          <w:tcPr>
            <w:cnfStyle w:val="001000000000" w:firstRow="0" w:lastRow="0" w:firstColumn="1" w:lastColumn="0" w:oddVBand="0" w:evenVBand="0" w:oddHBand="0" w:evenHBand="0" w:firstRowFirstColumn="0" w:firstRowLastColumn="0" w:lastRowFirstColumn="0" w:lastRowLastColumn="0"/>
            <w:tcW w:w="1872" w:type="dxa"/>
          </w:tcPr>
          <w:p w14:paraId="45CFDCF2" w14:textId="77777777" w:rsidR="00CD7C8D" w:rsidRDefault="00CD7C8D"/>
        </w:tc>
        <w:tc>
          <w:tcPr>
            <w:tcW w:w="1872" w:type="dxa"/>
          </w:tcPr>
          <w:p w14:paraId="525C13DE" w14:textId="77777777" w:rsidR="00CD7C8D" w:rsidRDefault="001E3EBC">
            <w:pPr>
              <w:cnfStyle w:val="000000000000" w:firstRow="0" w:lastRow="0" w:firstColumn="0" w:lastColumn="0" w:oddVBand="0" w:evenVBand="0" w:oddHBand="0" w:evenHBand="0" w:firstRowFirstColumn="0" w:firstRowLastColumn="0" w:lastRowFirstColumn="0" w:lastRowLastColumn="0"/>
            </w:pPr>
            <w:r>
              <w:t>Technologies selected are appropriate and actionable without changes</w:t>
            </w:r>
          </w:p>
        </w:tc>
        <w:tc>
          <w:tcPr>
            <w:tcW w:w="1872" w:type="dxa"/>
          </w:tcPr>
          <w:p w14:paraId="31731154" w14:textId="77777777" w:rsidR="00CD7C8D" w:rsidRDefault="001E3EBC">
            <w:pPr>
              <w:cnfStyle w:val="000000000000" w:firstRow="0" w:lastRow="0" w:firstColumn="0" w:lastColumn="0" w:oddVBand="0" w:evenVBand="0" w:oddHBand="0" w:evenHBand="0" w:firstRowFirstColumn="0" w:firstRowLastColumn="0" w:lastRowFirstColumn="0" w:lastRowLastColumn="0"/>
            </w:pPr>
            <w:r>
              <w:t>Technologies selected are appropriate and actionable with minor changes</w:t>
            </w:r>
          </w:p>
        </w:tc>
        <w:tc>
          <w:tcPr>
            <w:tcW w:w="1872" w:type="dxa"/>
          </w:tcPr>
          <w:p w14:paraId="266C89A7" w14:textId="77777777" w:rsidR="00CD7C8D" w:rsidRDefault="001E3EBC">
            <w:pPr>
              <w:cnfStyle w:val="000000000000" w:firstRow="0" w:lastRow="0" w:firstColumn="0" w:lastColumn="0" w:oddVBand="0" w:evenVBand="0" w:oddHBand="0" w:evenHBand="0" w:firstRowFirstColumn="0" w:firstRowLastColumn="0" w:lastRowFirstColumn="0" w:lastRowLastColumn="0"/>
            </w:pPr>
            <w:r>
              <w:t>Technologies selected are appropriate or actionable, but not both</w:t>
            </w:r>
          </w:p>
        </w:tc>
        <w:tc>
          <w:tcPr>
            <w:tcW w:w="1872" w:type="dxa"/>
          </w:tcPr>
          <w:p w14:paraId="2CE97FBF" w14:textId="77777777" w:rsidR="00CD7C8D" w:rsidRDefault="001E3EBC">
            <w:pPr>
              <w:cnfStyle w:val="000000000000" w:firstRow="0" w:lastRow="0" w:firstColumn="0" w:lastColumn="0" w:oddVBand="0" w:evenVBand="0" w:oddHBand="0" w:evenHBand="0" w:firstRowFirstColumn="0" w:firstRowLastColumn="0" w:lastRowFirstColumn="0" w:lastRowLastColumn="0"/>
            </w:pPr>
            <w:r>
              <w:t>Technologies selected are neither appropriate nor actionable</w:t>
            </w:r>
          </w:p>
        </w:tc>
      </w:tr>
      <w:tr w:rsidR="00CD7C8D" w14:paraId="6F516DE6" w14:textId="77777777">
        <w:tc>
          <w:tcPr>
            <w:cnfStyle w:val="001000000000" w:firstRow="0" w:lastRow="0" w:firstColumn="1" w:lastColumn="0" w:oddVBand="0" w:evenVBand="0" w:oddHBand="0" w:evenHBand="0" w:firstRowFirstColumn="0" w:firstRowLastColumn="0" w:lastRowFirstColumn="0" w:lastRowLastColumn="0"/>
            <w:tcW w:w="1872" w:type="dxa"/>
          </w:tcPr>
          <w:p w14:paraId="03D6010E" w14:textId="77777777" w:rsidR="00CD7C8D" w:rsidRDefault="00CD7C8D"/>
        </w:tc>
        <w:tc>
          <w:tcPr>
            <w:tcW w:w="1872" w:type="dxa"/>
          </w:tcPr>
          <w:p w14:paraId="43F320F2" w14:textId="77777777" w:rsidR="00CD7C8D" w:rsidRDefault="001E3EBC">
            <w:pPr>
              <w:cnfStyle w:val="000000000000" w:firstRow="0" w:lastRow="0" w:firstColumn="0" w:lastColumn="0" w:oddVBand="0" w:evenVBand="0" w:oddHBand="0" w:evenHBand="0" w:firstRowFirstColumn="0" w:firstRowLastColumn="0" w:lastRowFirstColumn="0" w:lastRowLastColumn="0"/>
            </w:pPr>
            <w:r>
              <w:t>Criteria for success are clearly defined</w:t>
            </w:r>
          </w:p>
        </w:tc>
        <w:tc>
          <w:tcPr>
            <w:tcW w:w="1872" w:type="dxa"/>
          </w:tcPr>
          <w:p w14:paraId="6143B9DB" w14:textId="77777777" w:rsidR="00CD7C8D" w:rsidRDefault="001E3EBC">
            <w:pPr>
              <w:cnfStyle w:val="000000000000" w:firstRow="0" w:lastRow="0" w:firstColumn="0" w:lastColumn="0" w:oddVBand="0" w:evenVBand="0" w:oddHBand="0" w:evenHBand="0" w:firstRowFirstColumn="0" w:firstRowLastColumn="0" w:lastRowFirstColumn="0" w:lastRowLastColumn="0"/>
            </w:pPr>
            <w:r>
              <w:t>Criteria for success are somewhat defined</w:t>
            </w:r>
          </w:p>
        </w:tc>
        <w:tc>
          <w:tcPr>
            <w:tcW w:w="1872" w:type="dxa"/>
          </w:tcPr>
          <w:p w14:paraId="7E3DED82" w14:textId="77777777" w:rsidR="00CD7C8D" w:rsidRDefault="001E3EBC">
            <w:pPr>
              <w:cnfStyle w:val="000000000000" w:firstRow="0" w:lastRow="0" w:firstColumn="0" w:lastColumn="0" w:oddVBand="0" w:evenVBand="0" w:oddHBand="0" w:evenHBand="0" w:firstRowFirstColumn="0" w:firstRowLastColumn="0" w:lastRowFirstColumn="0" w:lastRowLastColumn="0"/>
            </w:pPr>
            <w:r>
              <w:t>Criteria for success are not clearly defined</w:t>
            </w:r>
          </w:p>
        </w:tc>
        <w:tc>
          <w:tcPr>
            <w:tcW w:w="1872" w:type="dxa"/>
          </w:tcPr>
          <w:p w14:paraId="28CD8419" w14:textId="77777777" w:rsidR="00CD7C8D" w:rsidRDefault="001E3EBC">
            <w:pPr>
              <w:cnfStyle w:val="000000000000" w:firstRow="0" w:lastRow="0" w:firstColumn="0" w:lastColumn="0" w:oddVBand="0" w:evenVBand="0" w:oddHBand="0" w:evenHBand="0" w:firstRowFirstColumn="0" w:firstRowLastColumn="0" w:lastRowFirstColumn="0" w:lastRowLastColumn="0"/>
            </w:pPr>
            <w:r>
              <w:t>Criteria for success are absent</w:t>
            </w:r>
          </w:p>
        </w:tc>
      </w:tr>
      <w:tr w:rsidR="00CD7C8D" w14:paraId="0856CB5A" w14:textId="77777777">
        <w:tc>
          <w:tcPr>
            <w:cnfStyle w:val="001000000000" w:firstRow="0" w:lastRow="0" w:firstColumn="1" w:lastColumn="0" w:oddVBand="0" w:evenVBand="0" w:oddHBand="0" w:evenHBand="0" w:firstRowFirstColumn="0" w:firstRowLastColumn="0" w:lastRowFirstColumn="0" w:lastRowLastColumn="0"/>
            <w:tcW w:w="1872" w:type="dxa"/>
          </w:tcPr>
          <w:p w14:paraId="21F200F3" w14:textId="77777777" w:rsidR="00CD7C8D" w:rsidRDefault="00CD7C8D"/>
        </w:tc>
        <w:tc>
          <w:tcPr>
            <w:tcW w:w="1872" w:type="dxa"/>
          </w:tcPr>
          <w:p w14:paraId="5C1B2F6F" w14:textId="77777777" w:rsidR="00CD7C8D" w:rsidRDefault="00CD7C8D">
            <w:pPr>
              <w:cnfStyle w:val="000000000000" w:firstRow="0" w:lastRow="0" w:firstColumn="0" w:lastColumn="0" w:oddVBand="0" w:evenVBand="0" w:oddHBand="0" w:evenHBand="0" w:firstRowFirstColumn="0" w:firstRowLastColumn="0" w:lastRowFirstColumn="0" w:lastRowLastColumn="0"/>
            </w:pPr>
          </w:p>
        </w:tc>
        <w:tc>
          <w:tcPr>
            <w:tcW w:w="1872" w:type="dxa"/>
          </w:tcPr>
          <w:p w14:paraId="19F7A844" w14:textId="77777777" w:rsidR="00CD7C8D" w:rsidRDefault="00CD7C8D">
            <w:pPr>
              <w:cnfStyle w:val="000000000000" w:firstRow="0" w:lastRow="0" w:firstColumn="0" w:lastColumn="0" w:oddVBand="0" w:evenVBand="0" w:oddHBand="0" w:evenHBand="0" w:firstRowFirstColumn="0" w:firstRowLastColumn="0" w:lastRowFirstColumn="0" w:lastRowLastColumn="0"/>
            </w:pPr>
          </w:p>
        </w:tc>
        <w:tc>
          <w:tcPr>
            <w:tcW w:w="1872" w:type="dxa"/>
          </w:tcPr>
          <w:p w14:paraId="4CFF049B" w14:textId="77777777" w:rsidR="00CD7C8D" w:rsidRDefault="00CD7C8D">
            <w:pPr>
              <w:cnfStyle w:val="000000000000" w:firstRow="0" w:lastRow="0" w:firstColumn="0" w:lastColumn="0" w:oddVBand="0" w:evenVBand="0" w:oddHBand="0" w:evenHBand="0" w:firstRowFirstColumn="0" w:firstRowLastColumn="0" w:lastRowFirstColumn="0" w:lastRowLastColumn="0"/>
            </w:pPr>
          </w:p>
        </w:tc>
        <w:tc>
          <w:tcPr>
            <w:tcW w:w="1872" w:type="dxa"/>
          </w:tcPr>
          <w:p w14:paraId="6E608838" w14:textId="77777777" w:rsidR="00CD7C8D" w:rsidRDefault="00CD7C8D">
            <w:pPr>
              <w:cnfStyle w:val="000000000000" w:firstRow="0" w:lastRow="0" w:firstColumn="0" w:lastColumn="0" w:oddVBand="0" w:evenVBand="0" w:oddHBand="0" w:evenHBand="0" w:firstRowFirstColumn="0" w:firstRowLastColumn="0" w:lastRowFirstColumn="0" w:lastRowLastColumn="0"/>
            </w:pPr>
          </w:p>
        </w:tc>
      </w:tr>
    </w:tbl>
    <w:p w14:paraId="04C3EAAE" w14:textId="77777777" w:rsidR="00CD7C8D" w:rsidRDefault="00CD7C8D"/>
    <w:p w14:paraId="6B0EC46A" w14:textId="77777777" w:rsidR="00CD7C8D" w:rsidRDefault="00CD7C8D"/>
    <w:p w14:paraId="309200FB" w14:textId="77777777" w:rsidR="00CD7C8D" w:rsidRDefault="001E3EBC">
      <w:pPr>
        <w:rPr>
          <w:b/>
        </w:rPr>
      </w:pPr>
      <w:r>
        <w:rPr>
          <w:b/>
        </w:rPr>
        <w:t>Suggested readings</w:t>
      </w:r>
    </w:p>
    <w:p w14:paraId="6C3C7B5E" w14:textId="77777777" w:rsidR="00CD7C8D" w:rsidRDefault="001E3EBC">
      <w:proofErr w:type="gramStart"/>
      <w:r>
        <w:t xml:space="preserve">Burdick, A., Drucker, J., </w:t>
      </w:r>
      <w:proofErr w:type="spellStart"/>
      <w:r>
        <w:t>Lunenfeld</w:t>
      </w:r>
      <w:proofErr w:type="spellEnd"/>
      <w:r>
        <w:t xml:space="preserve">, P., </w:t>
      </w:r>
      <w:proofErr w:type="spellStart"/>
      <w:r>
        <w:t>Presner</w:t>
      </w:r>
      <w:proofErr w:type="spellEnd"/>
      <w:r>
        <w:t xml:space="preserve">, T., &amp; </w:t>
      </w:r>
      <w:proofErr w:type="spellStart"/>
      <w:r>
        <w:t>Schnapp</w:t>
      </w:r>
      <w:proofErr w:type="spellEnd"/>
      <w:r>
        <w:t>, J. (2012).</w:t>
      </w:r>
      <w:proofErr w:type="gramEnd"/>
      <w:r>
        <w:rPr>
          <w:i/>
        </w:rPr>
        <w:t xml:space="preserve"> </w:t>
      </w:r>
      <w:hyperlink r:id="rId16">
        <w:proofErr w:type="gramStart"/>
        <w:r>
          <w:rPr>
            <w:i/>
          </w:rPr>
          <w:t>Digital Humanities</w:t>
        </w:r>
      </w:hyperlink>
      <w:r>
        <w:rPr>
          <w:i/>
        </w:rPr>
        <w:t>.</w:t>
      </w:r>
      <w:proofErr w:type="gramEnd"/>
      <w:r>
        <w:rPr>
          <w:i/>
        </w:rPr>
        <w:t xml:space="preserve"> </w:t>
      </w:r>
      <w:r>
        <w:t>Cambridge, MA: MIT Press.</w:t>
      </w:r>
    </w:p>
    <w:p w14:paraId="6755AB59" w14:textId="77777777" w:rsidR="00CD7C8D" w:rsidRDefault="001E3EBC">
      <w:proofErr w:type="spellStart"/>
      <w:proofErr w:type="gramStart"/>
      <w:r>
        <w:t>Gibaldi</w:t>
      </w:r>
      <w:proofErr w:type="spellEnd"/>
      <w:r>
        <w:t>, J., &amp; Modern Language Association of America.</w:t>
      </w:r>
      <w:proofErr w:type="gramEnd"/>
      <w:r>
        <w:t xml:space="preserve"> </w:t>
      </w:r>
      <w:proofErr w:type="gramStart"/>
      <w:r>
        <w:t xml:space="preserve">(2009). </w:t>
      </w:r>
      <w:r>
        <w:rPr>
          <w:i/>
        </w:rPr>
        <w:t>MLA handbook for writers of research papers.</w:t>
      </w:r>
      <w:proofErr w:type="gramEnd"/>
      <w:r>
        <w:t xml:space="preserve"> (7th </w:t>
      </w:r>
      <w:proofErr w:type="gramStart"/>
      <w:r>
        <w:t>ed</w:t>
      </w:r>
      <w:proofErr w:type="gramEnd"/>
      <w:r>
        <w:t>.). New York: Modern Language Association of America.</w:t>
      </w:r>
    </w:p>
    <w:p w14:paraId="5C9B6C3E" w14:textId="77777777" w:rsidR="00CD7C8D" w:rsidRDefault="001E3EBC">
      <w:proofErr w:type="spellStart"/>
      <w:r>
        <w:t>Hayot</w:t>
      </w:r>
      <w:proofErr w:type="spellEnd"/>
      <w:r>
        <w:t xml:space="preserve">, E. (2014). </w:t>
      </w:r>
      <w:proofErr w:type="gramStart"/>
      <w:r>
        <w:rPr>
          <w:i/>
        </w:rPr>
        <w:t>The Elements of Academic Style Writing for the Humanities</w:t>
      </w:r>
      <w:r>
        <w:t>.</w:t>
      </w:r>
      <w:proofErr w:type="gramEnd"/>
      <w:r>
        <w:t xml:space="preserve"> New York: Columbia University Press.</w:t>
      </w:r>
    </w:p>
    <w:p w14:paraId="51946A7A" w14:textId="77777777" w:rsidR="00CD7C8D" w:rsidRDefault="001E3EBC">
      <w:proofErr w:type="spellStart"/>
      <w:proofErr w:type="gramStart"/>
      <w:r>
        <w:t>Machi</w:t>
      </w:r>
      <w:proofErr w:type="spellEnd"/>
      <w:r>
        <w:t>, L., &amp; McEvoy, B. (2016).</w:t>
      </w:r>
      <w:proofErr w:type="gramEnd"/>
      <w:r>
        <w:t> </w:t>
      </w:r>
      <w:r>
        <w:rPr>
          <w:i/>
        </w:rPr>
        <w:t xml:space="preserve">The literature </w:t>
      </w:r>
      <w:proofErr w:type="gramStart"/>
      <w:r>
        <w:rPr>
          <w:i/>
        </w:rPr>
        <w:t>review :</w:t>
      </w:r>
      <w:proofErr w:type="gramEnd"/>
      <w:r>
        <w:rPr>
          <w:i/>
        </w:rPr>
        <w:t xml:space="preserve"> Six steps to success</w:t>
      </w:r>
      <w:r>
        <w:t> (Third ed.).</w:t>
      </w:r>
    </w:p>
    <w:p w14:paraId="45C5AFFF" w14:textId="77777777" w:rsidR="00CD7C8D" w:rsidRDefault="001E3EBC">
      <w:pPr>
        <w:spacing w:line="360" w:lineRule="auto"/>
      </w:pPr>
      <w:proofErr w:type="gramStart"/>
      <w:r>
        <w:t xml:space="preserve">Messenger Davies, J., &amp; </w:t>
      </w:r>
      <w:proofErr w:type="spellStart"/>
      <w:r>
        <w:t>Mosdell</w:t>
      </w:r>
      <w:proofErr w:type="spellEnd"/>
      <w:r>
        <w:t>, N. (2006).</w:t>
      </w:r>
      <w:proofErr w:type="gramEnd"/>
      <w:r>
        <w:t xml:space="preserve"> </w:t>
      </w:r>
      <w:proofErr w:type="gramStart"/>
      <w:r>
        <w:rPr>
          <w:i/>
        </w:rPr>
        <w:t>Practical Research Methods for Media and Cultural Studies Making People Count.</w:t>
      </w:r>
      <w:proofErr w:type="gramEnd"/>
      <w:r>
        <w:t xml:space="preserve"> Edinburgh: Edinburgh University Press.</w:t>
      </w:r>
    </w:p>
    <w:p w14:paraId="4BFDB622" w14:textId="77777777" w:rsidR="00CD7C8D" w:rsidRDefault="001E3EBC">
      <w:proofErr w:type="gramStart"/>
      <w:r>
        <w:t>Pickering, M., &amp; Griffin, Gabriele.</w:t>
      </w:r>
      <w:proofErr w:type="gramEnd"/>
      <w:r>
        <w:t xml:space="preserve"> </w:t>
      </w:r>
      <w:proofErr w:type="gramStart"/>
      <w:r>
        <w:t xml:space="preserve">(2008). </w:t>
      </w:r>
      <w:r>
        <w:rPr>
          <w:i/>
        </w:rPr>
        <w:t>Research Methods for Cultural Studies</w:t>
      </w:r>
      <w:r>
        <w:t xml:space="preserve"> (Research Methods for the Arts and Humanities).</w:t>
      </w:r>
      <w:proofErr w:type="gramEnd"/>
      <w:r>
        <w:t xml:space="preserve"> Edinburgh: Edinburgh University Press.</w:t>
      </w:r>
    </w:p>
    <w:p w14:paraId="5F4110CA" w14:textId="77777777" w:rsidR="00CD7C8D" w:rsidRDefault="001E3EBC">
      <w:proofErr w:type="gramStart"/>
      <w:r>
        <w:t>Stokes, J. (2003).</w:t>
      </w:r>
      <w:proofErr w:type="gramEnd"/>
      <w:r>
        <w:t xml:space="preserve"> </w:t>
      </w:r>
      <w:proofErr w:type="gramStart"/>
      <w:r>
        <w:rPr>
          <w:i/>
        </w:rPr>
        <w:t>How to do media &amp; cultural studies</w:t>
      </w:r>
      <w:r>
        <w:t>.</w:t>
      </w:r>
      <w:proofErr w:type="gramEnd"/>
      <w:r>
        <w:t xml:space="preserve"> </w:t>
      </w:r>
      <w:proofErr w:type="gramStart"/>
      <w:r>
        <w:t>London ;</w:t>
      </w:r>
      <w:proofErr w:type="gramEnd"/>
      <w:r>
        <w:t xml:space="preserve"> Thousand Oaks, [Calif.]: SAGE.</w:t>
      </w:r>
    </w:p>
    <w:p w14:paraId="5E2DF870" w14:textId="77777777" w:rsidR="00CD7C8D" w:rsidRDefault="00CD7C8D"/>
    <w:p w14:paraId="24A0BF79" w14:textId="77777777" w:rsidR="00CD7C8D" w:rsidRDefault="001E3EBC">
      <w:pPr>
        <w:rPr>
          <w:b/>
        </w:rPr>
      </w:pPr>
      <w:r>
        <w:rPr>
          <w:b/>
        </w:rPr>
        <w:t>Attendance</w:t>
      </w:r>
    </w:p>
    <w:p w14:paraId="45DE562E" w14:textId="77777777" w:rsidR="00CD7C8D" w:rsidRDefault="001E3EBC">
      <w:r>
        <w:t xml:space="preserve">More than three unexcused absences will lower the final grade by one point per absence. 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17">
        <w:r>
          <w:rPr>
            <w:color w:val="1155CC"/>
            <w:u w:val="single"/>
          </w:rPr>
          <w:t>http://www.catalog.gatech.edu/rules/4/</w:t>
        </w:r>
      </w:hyperlink>
      <w:r>
        <w:t xml:space="preserve"> </w:t>
      </w:r>
    </w:p>
    <w:p w14:paraId="7D9CF8A6" w14:textId="77777777" w:rsidR="00CD7C8D" w:rsidRDefault="00CD7C8D"/>
    <w:p w14:paraId="09FC05A0" w14:textId="77777777" w:rsidR="00CD7C8D" w:rsidRDefault="001E3EBC">
      <w:pPr>
        <w:rPr>
          <w:b/>
        </w:rPr>
      </w:pPr>
      <w:r>
        <w:rPr>
          <w:b/>
        </w:rPr>
        <w:t>Disability Services</w:t>
      </w:r>
    </w:p>
    <w:p w14:paraId="24706E6B" w14:textId="77777777" w:rsidR="00CD7C8D" w:rsidRDefault="001E3EBC">
      <w:r>
        <w:t xml:space="preserve">The Office of Disability Services offers self-identified students with permanent or temporary disabilities assistance with registration, accessibility, transportation, parking, housing, counseling, note taking, recorded textbooks, advocacy, test proctoring, referral services, and other needs. </w:t>
      </w:r>
      <w:hyperlink r:id="rId18">
        <w:r>
          <w:rPr>
            <w:color w:val="1155CC"/>
            <w:u w:val="single"/>
          </w:rPr>
          <w:t>http://disabilityservices.gatech.edu</w:t>
        </w:r>
      </w:hyperlink>
      <w:r>
        <w:t xml:space="preserve"> </w:t>
      </w:r>
    </w:p>
    <w:p w14:paraId="11492B71" w14:textId="77777777" w:rsidR="00931B0A" w:rsidRDefault="00931B0A"/>
    <w:p w14:paraId="3F145A7A" w14:textId="496D6876" w:rsidR="00931B0A" w:rsidRPr="00931B0A" w:rsidRDefault="00931B0A">
      <w:pPr>
        <w:rPr>
          <w:rFonts w:ascii="Times New Roman" w:hAnsi="Times New Roman" w:cs="Times New Roman"/>
          <w:b/>
        </w:rPr>
      </w:pPr>
      <w:r w:rsidRPr="00931B0A">
        <w:rPr>
          <w:b/>
        </w:rPr>
        <w:t>Academic Honor</w:t>
      </w:r>
    </w:p>
    <w:p w14:paraId="44720766" w14:textId="188497A1" w:rsidR="00931B0A" w:rsidRPr="00931B0A" w:rsidRDefault="00931B0A">
      <w:pPr>
        <w:rPr>
          <w:rFonts w:asciiTheme="minorHAnsi" w:hAnsiTheme="minorHAnsi" w:cstheme="minorHAnsi"/>
        </w:rPr>
      </w:pPr>
      <w:r w:rsidRPr="00931B0A">
        <w:rPr>
          <w:rFonts w:asciiTheme="minorHAnsi" w:hAnsiTheme="minorHAnsi" w:cstheme="minorHAnsi"/>
          <w:i/>
          <w:iCs/>
          <w:color w:val="262626"/>
          <w:shd w:val="clear" w:color="auto" w:fill="FFFFFF"/>
        </w:rPr>
        <w:t>"Having read the Georgia Institute of Technology Academic Honor Code, I understand and accept my responsibility as a member of the Georgia Tech community to uphold the Honor Code at all times. In addition, I understand my options for reporting honor violations as detailed in the Code."</w:t>
      </w:r>
    </w:p>
    <w:p w14:paraId="0ADFDEA7" w14:textId="734033DC" w:rsidR="00931B0A" w:rsidRDefault="00931B0A">
      <w:hyperlink r:id="rId19" w:history="1">
        <w:r w:rsidRPr="005014A8">
          <w:rPr>
            <w:rStyle w:val="Hyperlink"/>
          </w:rPr>
          <w:t>http://www.policylibrary.gatech.edu/student-affairs/academic-honor-code</w:t>
        </w:r>
      </w:hyperlink>
      <w:r>
        <w:t xml:space="preserve"> </w:t>
      </w:r>
    </w:p>
    <w:sectPr w:rsidR="00931B0A">
      <w:pgSz w:w="12240" w:h="15840"/>
      <w:pgMar w:top="1440" w:right="1080" w:bottom="1440" w:left="1080" w:header="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DDCDC9" w15:done="0"/>
  <w15:commentEx w15:paraId="462C63EC" w15:done="0"/>
  <w15:commentEx w15:paraId="30022EA6" w15:done="0"/>
  <w15:commentEx w15:paraId="5EC46E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246CF"/>
    <w:multiLevelType w:val="multilevel"/>
    <w:tmpl w:val="7A7AF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E3915EB"/>
    <w:multiLevelType w:val="multilevel"/>
    <w:tmpl w:val="F4F6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C8D"/>
    <w:rsid w:val="001E3EBC"/>
    <w:rsid w:val="00931B0A"/>
    <w:rsid w:val="00CD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table" w:customStyle="1" w:styleId="a0">
    <w:basedOn w:val="TableNormal"/>
    <w:pPr>
      <w:widowControl/>
    </w:pPr>
    <w:tblPr>
      <w:tblStyleRowBandSize w:val="1"/>
      <w:tblStyleColBandSize w:val="1"/>
    </w:tblPr>
  </w:style>
  <w:style w:type="table" w:customStyle="1" w:styleId="a1">
    <w:basedOn w:val="TableNormal"/>
    <w:pPr>
      <w:widowControl/>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3E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EBC"/>
    <w:rPr>
      <w:rFonts w:ascii="Segoe UI" w:hAnsi="Segoe UI" w:cs="Segoe UI"/>
      <w:sz w:val="18"/>
      <w:szCs w:val="18"/>
    </w:rPr>
  </w:style>
  <w:style w:type="character" w:styleId="Hyperlink">
    <w:name w:val="Hyperlink"/>
    <w:basedOn w:val="DefaultParagraphFont"/>
    <w:uiPriority w:val="99"/>
    <w:unhideWhenUsed/>
    <w:rsid w:val="00931B0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table" w:customStyle="1" w:styleId="a0">
    <w:basedOn w:val="TableNormal"/>
    <w:pPr>
      <w:widowControl/>
    </w:pPr>
    <w:tblPr>
      <w:tblStyleRowBandSize w:val="1"/>
      <w:tblStyleColBandSize w:val="1"/>
    </w:tblPr>
  </w:style>
  <w:style w:type="table" w:customStyle="1" w:styleId="a1">
    <w:basedOn w:val="TableNormal"/>
    <w:pPr>
      <w:widowControl/>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3E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EBC"/>
    <w:rPr>
      <w:rFonts w:ascii="Segoe UI" w:hAnsi="Segoe UI" w:cs="Segoe UI"/>
      <w:sz w:val="18"/>
      <w:szCs w:val="18"/>
    </w:rPr>
  </w:style>
  <w:style w:type="character" w:styleId="Hyperlink">
    <w:name w:val="Hyperlink"/>
    <w:basedOn w:val="DefaultParagraphFont"/>
    <w:uiPriority w:val="99"/>
    <w:unhideWhenUsed/>
    <w:rsid w:val="00931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youtu.be/MSLu1zlX0yc" TargetMode="External"/><Relationship Id="rId13" Type="http://schemas.openxmlformats.org/officeDocument/2006/relationships/hyperlink" Target="https://ebookcentral-proquest-com.prx.library.gatech.edu/lib/gatech/reader.action?docID=4038514&amp;ppg=2" TargetMode="External"/><Relationship Id="rId18" Type="http://schemas.openxmlformats.org/officeDocument/2006/relationships/hyperlink" Target="http://disabilityservices.gatech.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renewal.library.gatech.edu/white-papers/reimagining-the-georgia-tech-library" TargetMode="External"/><Relationship Id="rId12" Type="http://schemas.openxmlformats.org/officeDocument/2006/relationships/hyperlink" Target="https://ebookcentral-proquest-com.prx.library.gatech.edu/lib/gatech/reader.action?docID=4038514&amp;ppg=2" TargetMode="External"/><Relationship Id="rId17" Type="http://schemas.openxmlformats.org/officeDocument/2006/relationships/hyperlink" Target="http://www.catalog.gatech.edu/rules/4/" TargetMode="External"/><Relationship Id="rId2" Type="http://schemas.openxmlformats.org/officeDocument/2006/relationships/numbering" Target="numbering.xml"/><Relationship Id="rId16" Type="http://schemas.openxmlformats.org/officeDocument/2006/relationships/hyperlink" Target="http://mitpress.mit.edu/books/digitalhumanities-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eg.stanford.edu/upload/V3LessonPlans/Executive%20Summary%2011.21.16.pdf" TargetMode="External"/><Relationship Id="rId5" Type="http://schemas.openxmlformats.org/officeDocument/2006/relationships/settings" Target="settings.xml"/><Relationship Id="rId15" Type="http://schemas.openxmlformats.org/officeDocument/2006/relationships/hyperlink" Target="https://dmptool.org/dm_guidance" TargetMode="External"/><Relationship Id="rId10" Type="http://schemas.openxmlformats.org/officeDocument/2006/relationships/hyperlink" Target="https://uq.edu.au/student-services/pdf/learning/lit-reviews-for-rx-students-v7.pdf" TargetMode="External"/><Relationship Id="rId19" Type="http://schemas.openxmlformats.org/officeDocument/2006/relationships/hyperlink" Target="http://www.policylibrary.gatech.edu/student-affairs/academic-honor-code" TargetMode="External"/><Relationship Id="rId4" Type="http://schemas.microsoft.com/office/2007/relationships/stylesWithEffects" Target="stylesWithEffects.xml"/><Relationship Id="rId9" Type="http://schemas.openxmlformats.org/officeDocument/2006/relationships/hyperlink" Target="https://youtu.be/xLtk6n8cFdk" TargetMode="External"/><Relationship Id="rId14" Type="http://schemas.openxmlformats.org/officeDocument/2006/relationships/hyperlink" Target="https://openaccess.mpg.de/Berlin-Declaration" TargetMode="Externa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F7CB9-1F2A-4FC9-A166-E70E67D3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Shook, David J</dc:creator>
  <cp:lastModifiedBy>Windows User</cp:lastModifiedBy>
  <cp:revision>2</cp:revision>
  <dcterms:created xsi:type="dcterms:W3CDTF">2017-11-21T18:03:00Z</dcterms:created>
  <dcterms:modified xsi:type="dcterms:W3CDTF">2017-11-21T18:03:00Z</dcterms:modified>
</cp:coreProperties>
</file>