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14D12869"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7543C6">
        <w:rPr>
          <w:rFonts w:ascii="Arial" w:hAnsi="Arial" w:cs="Arial"/>
          <w:color w:val="333333"/>
          <w:sz w:val="20"/>
        </w:rPr>
        <w:t>5</w:t>
      </w:r>
    </w:p>
    <w:p w14:paraId="351A0714" w14:textId="6F35AC9E"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7543C6">
        <w:rPr>
          <w:rFonts w:ascii="Arial" w:hAnsi="Arial" w:cs="Arial"/>
          <w:color w:val="333333"/>
          <w:sz w:val="20"/>
        </w:rPr>
        <w:t>Brand and Visual Design</w:t>
      </w:r>
    </w:p>
    <w:p w14:paraId="6792A04B" w14:textId="2A793668"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7543C6">
        <w:rPr>
          <w:rFonts w:ascii="Arial" w:hAnsi="Arial" w:cs="Arial"/>
          <w:color w:val="333333"/>
          <w:sz w:val="20"/>
        </w:rPr>
        <w:t>3</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170F1BB1" w14:textId="77777777" w:rsidR="00DF7C92" w:rsidRDefault="00DF7C92" w:rsidP="006C7B2B">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3E398B69" w14:textId="5EE99888" w:rsidR="00DF7C92" w:rsidRDefault="00944D5F" w:rsidP="00DF7C92">
      <w:pPr>
        <w:rPr>
          <w:rFonts w:ascii="Arial" w:eastAsia="Verdana" w:hAnsi="Arial" w:cs="Arial"/>
          <w:color w:val="000000" w:themeColor="text1"/>
          <w:sz w:val="20"/>
        </w:rPr>
      </w:pPr>
      <w:r w:rsidRPr="00944D5F">
        <w:rPr>
          <w:rFonts w:ascii="Arial" w:eastAsia="Verdana" w:hAnsi="Arial" w:cs="Arial"/>
          <w:color w:val="000000" w:themeColor="text1"/>
          <w:sz w:val="20"/>
        </w:rPr>
        <w:t>This course introduces the principle of branding and visual identity. It emphasizes branded experiences in a service/ product portfolio context.</w:t>
      </w:r>
    </w:p>
    <w:p w14:paraId="21AC4C2A" w14:textId="77777777" w:rsidR="00944D5F" w:rsidRPr="00DF7C92" w:rsidRDefault="00944D5F" w:rsidP="00DF7C92">
      <w:pPr>
        <w:rPr>
          <w:rFonts w:eastAsia="Verdana"/>
        </w:rPr>
      </w:pPr>
    </w:p>
    <w:p w14:paraId="4A021384" w14:textId="77777777" w:rsidR="00944D5F" w:rsidRPr="00944D5F" w:rsidRDefault="00944D5F" w:rsidP="00944D5F">
      <w:pPr>
        <w:pStyle w:val="Default"/>
        <w:tabs>
          <w:tab w:val="left" w:pos="3060"/>
        </w:tabs>
        <w:rPr>
          <w:b/>
          <w:bCs/>
          <w:iCs/>
          <w:color w:val="000000" w:themeColor="text1"/>
          <w:sz w:val="20"/>
        </w:rPr>
      </w:pPr>
      <w:r w:rsidRPr="00944D5F">
        <w:rPr>
          <w:b/>
          <w:bCs/>
          <w:iCs/>
          <w:color w:val="000000" w:themeColor="text1"/>
          <w:sz w:val="20"/>
        </w:rPr>
        <w:t>Co-Requisites</w:t>
      </w:r>
    </w:p>
    <w:p w14:paraId="4CB398FA" w14:textId="77777777" w:rsidR="00944D5F" w:rsidRPr="00944D5F" w:rsidRDefault="00944D5F" w:rsidP="00944D5F">
      <w:pPr>
        <w:pStyle w:val="Default"/>
        <w:tabs>
          <w:tab w:val="left" w:pos="3060"/>
        </w:tabs>
        <w:rPr>
          <w:bCs/>
          <w:iCs/>
          <w:color w:val="000000" w:themeColor="text1"/>
          <w:sz w:val="20"/>
        </w:rPr>
      </w:pPr>
      <w:r w:rsidRPr="00944D5F">
        <w:rPr>
          <w:bCs/>
          <w:iCs/>
          <w:color w:val="000000" w:themeColor="text1"/>
          <w:sz w:val="20"/>
        </w:rPr>
        <w:t>ID6102, ID6104</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73280684" w14:textId="77777777" w:rsidR="00944D5F" w:rsidRPr="00944D5F" w:rsidRDefault="00944D5F" w:rsidP="00944D5F">
      <w:pPr>
        <w:pStyle w:val="ListParagraph"/>
        <w:numPr>
          <w:ilvl w:val="0"/>
          <w:numId w:val="11"/>
        </w:numPr>
        <w:rPr>
          <w:rFonts w:ascii="Arial" w:hAnsi="Arial" w:cs="Arial"/>
          <w:color w:val="000000" w:themeColor="text1"/>
          <w:sz w:val="20"/>
        </w:rPr>
      </w:pPr>
      <w:r w:rsidRPr="00944D5F">
        <w:rPr>
          <w:rFonts w:ascii="Arial" w:hAnsi="Arial" w:cs="Arial"/>
          <w:color w:val="000000" w:themeColor="text1"/>
          <w:sz w:val="20"/>
        </w:rPr>
        <w:t xml:space="preserve">Ability to analyze basic corporate identity elements and touchpoints </w:t>
      </w:r>
    </w:p>
    <w:p w14:paraId="618EE166" w14:textId="77777777" w:rsidR="00944D5F" w:rsidRPr="00944D5F" w:rsidRDefault="00944D5F" w:rsidP="00944D5F">
      <w:pPr>
        <w:pStyle w:val="ListParagraph"/>
        <w:numPr>
          <w:ilvl w:val="0"/>
          <w:numId w:val="11"/>
        </w:numPr>
        <w:rPr>
          <w:rFonts w:ascii="Arial" w:hAnsi="Arial" w:cs="Arial"/>
          <w:color w:val="000000" w:themeColor="text1"/>
          <w:sz w:val="20"/>
        </w:rPr>
      </w:pPr>
      <w:r w:rsidRPr="00944D5F">
        <w:rPr>
          <w:rFonts w:ascii="Arial" w:hAnsi="Arial" w:cs="Arial"/>
          <w:color w:val="000000" w:themeColor="text1"/>
          <w:sz w:val="20"/>
        </w:rPr>
        <w:t>Ability to apply branding principles to design deliverables</w:t>
      </w:r>
    </w:p>
    <w:p w14:paraId="4169F207" w14:textId="77777777" w:rsidR="00944D5F" w:rsidRPr="00944D5F" w:rsidRDefault="00944D5F" w:rsidP="00944D5F">
      <w:pPr>
        <w:pStyle w:val="ListParagraph"/>
        <w:numPr>
          <w:ilvl w:val="0"/>
          <w:numId w:val="11"/>
        </w:numPr>
        <w:rPr>
          <w:rFonts w:ascii="Arial" w:hAnsi="Arial" w:cs="Arial"/>
          <w:color w:val="000000" w:themeColor="text1"/>
          <w:sz w:val="20"/>
        </w:rPr>
      </w:pPr>
      <w:r w:rsidRPr="00944D5F">
        <w:rPr>
          <w:rFonts w:ascii="Arial" w:hAnsi="Arial" w:cs="Arial"/>
          <w:color w:val="000000" w:themeColor="text1"/>
          <w:sz w:val="20"/>
        </w:rPr>
        <w:t>Present an engaging original brand story</w:t>
      </w:r>
    </w:p>
    <w:p w14:paraId="020C6A34" w14:textId="77777777" w:rsidR="0018352E" w:rsidRPr="006C7B2B" w:rsidRDefault="0018352E" w:rsidP="006C7B2B">
      <w:pPr>
        <w:rPr>
          <w:rFonts w:ascii="Arial" w:hAnsi="Arial" w:cs="Arial"/>
          <w:b/>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3152F773" w14:textId="6F43A6CD" w:rsidR="0018352E" w:rsidRDefault="00944D5F" w:rsidP="006C7B2B">
      <w:pPr>
        <w:pStyle w:val="ListParagraph"/>
        <w:numPr>
          <w:ilvl w:val="0"/>
          <w:numId w:val="2"/>
        </w:numPr>
        <w:rPr>
          <w:rFonts w:ascii="Arial" w:eastAsia="Arial" w:hAnsi="Arial" w:cs="Arial"/>
          <w:sz w:val="20"/>
          <w:szCs w:val="20"/>
        </w:rPr>
      </w:pPr>
      <w:r>
        <w:rPr>
          <w:rFonts w:ascii="Arial" w:eastAsia="Arial" w:hAnsi="Arial" w:cs="Arial"/>
          <w:sz w:val="20"/>
          <w:szCs w:val="20"/>
        </w:rPr>
        <w:t>Lecture/Discussion</w:t>
      </w:r>
      <w:r w:rsidR="00CA5E36">
        <w:rPr>
          <w:rFonts w:ascii="Arial" w:eastAsia="Arial" w:hAnsi="Arial" w:cs="Arial"/>
          <w:sz w:val="20"/>
          <w:szCs w:val="20"/>
        </w:rPr>
        <w:t xml:space="preserve"> (3</w:t>
      </w:r>
      <w:r>
        <w:rPr>
          <w:rFonts w:ascii="Arial" w:eastAsia="Arial" w:hAnsi="Arial" w:cs="Arial"/>
          <w:sz w:val="20"/>
          <w:szCs w:val="20"/>
        </w:rPr>
        <w:t xml:space="preserve"> hour</w:t>
      </w:r>
      <w:r w:rsidR="00CA5E36">
        <w:rPr>
          <w:rFonts w:ascii="Arial" w:eastAsia="Arial" w:hAnsi="Arial" w:cs="Arial"/>
          <w:sz w:val="20"/>
          <w:szCs w:val="20"/>
        </w:rPr>
        <w:t>s</w:t>
      </w:r>
      <w:r w:rsidR="00080FD7" w:rsidRPr="006C7B2B">
        <w:rPr>
          <w:rFonts w:ascii="Arial" w:eastAsia="Arial" w:hAnsi="Arial" w:cs="Arial"/>
          <w:sz w:val="20"/>
          <w:szCs w:val="20"/>
        </w:rPr>
        <w:t>)</w:t>
      </w:r>
    </w:p>
    <w:p w14:paraId="1162F332" w14:textId="77777777" w:rsidR="00CA5E36" w:rsidRPr="00CA5E36" w:rsidRDefault="00CA5E36" w:rsidP="00CA5E36">
      <w:pPr>
        <w:pStyle w:val="ListParagraph"/>
        <w:rPr>
          <w:rFonts w:ascii="Arial" w:eastAsia="Arial" w:hAnsi="Arial" w:cs="Arial"/>
          <w:sz w:val="20"/>
          <w:szCs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173A2E87" w14:textId="71D32EB3" w:rsidR="00506BE2" w:rsidRDefault="00944D5F" w:rsidP="00944D5F">
      <w:pPr>
        <w:pStyle w:val="ListParagraph"/>
        <w:numPr>
          <w:ilvl w:val="0"/>
          <w:numId w:val="12"/>
        </w:numPr>
        <w:pBdr>
          <w:top w:val="nil"/>
          <w:left w:val="nil"/>
          <w:bottom w:val="nil"/>
          <w:right w:val="nil"/>
          <w:between w:val="nil"/>
        </w:pBdr>
        <w:spacing w:line="240" w:lineRule="auto"/>
        <w:rPr>
          <w:rFonts w:ascii="Arial" w:hAnsi="Arial" w:cs="Arial"/>
          <w:color w:val="000000" w:themeColor="text1"/>
          <w:sz w:val="20"/>
        </w:rPr>
      </w:pPr>
      <w:r w:rsidRPr="00944D5F">
        <w:rPr>
          <w:rFonts w:ascii="Arial" w:hAnsi="Arial" w:cs="Arial"/>
          <w:color w:val="000000" w:themeColor="text1"/>
          <w:sz w:val="20"/>
        </w:rPr>
        <w:t>Wheeler, Alina; Designing Brand Identity: An Essential Guide for the Whole Branding Team, 4th Edition</w:t>
      </w:r>
    </w:p>
    <w:p w14:paraId="2CED30CF" w14:textId="77777777" w:rsidR="00944D5F" w:rsidRPr="00944D5F" w:rsidRDefault="00944D5F" w:rsidP="00944D5F">
      <w:pPr>
        <w:pStyle w:val="ListParagraph"/>
        <w:pBdr>
          <w:top w:val="nil"/>
          <w:left w:val="nil"/>
          <w:bottom w:val="nil"/>
          <w:right w:val="nil"/>
          <w:between w:val="nil"/>
        </w:pBdr>
        <w:spacing w:line="240" w:lineRule="auto"/>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77264192" w14:textId="77777777" w:rsidR="00AB3B87" w:rsidRDefault="00AB3B87" w:rsidP="00AB3B87">
      <w:pPr>
        <w:rPr>
          <w:rFonts w:ascii="Arial" w:hAnsi="Arial" w:cs="Arial"/>
          <w:color w:val="000000" w:themeColor="text1"/>
          <w:sz w:val="20"/>
        </w:rPr>
      </w:pPr>
    </w:p>
    <w:p w14:paraId="0B1B26D0" w14:textId="1064693F" w:rsidR="00080FD7" w:rsidRDefault="00506BE2" w:rsidP="00AB3B87">
      <w:pPr>
        <w:rPr>
          <w:rFonts w:ascii="Arial" w:hAnsi="Arial" w:cs="Arial"/>
          <w:b/>
          <w:sz w:val="20"/>
        </w:rPr>
      </w:pPr>
      <w:r>
        <w:rPr>
          <w:rFonts w:ascii="Arial" w:hAnsi="Arial" w:cs="Arial"/>
          <w:b/>
          <w:sz w:val="20"/>
        </w:rPr>
        <w:t>Grading</w:t>
      </w:r>
    </w:p>
    <w:p w14:paraId="7A846C5B" w14:textId="77777777" w:rsidR="00944D5F" w:rsidRPr="006C7B2B" w:rsidRDefault="00944D5F" w:rsidP="00AB3B87">
      <w:pPr>
        <w:rPr>
          <w:rFonts w:ascii="Arial" w:hAnsi="Arial" w:cs="Arial"/>
          <w:b/>
          <w:sz w:val="20"/>
        </w:rPr>
      </w:pP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944D5F" w:rsidRPr="00765348" w14:paraId="7F885681" w14:textId="77777777" w:rsidTr="005B3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EFC162B" w14:textId="77777777" w:rsidR="00944D5F" w:rsidRPr="00765348" w:rsidRDefault="00944D5F" w:rsidP="005B3E72">
            <w:pPr>
              <w:rPr>
                <w:color w:val="262626" w:themeColor="text1" w:themeTint="D9"/>
                <w:szCs w:val="20"/>
              </w:rPr>
            </w:pPr>
            <w:r w:rsidRPr="00765348">
              <w:rPr>
                <w:color w:val="262626" w:themeColor="text1" w:themeTint="D9"/>
                <w:szCs w:val="20"/>
              </w:rPr>
              <w:t xml:space="preserve">Assignment </w:t>
            </w:r>
          </w:p>
        </w:tc>
        <w:tc>
          <w:tcPr>
            <w:tcW w:w="2070" w:type="dxa"/>
          </w:tcPr>
          <w:p w14:paraId="57EB73DE" w14:textId="77777777" w:rsidR="00944D5F" w:rsidRPr="00765348" w:rsidRDefault="00944D5F" w:rsidP="005B3E72">
            <w:pPr>
              <w:cnfStyle w:val="100000000000" w:firstRow="1" w:lastRow="0" w:firstColumn="0" w:lastColumn="0" w:oddVBand="0" w:evenVBand="0" w:oddHBand="0" w:evenHBand="0" w:firstRowFirstColumn="0" w:firstRowLastColumn="0" w:lastRowFirstColumn="0" w:lastRowLastColumn="0"/>
              <w:rPr>
                <w:color w:val="262626" w:themeColor="text1" w:themeTint="D9"/>
                <w:szCs w:val="20"/>
              </w:rPr>
            </w:pPr>
            <w:r w:rsidRPr="00765348">
              <w:rPr>
                <w:color w:val="262626" w:themeColor="text1" w:themeTint="D9"/>
                <w:szCs w:val="20"/>
              </w:rPr>
              <w:t>Date</w:t>
            </w:r>
          </w:p>
        </w:tc>
        <w:tc>
          <w:tcPr>
            <w:tcW w:w="5414" w:type="dxa"/>
          </w:tcPr>
          <w:p w14:paraId="7EC8FC69" w14:textId="77777777" w:rsidR="00944D5F" w:rsidRPr="00765348" w:rsidRDefault="00944D5F" w:rsidP="005B3E72">
            <w:pPr>
              <w:cnfStyle w:val="100000000000" w:firstRow="1" w:lastRow="0" w:firstColumn="0" w:lastColumn="0" w:oddVBand="0" w:evenVBand="0" w:oddHBand="0" w:evenHBand="0" w:firstRowFirstColumn="0" w:firstRowLastColumn="0" w:lastRowFirstColumn="0" w:lastRowLastColumn="0"/>
              <w:rPr>
                <w:color w:val="262626" w:themeColor="text1" w:themeTint="D9"/>
                <w:szCs w:val="20"/>
              </w:rPr>
            </w:pPr>
            <w:r w:rsidRPr="00765348">
              <w:rPr>
                <w:color w:val="262626" w:themeColor="text1" w:themeTint="D9"/>
                <w:szCs w:val="20"/>
              </w:rPr>
              <w:t>Weight (Percentage, points, etc)</w:t>
            </w:r>
          </w:p>
        </w:tc>
      </w:tr>
      <w:tr w:rsidR="00944D5F" w:rsidRPr="00765348" w14:paraId="765898FC" w14:textId="77777777" w:rsidTr="005B3E72">
        <w:tc>
          <w:tcPr>
            <w:cnfStyle w:val="001000000000" w:firstRow="0" w:lastRow="0" w:firstColumn="1" w:lastColumn="0" w:oddVBand="0" w:evenVBand="0" w:oddHBand="0" w:evenHBand="0" w:firstRowFirstColumn="0" w:firstRowLastColumn="0" w:lastRowFirstColumn="0" w:lastRowLastColumn="0"/>
            <w:tcW w:w="2250" w:type="dxa"/>
          </w:tcPr>
          <w:p w14:paraId="2C6B9790" w14:textId="77777777" w:rsidR="00944D5F" w:rsidRPr="00765348" w:rsidRDefault="00944D5F" w:rsidP="005B3E72">
            <w:pPr>
              <w:rPr>
                <w:sz w:val="20"/>
                <w:szCs w:val="20"/>
              </w:rPr>
            </w:pPr>
            <w:r w:rsidRPr="00765348">
              <w:rPr>
                <w:sz w:val="20"/>
                <w:szCs w:val="20"/>
              </w:rPr>
              <w:t>Phase/Project One</w:t>
            </w:r>
          </w:p>
        </w:tc>
        <w:tc>
          <w:tcPr>
            <w:tcW w:w="2070" w:type="dxa"/>
          </w:tcPr>
          <w:p w14:paraId="36A23D2A"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WK 1-4</w:t>
            </w:r>
          </w:p>
        </w:tc>
        <w:tc>
          <w:tcPr>
            <w:tcW w:w="5414" w:type="dxa"/>
          </w:tcPr>
          <w:p w14:paraId="09114389"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15%</w:t>
            </w:r>
          </w:p>
        </w:tc>
      </w:tr>
      <w:tr w:rsidR="00944D5F" w:rsidRPr="00765348" w14:paraId="0566C458" w14:textId="77777777" w:rsidTr="005B3E72">
        <w:tc>
          <w:tcPr>
            <w:cnfStyle w:val="001000000000" w:firstRow="0" w:lastRow="0" w:firstColumn="1" w:lastColumn="0" w:oddVBand="0" w:evenVBand="0" w:oddHBand="0" w:evenHBand="0" w:firstRowFirstColumn="0" w:firstRowLastColumn="0" w:lastRowFirstColumn="0" w:lastRowLastColumn="0"/>
            <w:tcW w:w="2250" w:type="dxa"/>
          </w:tcPr>
          <w:p w14:paraId="3FF200EB" w14:textId="77777777" w:rsidR="00944D5F" w:rsidRPr="00765348" w:rsidRDefault="00944D5F" w:rsidP="005B3E72">
            <w:pPr>
              <w:rPr>
                <w:sz w:val="20"/>
                <w:szCs w:val="20"/>
              </w:rPr>
            </w:pPr>
            <w:r w:rsidRPr="00765348">
              <w:rPr>
                <w:sz w:val="20"/>
                <w:szCs w:val="20"/>
              </w:rPr>
              <w:t>Phase Two</w:t>
            </w:r>
          </w:p>
        </w:tc>
        <w:tc>
          <w:tcPr>
            <w:tcW w:w="2070" w:type="dxa"/>
          </w:tcPr>
          <w:p w14:paraId="421A1D80"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WK 5-9</w:t>
            </w:r>
          </w:p>
        </w:tc>
        <w:tc>
          <w:tcPr>
            <w:tcW w:w="5414" w:type="dxa"/>
          </w:tcPr>
          <w:p w14:paraId="7EEA8113"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25%</w:t>
            </w:r>
          </w:p>
        </w:tc>
      </w:tr>
      <w:tr w:rsidR="00944D5F" w:rsidRPr="00765348" w14:paraId="2400000E" w14:textId="77777777" w:rsidTr="005B3E72">
        <w:tc>
          <w:tcPr>
            <w:cnfStyle w:val="001000000000" w:firstRow="0" w:lastRow="0" w:firstColumn="1" w:lastColumn="0" w:oddVBand="0" w:evenVBand="0" w:oddHBand="0" w:evenHBand="0" w:firstRowFirstColumn="0" w:firstRowLastColumn="0" w:lastRowFirstColumn="0" w:lastRowLastColumn="0"/>
            <w:tcW w:w="2250" w:type="dxa"/>
          </w:tcPr>
          <w:p w14:paraId="528722FC" w14:textId="77777777" w:rsidR="00944D5F" w:rsidRPr="00765348" w:rsidRDefault="00944D5F" w:rsidP="005B3E72">
            <w:pPr>
              <w:rPr>
                <w:sz w:val="20"/>
                <w:szCs w:val="20"/>
              </w:rPr>
            </w:pPr>
            <w:r w:rsidRPr="00765348">
              <w:rPr>
                <w:sz w:val="20"/>
                <w:szCs w:val="20"/>
              </w:rPr>
              <w:t xml:space="preserve">Phase Three </w:t>
            </w:r>
          </w:p>
        </w:tc>
        <w:tc>
          <w:tcPr>
            <w:tcW w:w="2070" w:type="dxa"/>
          </w:tcPr>
          <w:p w14:paraId="2555EE2C"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WK 9-16</w:t>
            </w:r>
          </w:p>
        </w:tc>
        <w:tc>
          <w:tcPr>
            <w:tcW w:w="5414" w:type="dxa"/>
          </w:tcPr>
          <w:p w14:paraId="6C9ED28B" w14:textId="77777777" w:rsidR="00944D5F" w:rsidRPr="00765348" w:rsidRDefault="00944D5F" w:rsidP="005B3E72">
            <w:pPr>
              <w:cnfStyle w:val="000000000000" w:firstRow="0" w:lastRow="0" w:firstColumn="0" w:lastColumn="0" w:oddVBand="0" w:evenVBand="0" w:oddHBand="0" w:evenHBand="0" w:firstRowFirstColumn="0" w:firstRowLastColumn="0" w:lastRowFirstColumn="0" w:lastRowLastColumn="0"/>
              <w:rPr>
                <w:sz w:val="20"/>
                <w:szCs w:val="20"/>
              </w:rPr>
            </w:pPr>
            <w:r w:rsidRPr="00765348">
              <w:rPr>
                <w:sz w:val="20"/>
                <w:szCs w:val="20"/>
              </w:rPr>
              <w:t>60%</w:t>
            </w:r>
          </w:p>
        </w:tc>
      </w:tr>
    </w:tbl>
    <w:p w14:paraId="59A7195A" w14:textId="77777777" w:rsidR="00944D5F" w:rsidRDefault="00944D5F" w:rsidP="006C7B2B">
      <w:pPr>
        <w:rPr>
          <w:rFonts w:ascii="Arial" w:hAnsi="Arial" w:cs="Arial"/>
          <w:b/>
          <w:color w:val="000000" w:themeColor="text1"/>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lastRenderedPageBreak/>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Style w:val="SyllabusTable-withBorders"/>
        <w:tblW w:w="0" w:type="auto"/>
        <w:tblLook w:val="04A0" w:firstRow="1" w:lastRow="0" w:firstColumn="1" w:lastColumn="0" w:noHBand="0" w:noVBand="1"/>
      </w:tblPr>
      <w:tblGrid>
        <w:gridCol w:w="877"/>
        <w:gridCol w:w="1393"/>
        <w:gridCol w:w="3070"/>
        <w:gridCol w:w="1650"/>
        <w:gridCol w:w="1650"/>
      </w:tblGrid>
      <w:tr w:rsidR="00944D5F" w:rsidRPr="005B00C7" w14:paraId="331B4326" w14:textId="77777777" w:rsidTr="005B3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3E7FA2F7" w14:textId="77777777" w:rsidR="00944D5F" w:rsidRPr="005B00C7" w:rsidRDefault="00944D5F" w:rsidP="00944D5F">
            <w:pPr>
              <w:rPr>
                <w:color w:val="000000" w:themeColor="text1"/>
              </w:rPr>
            </w:pPr>
            <w:r w:rsidRPr="005B00C7">
              <w:rPr>
                <w:color w:val="000000" w:themeColor="text1"/>
              </w:rPr>
              <w:t>Week</w:t>
            </w:r>
          </w:p>
        </w:tc>
        <w:tc>
          <w:tcPr>
            <w:tcW w:w="1742" w:type="dxa"/>
          </w:tcPr>
          <w:p w14:paraId="419BA1B1" w14:textId="77777777" w:rsidR="00944D5F" w:rsidRPr="005B00C7" w:rsidRDefault="00944D5F" w:rsidP="00944D5F">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3559" w:type="dxa"/>
          </w:tcPr>
          <w:p w14:paraId="0A96D37A" w14:textId="77777777" w:rsidR="00944D5F" w:rsidRPr="005B00C7" w:rsidRDefault="00944D5F" w:rsidP="00944D5F">
            <w:pPr>
              <w:cnfStyle w:val="100000000000" w:firstRow="1" w:lastRow="0" w:firstColumn="0" w:lastColumn="0" w:oddVBand="0" w:evenVBand="0" w:oddHBand="0" w:evenHBand="0" w:firstRowFirstColumn="0" w:firstRowLastColumn="0" w:lastRowFirstColumn="0" w:lastRowLastColumn="0"/>
              <w:rPr>
                <w:color w:val="000000" w:themeColor="text1"/>
              </w:rPr>
            </w:pPr>
            <w:r w:rsidRPr="005B00C7">
              <w:rPr>
                <w:color w:val="000000" w:themeColor="text1"/>
              </w:rPr>
              <w:t>Topic during class</w:t>
            </w:r>
          </w:p>
        </w:tc>
        <w:tc>
          <w:tcPr>
            <w:tcW w:w="1742" w:type="dxa"/>
          </w:tcPr>
          <w:p w14:paraId="573BB06F" w14:textId="77777777" w:rsidR="00944D5F" w:rsidRPr="005B00C7" w:rsidRDefault="00944D5F" w:rsidP="00944D5F">
            <w:pPr>
              <w:cnfStyle w:val="100000000000" w:firstRow="1" w:lastRow="0" w:firstColumn="0" w:lastColumn="0" w:oddVBand="0" w:evenVBand="0" w:oddHBand="0" w:evenHBand="0" w:firstRowFirstColumn="0" w:firstRowLastColumn="0" w:lastRowFirstColumn="0" w:lastRowLastColumn="0"/>
              <w:rPr>
                <w:color w:val="000000" w:themeColor="text1"/>
              </w:rPr>
            </w:pPr>
            <w:r w:rsidRPr="005B00C7">
              <w:rPr>
                <w:color w:val="000000" w:themeColor="text1"/>
              </w:rPr>
              <w:t>Homework</w:t>
            </w:r>
          </w:p>
        </w:tc>
        <w:tc>
          <w:tcPr>
            <w:tcW w:w="1742" w:type="dxa"/>
          </w:tcPr>
          <w:p w14:paraId="27EC663F" w14:textId="77777777" w:rsidR="00944D5F" w:rsidRPr="005B00C7" w:rsidRDefault="00944D5F" w:rsidP="00944D5F">
            <w:pPr>
              <w:cnfStyle w:val="100000000000" w:firstRow="1" w:lastRow="0" w:firstColumn="0" w:lastColumn="0" w:oddVBand="0" w:evenVBand="0" w:oddHBand="0" w:evenHBand="0" w:firstRowFirstColumn="0" w:firstRowLastColumn="0" w:lastRowFirstColumn="0" w:lastRowLastColumn="0"/>
              <w:rPr>
                <w:color w:val="000000" w:themeColor="text1"/>
              </w:rPr>
            </w:pPr>
            <w:r w:rsidRPr="005B00C7">
              <w:rPr>
                <w:color w:val="000000" w:themeColor="text1"/>
              </w:rPr>
              <w:t>Assignments Due</w:t>
            </w:r>
          </w:p>
        </w:tc>
      </w:tr>
      <w:tr w:rsidR="00944D5F" w14:paraId="3ADFA5ED" w14:textId="77777777" w:rsidTr="00944D5F">
        <w:trPr>
          <w:trHeight w:val="908"/>
        </w:trPr>
        <w:tc>
          <w:tcPr>
            <w:cnfStyle w:val="001000000000" w:firstRow="0" w:lastRow="0" w:firstColumn="1" w:lastColumn="0" w:oddVBand="0" w:evenVBand="0" w:oddHBand="0" w:evenHBand="0" w:firstRowFirstColumn="0" w:firstRowLastColumn="0" w:lastRowFirstColumn="0" w:lastRowLastColumn="0"/>
            <w:tcW w:w="949" w:type="dxa"/>
          </w:tcPr>
          <w:p w14:paraId="37EBCE7D" w14:textId="77777777" w:rsidR="00944D5F" w:rsidRPr="00554611" w:rsidRDefault="00944D5F" w:rsidP="00944D5F">
            <w:pPr>
              <w:rPr>
                <w:b w:val="0"/>
                <w:color w:val="404040" w:themeColor="text1" w:themeTint="BF"/>
                <w:lang w:eastAsia="en-US"/>
              </w:rPr>
            </w:pPr>
            <w:r>
              <w:rPr>
                <w:b w:val="0"/>
                <w:color w:val="404040" w:themeColor="text1" w:themeTint="BF"/>
                <w:lang w:eastAsia="en-US"/>
              </w:rPr>
              <w:t>1</w:t>
            </w:r>
          </w:p>
        </w:tc>
        <w:tc>
          <w:tcPr>
            <w:tcW w:w="1742" w:type="dxa"/>
          </w:tcPr>
          <w:p w14:paraId="6C5D686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i/>
                <w:iCs/>
                <w:lang w:eastAsia="en-US"/>
              </w:rPr>
            </w:pPr>
          </w:p>
        </w:tc>
        <w:tc>
          <w:tcPr>
            <w:tcW w:w="3559" w:type="dxa"/>
          </w:tcPr>
          <w:p w14:paraId="567B0CD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sidRPr="008252A8">
              <w:rPr>
                <w:b/>
                <w:lang w:eastAsia="en-US"/>
              </w:rPr>
              <w:t xml:space="preserve">PHASE 1: </w:t>
            </w:r>
            <w:r>
              <w:rPr>
                <w:b/>
                <w:lang w:eastAsia="en-US"/>
              </w:rPr>
              <w:t>BRAND BUILDING BLOCKS</w:t>
            </w:r>
            <w:r>
              <w:rPr>
                <w:lang w:eastAsia="en-US"/>
              </w:rPr>
              <w:br/>
              <w:t>Language of visual design</w:t>
            </w:r>
            <w:r w:rsidRPr="00554611">
              <w:rPr>
                <w:lang w:eastAsia="en-US"/>
              </w:rPr>
              <w:t xml:space="preserve"> </w:t>
            </w:r>
          </w:p>
        </w:tc>
        <w:tc>
          <w:tcPr>
            <w:tcW w:w="1742" w:type="dxa"/>
          </w:tcPr>
          <w:p w14:paraId="49A84A4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i/>
                <w:iCs/>
                <w:lang w:eastAsia="en-US"/>
              </w:rPr>
            </w:pPr>
            <w:r w:rsidRPr="00554611">
              <w:rPr>
                <w:i/>
                <w:iCs/>
                <w:lang w:eastAsia="en-US"/>
              </w:rPr>
              <w:t>See project documentation</w:t>
            </w:r>
          </w:p>
        </w:tc>
        <w:tc>
          <w:tcPr>
            <w:tcW w:w="1742" w:type="dxa"/>
          </w:tcPr>
          <w:p w14:paraId="58366C25"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i/>
                <w:iCs/>
                <w:lang w:eastAsia="en-US"/>
              </w:rPr>
            </w:pPr>
            <w:r w:rsidRPr="00554611">
              <w:rPr>
                <w:i/>
                <w:iCs/>
                <w:lang w:eastAsia="en-US"/>
              </w:rPr>
              <w:t>See project documentation</w:t>
            </w:r>
          </w:p>
        </w:tc>
      </w:tr>
      <w:tr w:rsidR="00944D5F" w14:paraId="0AD9818C" w14:textId="77777777" w:rsidTr="00944D5F">
        <w:trPr>
          <w:trHeight w:val="485"/>
        </w:trPr>
        <w:tc>
          <w:tcPr>
            <w:cnfStyle w:val="001000000000" w:firstRow="0" w:lastRow="0" w:firstColumn="1" w:lastColumn="0" w:oddVBand="0" w:evenVBand="0" w:oddHBand="0" w:evenHBand="0" w:firstRowFirstColumn="0" w:firstRowLastColumn="0" w:lastRowFirstColumn="0" w:lastRowLastColumn="0"/>
            <w:tcW w:w="949" w:type="dxa"/>
          </w:tcPr>
          <w:p w14:paraId="30ED50D0" w14:textId="77777777" w:rsidR="00944D5F" w:rsidRPr="00554611" w:rsidRDefault="00944D5F" w:rsidP="00944D5F">
            <w:pPr>
              <w:rPr>
                <w:b w:val="0"/>
                <w:color w:val="404040" w:themeColor="text1" w:themeTint="BF"/>
                <w:lang w:eastAsia="en-US"/>
              </w:rPr>
            </w:pPr>
            <w:r>
              <w:rPr>
                <w:b w:val="0"/>
                <w:color w:val="404040" w:themeColor="text1" w:themeTint="BF"/>
                <w:lang w:eastAsia="en-US"/>
              </w:rPr>
              <w:t>2</w:t>
            </w:r>
          </w:p>
        </w:tc>
        <w:tc>
          <w:tcPr>
            <w:tcW w:w="1742" w:type="dxa"/>
          </w:tcPr>
          <w:p w14:paraId="1B41FBA1"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52BF1B5B" w14:textId="63631E48"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Visual Composition Building Blocks</w:t>
            </w:r>
          </w:p>
        </w:tc>
        <w:tc>
          <w:tcPr>
            <w:tcW w:w="1742" w:type="dxa"/>
          </w:tcPr>
          <w:p w14:paraId="088958DD"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1822D1DB"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105A0D61"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50665A4F" w14:textId="5ABD0EF2" w:rsidR="00944D5F" w:rsidRPr="00554611" w:rsidRDefault="00944D5F" w:rsidP="00944D5F">
            <w:pPr>
              <w:rPr>
                <w:b w:val="0"/>
                <w:color w:val="404040" w:themeColor="text1" w:themeTint="BF"/>
                <w:lang w:eastAsia="en-US"/>
              </w:rPr>
            </w:pPr>
            <w:r>
              <w:rPr>
                <w:b w:val="0"/>
                <w:color w:val="404040" w:themeColor="text1" w:themeTint="BF"/>
                <w:lang w:eastAsia="en-US"/>
              </w:rPr>
              <w:t>3</w:t>
            </w:r>
          </w:p>
        </w:tc>
        <w:tc>
          <w:tcPr>
            <w:tcW w:w="1742" w:type="dxa"/>
          </w:tcPr>
          <w:p w14:paraId="01A357C1"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6E373CF8" w14:textId="60348AC8"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Typography Building Blocks</w:t>
            </w:r>
          </w:p>
        </w:tc>
        <w:tc>
          <w:tcPr>
            <w:tcW w:w="1742" w:type="dxa"/>
          </w:tcPr>
          <w:p w14:paraId="582AE68F"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00DBEE85"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4C0DAD5C"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075BA6F7" w14:textId="21F33029" w:rsidR="00944D5F" w:rsidRPr="00554611" w:rsidRDefault="00944D5F" w:rsidP="00944D5F">
            <w:pPr>
              <w:rPr>
                <w:b w:val="0"/>
                <w:color w:val="404040" w:themeColor="text1" w:themeTint="BF"/>
                <w:lang w:eastAsia="en-US"/>
              </w:rPr>
            </w:pPr>
            <w:r>
              <w:rPr>
                <w:b w:val="0"/>
                <w:color w:val="404040" w:themeColor="text1" w:themeTint="BF"/>
                <w:lang w:eastAsia="en-US"/>
              </w:rPr>
              <w:t>4</w:t>
            </w:r>
          </w:p>
        </w:tc>
        <w:tc>
          <w:tcPr>
            <w:tcW w:w="1742" w:type="dxa"/>
          </w:tcPr>
          <w:p w14:paraId="6220FA91"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03160804" w14:textId="098B4AFF"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Color Building Blocks</w:t>
            </w:r>
          </w:p>
        </w:tc>
        <w:tc>
          <w:tcPr>
            <w:tcW w:w="1742" w:type="dxa"/>
          </w:tcPr>
          <w:p w14:paraId="7F3E40D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124A6B93"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3900DD5E"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4A80071B" w14:textId="161FFCA4" w:rsidR="00944D5F" w:rsidRPr="00554611" w:rsidRDefault="00944D5F" w:rsidP="00944D5F">
            <w:pPr>
              <w:rPr>
                <w:b w:val="0"/>
                <w:color w:val="404040" w:themeColor="text1" w:themeTint="BF"/>
                <w:lang w:eastAsia="en-US"/>
              </w:rPr>
            </w:pPr>
            <w:r>
              <w:rPr>
                <w:b w:val="0"/>
                <w:color w:val="404040" w:themeColor="text1" w:themeTint="BF"/>
                <w:lang w:eastAsia="en-US"/>
              </w:rPr>
              <w:t>5</w:t>
            </w:r>
          </w:p>
        </w:tc>
        <w:tc>
          <w:tcPr>
            <w:tcW w:w="1742" w:type="dxa"/>
          </w:tcPr>
          <w:p w14:paraId="2C9D79B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02BE99FC" w14:textId="3FC8D1A8"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Shape, Iconography and Imagery Building Blocks</w:t>
            </w:r>
          </w:p>
        </w:tc>
        <w:tc>
          <w:tcPr>
            <w:tcW w:w="1742" w:type="dxa"/>
          </w:tcPr>
          <w:p w14:paraId="65260760"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7EF5DBDE"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5C289D86"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3A775D27" w14:textId="642BD48D" w:rsidR="00944D5F" w:rsidRPr="00554611" w:rsidRDefault="00944D5F" w:rsidP="00944D5F">
            <w:pPr>
              <w:rPr>
                <w:b w:val="0"/>
                <w:color w:val="404040" w:themeColor="text1" w:themeTint="BF"/>
                <w:lang w:eastAsia="en-US"/>
              </w:rPr>
            </w:pPr>
            <w:r>
              <w:rPr>
                <w:b w:val="0"/>
                <w:color w:val="404040" w:themeColor="text1" w:themeTint="BF"/>
                <w:lang w:eastAsia="en-US"/>
              </w:rPr>
              <w:t>6</w:t>
            </w:r>
          </w:p>
        </w:tc>
        <w:tc>
          <w:tcPr>
            <w:tcW w:w="1742" w:type="dxa"/>
          </w:tcPr>
          <w:p w14:paraId="103D789D"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2148D18A" w14:textId="77777777" w:rsidR="00944D5F" w:rsidRPr="00277565"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color w:val="auto"/>
                <w:lang w:eastAsia="zh-CN" w:bidi="th-TH"/>
              </w:rPr>
              <w:t xml:space="preserve">Visual Storytelling </w:t>
            </w:r>
            <w:r>
              <w:rPr>
                <w:lang w:eastAsia="en-US"/>
              </w:rPr>
              <w:t>Building Blocks</w:t>
            </w:r>
          </w:p>
        </w:tc>
        <w:tc>
          <w:tcPr>
            <w:tcW w:w="1742" w:type="dxa"/>
          </w:tcPr>
          <w:p w14:paraId="019B5EF2"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40962C2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599F1A55"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54EF72B6" w14:textId="00860F2D" w:rsidR="00944D5F" w:rsidRPr="00554611" w:rsidRDefault="00944D5F" w:rsidP="00944D5F">
            <w:pPr>
              <w:rPr>
                <w:b w:val="0"/>
                <w:color w:val="404040" w:themeColor="text1" w:themeTint="BF"/>
                <w:lang w:eastAsia="en-US"/>
              </w:rPr>
            </w:pPr>
            <w:r>
              <w:rPr>
                <w:b w:val="0"/>
                <w:color w:val="404040" w:themeColor="text1" w:themeTint="BF"/>
                <w:lang w:eastAsia="en-US"/>
              </w:rPr>
              <w:t>7</w:t>
            </w:r>
          </w:p>
        </w:tc>
        <w:tc>
          <w:tcPr>
            <w:tcW w:w="1742" w:type="dxa"/>
          </w:tcPr>
          <w:p w14:paraId="01108E4E"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7330062C"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sidRPr="008252A8">
              <w:rPr>
                <w:b/>
                <w:lang w:eastAsia="en-US"/>
              </w:rPr>
              <w:t xml:space="preserve">PHASE </w:t>
            </w:r>
            <w:r>
              <w:rPr>
                <w:b/>
                <w:lang w:eastAsia="en-US"/>
              </w:rPr>
              <w:t>2</w:t>
            </w:r>
            <w:r w:rsidRPr="008252A8">
              <w:rPr>
                <w:b/>
                <w:lang w:eastAsia="en-US"/>
              </w:rPr>
              <w:t xml:space="preserve">: </w:t>
            </w:r>
            <w:r>
              <w:rPr>
                <w:b/>
                <w:lang w:eastAsia="en-US"/>
              </w:rPr>
              <w:t>BRAND ANALYSIS</w:t>
            </w:r>
            <w:r>
              <w:rPr>
                <w:lang w:eastAsia="en-US"/>
              </w:rPr>
              <w:br/>
              <w:t>Branding and Corporate Identity</w:t>
            </w:r>
          </w:p>
        </w:tc>
        <w:tc>
          <w:tcPr>
            <w:tcW w:w="1742" w:type="dxa"/>
          </w:tcPr>
          <w:p w14:paraId="1469BCE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7808C9C"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7FDB366E"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7A200926" w14:textId="3200DEAE" w:rsidR="00944D5F" w:rsidRPr="00554611" w:rsidRDefault="00944D5F" w:rsidP="00944D5F">
            <w:pPr>
              <w:rPr>
                <w:b w:val="0"/>
                <w:color w:val="404040" w:themeColor="text1" w:themeTint="BF"/>
                <w:lang w:eastAsia="en-US"/>
              </w:rPr>
            </w:pPr>
            <w:r>
              <w:rPr>
                <w:b w:val="0"/>
                <w:color w:val="404040" w:themeColor="text1" w:themeTint="BF"/>
                <w:lang w:eastAsia="en-US"/>
              </w:rPr>
              <w:t>8</w:t>
            </w:r>
          </w:p>
        </w:tc>
        <w:tc>
          <w:tcPr>
            <w:tcW w:w="1742" w:type="dxa"/>
          </w:tcPr>
          <w:p w14:paraId="3A0BFE80"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792F4C8A"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rFonts w:cs="Times New Roman"/>
              </w:rPr>
              <w:t>Understanding Brand Touch Points</w:t>
            </w:r>
          </w:p>
        </w:tc>
        <w:tc>
          <w:tcPr>
            <w:tcW w:w="1742" w:type="dxa"/>
          </w:tcPr>
          <w:p w14:paraId="26983462"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81E5CCF"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36EB562C"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583B19DE" w14:textId="666B8EEE" w:rsidR="00944D5F" w:rsidRPr="00554611" w:rsidRDefault="00944D5F" w:rsidP="00944D5F">
            <w:pPr>
              <w:rPr>
                <w:b w:val="0"/>
                <w:color w:val="404040" w:themeColor="text1" w:themeTint="BF"/>
                <w:lang w:eastAsia="en-US"/>
              </w:rPr>
            </w:pPr>
            <w:r>
              <w:rPr>
                <w:b w:val="0"/>
                <w:color w:val="404040" w:themeColor="text1" w:themeTint="BF"/>
                <w:lang w:eastAsia="en-US"/>
              </w:rPr>
              <w:t>9</w:t>
            </w:r>
          </w:p>
        </w:tc>
        <w:tc>
          <w:tcPr>
            <w:tcW w:w="1742" w:type="dxa"/>
          </w:tcPr>
          <w:p w14:paraId="6E5C3AE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634CA74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Brand Analysis</w:t>
            </w:r>
          </w:p>
        </w:tc>
        <w:tc>
          <w:tcPr>
            <w:tcW w:w="1742" w:type="dxa"/>
          </w:tcPr>
          <w:p w14:paraId="0EBA364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18C0C8FD"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30A7454F"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5841C61D" w14:textId="47571E02" w:rsidR="00944D5F" w:rsidRPr="00554611" w:rsidRDefault="00944D5F" w:rsidP="00944D5F">
            <w:pPr>
              <w:rPr>
                <w:b w:val="0"/>
                <w:color w:val="404040" w:themeColor="text1" w:themeTint="BF"/>
                <w:lang w:eastAsia="en-US"/>
              </w:rPr>
            </w:pPr>
            <w:r>
              <w:rPr>
                <w:b w:val="0"/>
                <w:color w:val="404040" w:themeColor="text1" w:themeTint="BF"/>
                <w:lang w:eastAsia="en-US"/>
              </w:rPr>
              <w:t>10</w:t>
            </w:r>
          </w:p>
        </w:tc>
        <w:tc>
          <w:tcPr>
            <w:tcW w:w="1742" w:type="dxa"/>
          </w:tcPr>
          <w:p w14:paraId="6E5A1C0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102ADA98" w14:textId="7427174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Business Value and Business Model Canvas</w:t>
            </w:r>
          </w:p>
        </w:tc>
        <w:tc>
          <w:tcPr>
            <w:tcW w:w="1742" w:type="dxa"/>
          </w:tcPr>
          <w:p w14:paraId="5710B1B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67E91AC"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0D7BBB51"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45C547BE" w14:textId="1AB4F5DB" w:rsidR="00944D5F" w:rsidRPr="00554611" w:rsidRDefault="00944D5F" w:rsidP="00944D5F">
            <w:pPr>
              <w:rPr>
                <w:b w:val="0"/>
                <w:color w:val="404040" w:themeColor="text1" w:themeTint="BF"/>
                <w:lang w:eastAsia="en-US"/>
              </w:rPr>
            </w:pPr>
            <w:r>
              <w:rPr>
                <w:b w:val="0"/>
                <w:color w:val="404040" w:themeColor="text1" w:themeTint="BF"/>
                <w:lang w:eastAsia="en-US"/>
              </w:rPr>
              <w:t>11</w:t>
            </w:r>
          </w:p>
        </w:tc>
        <w:tc>
          <w:tcPr>
            <w:tcW w:w="1742" w:type="dxa"/>
          </w:tcPr>
          <w:p w14:paraId="3C5E108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7FACCFF9"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Trends and Forecasting in Branding</w:t>
            </w:r>
          </w:p>
        </w:tc>
        <w:tc>
          <w:tcPr>
            <w:tcW w:w="1742" w:type="dxa"/>
          </w:tcPr>
          <w:p w14:paraId="23B387DB"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96FB4E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5820D747"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5ECDCB25" w14:textId="77777777" w:rsidR="00944D5F" w:rsidRPr="00554611" w:rsidRDefault="00944D5F" w:rsidP="00944D5F">
            <w:pPr>
              <w:rPr>
                <w:b w:val="0"/>
                <w:color w:val="404040" w:themeColor="text1" w:themeTint="BF"/>
                <w:lang w:eastAsia="en-US"/>
              </w:rPr>
            </w:pPr>
            <w:r>
              <w:rPr>
                <w:b w:val="0"/>
                <w:color w:val="404040" w:themeColor="text1" w:themeTint="BF"/>
                <w:lang w:eastAsia="en-US"/>
              </w:rPr>
              <w:t>12</w:t>
            </w:r>
          </w:p>
          <w:p w14:paraId="17F7378A" w14:textId="77777777" w:rsidR="00944D5F" w:rsidRPr="00554611" w:rsidRDefault="00944D5F" w:rsidP="00944D5F">
            <w:pPr>
              <w:rPr>
                <w:b w:val="0"/>
                <w:color w:val="404040" w:themeColor="text1" w:themeTint="BF"/>
                <w:lang w:eastAsia="en-US"/>
              </w:rPr>
            </w:pPr>
          </w:p>
        </w:tc>
        <w:tc>
          <w:tcPr>
            <w:tcW w:w="1742" w:type="dxa"/>
          </w:tcPr>
          <w:p w14:paraId="021A6E98"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4B117F4E" w14:textId="77777777" w:rsidR="00944D5F" w:rsidRDefault="00944D5F" w:rsidP="00944D5F">
            <w:pPr>
              <w:cnfStyle w:val="000000000000" w:firstRow="0" w:lastRow="0" w:firstColumn="0" w:lastColumn="0" w:oddVBand="0" w:evenVBand="0" w:oddHBand="0" w:evenHBand="0" w:firstRowFirstColumn="0" w:firstRowLastColumn="0" w:lastRowFirstColumn="0" w:lastRowLastColumn="0"/>
              <w:rPr>
                <w:b/>
                <w:lang w:eastAsia="en-US"/>
              </w:rPr>
            </w:pPr>
            <w:r w:rsidRPr="008252A8">
              <w:rPr>
                <w:b/>
                <w:lang w:eastAsia="en-US"/>
              </w:rPr>
              <w:t xml:space="preserve">PHASE </w:t>
            </w:r>
            <w:r>
              <w:rPr>
                <w:b/>
                <w:lang w:eastAsia="en-US"/>
              </w:rPr>
              <w:t>3</w:t>
            </w:r>
            <w:r w:rsidRPr="008252A8">
              <w:rPr>
                <w:b/>
                <w:lang w:eastAsia="en-US"/>
              </w:rPr>
              <w:t xml:space="preserve">: </w:t>
            </w:r>
            <w:r>
              <w:rPr>
                <w:b/>
                <w:lang w:eastAsia="en-US"/>
              </w:rPr>
              <w:t>BRAND CRAFTING</w:t>
            </w:r>
          </w:p>
          <w:p w14:paraId="794DB51E"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Start-up Brand</w:t>
            </w:r>
          </w:p>
        </w:tc>
        <w:tc>
          <w:tcPr>
            <w:tcW w:w="1742" w:type="dxa"/>
          </w:tcPr>
          <w:p w14:paraId="352A3251"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2ED90EFD"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2ACEFFB2"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478E9E3B" w14:textId="2B489E2A" w:rsidR="00944D5F" w:rsidRPr="00554611" w:rsidRDefault="00944D5F" w:rsidP="00944D5F">
            <w:pPr>
              <w:rPr>
                <w:b w:val="0"/>
                <w:color w:val="404040" w:themeColor="text1" w:themeTint="BF"/>
                <w:lang w:eastAsia="en-US"/>
              </w:rPr>
            </w:pPr>
            <w:r>
              <w:rPr>
                <w:b w:val="0"/>
                <w:color w:val="404040" w:themeColor="text1" w:themeTint="BF"/>
                <w:lang w:eastAsia="en-US"/>
              </w:rPr>
              <w:t>13</w:t>
            </w:r>
          </w:p>
        </w:tc>
        <w:tc>
          <w:tcPr>
            <w:tcW w:w="1742" w:type="dxa"/>
          </w:tcPr>
          <w:p w14:paraId="455925A9"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0806914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Identifying Start-up Brand Elements </w:t>
            </w:r>
          </w:p>
        </w:tc>
        <w:tc>
          <w:tcPr>
            <w:tcW w:w="1742" w:type="dxa"/>
          </w:tcPr>
          <w:p w14:paraId="7EFFEBD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B0786E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4979FF62"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035D4BBE" w14:textId="1BE86F4D" w:rsidR="00944D5F" w:rsidRPr="00554611" w:rsidRDefault="00944D5F" w:rsidP="00944D5F">
            <w:pPr>
              <w:rPr>
                <w:b w:val="0"/>
                <w:color w:val="404040" w:themeColor="text1" w:themeTint="BF"/>
                <w:lang w:eastAsia="en-US"/>
              </w:rPr>
            </w:pPr>
            <w:r>
              <w:rPr>
                <w:b w:val="0"/>
                <w:color w:val="404040" w:themeColor="text1" w:themeTint="BF"/>
                <w:lang w:eastAsia="en-US"/>
              </w:rPr>
              <w:t>14</w:t>
            </w:r>
          </w:p>
        </w:tc>
        <w:tc>
          <w:tcPr>
            <w:tcW w:w="1742" w:type="dxa"/>
          </w:tcPr>
          <w:p w14:paraId="2D2F6163"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0DB7D0A2"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Identifying Start-up Brand Touchpoints </w:t>
            </w:r>
          </w:p>
        </w:tc>
        <w:tc>
          <w:tcPr>
            <w:tcW w:w="1742" w:type="dxa"/>
          </w:tcPr>
          <w:p w14:paraId="5FCB9D22"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215809BB"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r w:rsidR="00944D5F" w14:paraId="100CF283" w14:textId="77777777" w:rsidTr="005B3E72">
        <w:tc>
          <w:tcPr>
            <w:cnfStyle w:val="001000000000" w:firstRow="0" w:lastRow="0" w:firstColumn="1" w:lastColumn="0" w:oddVBand="0" w:evenVBand="0" w:oddHBand="0" w:evenHBand="0" w:firstRowFirstColumn="0" w:firstRowLastColumn="0" w:lastRowFirstColumn="0" w:lastRowLastColumn="0"/>
            <w:tcW w:w="949" w:type="dxa"/>
          </w:tcPr>
          <w:p w14:paraId="68473222" w14:textId="77777777" w:rsidR="00944D5F" w:rsidRPr="00554611" w:rsidRDefault="00944D5F" w:rsidP="00944D5F">
            <w:pPr>
              <w:rPr>
                <w:b w:val="0"/>
                <w:color w:val="404040" w:themeColor="text1" w:themeTint="BF"/>
                <w:lang w:eastAsia="en-US"/>
              </w:rPr>
            </w:pPr>
            <w:r>
              <w:rPr>
                <w:b w:val="0"/>
                <w:color w:val="404040" w:themeColor="text1" w:themeTint="BF"/>
                <w:lang w:eastAsia="en-US"/>
              </w:rPr>
              <w:t>15</w:t>
            </w:r>
          </w:p>
        </w:tc>
        <w:tc>
          <w:tcPr>
            <w:tcW w:w="1742" w:type="dxa"/>
          </w:tcPr>
          <w:p w14:paraId="0E5B32E6"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3559" w:type="dxa"/>
          </w:tcPr>
          <w:p w14:paraId="5BBC4E49"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Start-up Brand Presentation </w:t>
            </w:r>
          </w:p>
        </w:tc>
        <w:tc>
          <w:tcPr>
            <w:tcW w:w="1742" w:type="dxa"/>
          </w:tcPr>
          <w:p w14:paraId="62143137"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c>
          <w:tcPr>
            <w:tcW w:w="1742" w:type="dxa"/>
          </w:tcPr>
          <w:p w14:paraId="3BB0FDFF" w14:textId="77777777" w:rsidR="00944D5F" w:rsidRPr="00554611" w:rsidRDefault="00944D5F" w:rsidP="00944D5F">
            <w:pPr>
              <w:cnfStyle w:val="000000000000" w:firstRow="0" w:lastRow="0" w:firstColumn="0" w:lastColumn="0" w:oddVBand="0" w:evenVBand="0" w:oddHBand="0" w:evenHBand="0" w:firstRowFirstColumn="0" w:firstRowLastColumn="0" w:lastRowFirstColumn="0" w:lastRowLastColumn="0"/>
              <w:rPr>
                <w:lang w:eastAsia="en-US"/>
              </w:rPr>
            </w:pPr>
          </w:p>
        </w:tc>
      </w:tr>
    </w:tbl>
    <w:p w14:paraId="67D65420" w14:textId="77777777" w:rsidR="00506BE2" w:rsidRPr="006C7B2B" w:rsidRDefault="00506BE2" w:rsidP="001F120F">
      <w:pPr>
        <w:pBdr>
          <w:top w:val="single" w:sz="4" w:space="1" w:color="auto"/>
        </w:pBdr>
        <w:rPr>
          <w:rFonts w:ascii="Arial" w:hAnsi="Arial" w:cs="Arial"/>
          <w:b/>
          <w:color w:val="000000" w:themeColor="text1"/>
          <w:sz w:val="20"/>
        </w:rPr>
      </w:pPr>
    </w:p>
    <w:p w14:paraId="55A66A36" w14:textId="77777777" w:rsidR="006C7B2B" w:rsidRPr="006C7B2B" w:rsidRDefault="006C7B2B" w:rsidP="006C7B2B">
      <w:pPr>
        <w:rPr>
          <w:rFonts w:ascii="Arial" w:hAnsi="Arial" w:cs="Arial"/>
          <w:color w:val="000000" w:themeColor="text1"/>
          <w:sz w:val="20"/>
        </w:rPr>
      </w:pPr>
    </w:p>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7A38348C" w14:textId="77777777"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C1280A1" w14:textId="77777777" w:rsidR="00C00E4E" w:rsidRPr="001F120F" w:rsidRDefault="00C00E4E" w:rsidP="006C7B2B">
      <w:pPr>
        <w:rPr>
          <w:rFonts w:ascii="Arial" w:hAnsi="Arial" w:cs="Arial"/>
          <w:color w:val="000000" w:themeColor="text1"/>
          <w:sz w:val="20"/>
        </w:rPr>
      </w:pPr>
    </w:p>
    <w:p w14:paraId="5944CE20"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0BE825BF" w14:textId="77777777" w:rsidR="001F120F" w:rsidRPr="001F120F" w:rsidRDefault="001F120F"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12FCBEBA" w14:textId="1C6CD813" w:rsidR="00944D5F" w:rsidRDefault="00944D5F" w:rsidP="00944D5F">
      <w:pPr>
        <w:pStyle w:val="Heading2"/>
        <w:spacing w:before="0" w:after="0"/>
        <w:rPr>
          <w:rFonts w:ascii="Arial" w:hAnsi="Arial" w:cs="Arial"/>
          <w:b w:val="0"/>
          <w:i w:val="0"/>
          <w:color w:val="000000" w:themeColor="text1"/>
          <w:sz w:val="20"/>
          <w:szCs w:val="20"/>
        </w:rPr>
      </w:pPr>
      <w:r w:rsidRPr="00944D5F">
        <w:rPr>
          <w:rFonts w:ascii="Arial" w:hAnsi="Arial" w:cs="Arial"/>
          <w:b w:val="0"/>
          <w:i w:val="0"/>
          <w:color w:val="000000" w:themeColor="text1"/>
          <w:sz w:val="20"/>
          <w:szCs w:val="20"/>
        </w:rPr>
        <w:t>Attendance: Students are required to be in class for designated times with their work ready for weekly review. Students are required to give 48 hrs notice of</w:t>
      </w:r>
      <w:r>
        <w:rPr>
          <w:rFonts w:ascii="Arial" w:hAnsi="Arial" w:cs="Arial"/>
          <w:b w:val="0"/>
          <w:i w:val="0"/>
          <w:color w:val="000000" w:themeColor="text1"/>
          <w:sz w:val="20"/>
          <w:szCs w:val="20"/>
        </w:rPr>
        <w:t xml:space="preserve"> a planned, necessary absence. </w:t>
      </w:r>
      <w:r w:rsidRPr="00944D5F">
        <w:rPr>
          <w:rFonts w:ascii="Arial" w:hAnsi="Arial" w:cs="Arial"/>
          <w:b w:val="0"/>
          <w:i w:val="0"/>
          <w:color w:val="000000" w:themeColor="text1"/>
          <w:sz w:val="20"/>
          <w:szCs w:val="20"/>
        </w:rPr>
        <w:t xml:space="preserve">Classes start promptly at 5:05. Students are encouraged to arrive at the classroom 10-15 minutes early to network, catch up with each other, and have the chance to ask any general questions to the instructor. </w:t>
      </w:r>
    </w:p>
    <w:p w14:paraId="20621301" w14:textId="77777777" w:rsidR="00944D5F" w:rsidRPr="00944D5F" w:rsidRDefault="00944D5F" w:rsidP="00944D5F"/>
    <w:p w14:paraId="0FFA081E" w14:textId="052DA770" w:rsidR="00DE3349" w:rsidRDefault="00944D5F" w:rsidP="00944D5F">
      <w:pPr>
        <w:pStyle w:val="Heading2"/>
        <w:spacing w:before="0" w:after="0"/>
        <w:rPr>
          <w:rFonts w:ascii="Arial" w:hAnsi="Arial" w:cs="Arial"/>
          <w:b w:val="0"/>
          <w:i w:val="0"/>
          <w:color w:val="000000" w:themeColor="text1"/>
          <w:sz w:val="20"/>
          <w:szCs w:val="20"/>
        </w:rPr>
      </w:pPr>
      <w:r w:rsidRPr="00944D5F">
        <w:rPr>
          <w:rFonts w:ascii="Arial" w:hAnsi="Arial" w:cs="Arial"/>
          <w:b w:val="0"/>
          <w:i w:val="0"/>
          <w:color w:val="000000" w:themeColor="text1"/>
          <w:sz w:val="20"/>
          <w:szCs w:val="20"/>
        </w:rPr>
        <w:t>Participation: Attendance and participation is expected in class and meetings as well as demonstration of independence, initiative, time management. Students are also expected to demonstrate participation, motivation and construction of the grad show as directed by Grad Show Exhibition Class/committee.</w:t>
      </w:r>
    </w:p>
    <w:p w14:paraId="437D1A33" w14:textId="77777777" w:rsidR="00944D5F" w:rsidRPr="00944D5F" w:rsidRDefault="00944D5F" w:rsidP="00944D5F"/>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201B6EA0" w14:textId="68344BDA" w:rsidR="00DE3349" w:rsidRDefault="00944D5F" w:rsidP="001F120F">
      <w:pPr>
        <w:rPr>
          <w:rFonts w:ascii="Arial" w:hAnsi="Arial" w:cs="Arial"/>
          <w:sz w:val="20"/>
        </w:rPr>
      </w:pPr>
      <w:r w:rsidRPr="00944D5F">
        <w:rPr>
          <w:rFonts w:ascii="Arial" w:hAnsi="Arial" w:cs="Arial"/>
          <w:sz w:val="20"/>
        </w:rPr>
        <w:t>This course relies on group collaboration and strong individual contribution. Student progress will be assessed based on project participation and progress applying Service Design tools.</w:t>
      </w:r>
    </w:p>
    <w:p w14:paraId="394EE30E" w14:textId="77777777" w:rsidR="00944D5F" w:rsidRPr="001F120F" w:rsidRDefault="00944D5F"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13D196C0" w14:textId="453FC3C8" w:rsidR="00944D5F" w:rsidRDefault="00944D5F" w:rsidP="00DE3349">
      <w:pPr>
        <w:rPr>
          <w:rFonts w:ascii="Arial" w:hAnsi="Arial" w:cs="Arial"/>
          <w:color w:val="000000" w:themeColor="text1"/>
          <w:sz w:val="20"/>
        </w:rPr>
      </w:pPr>
      <w:r w:rsidRPr="00944D5F">
        <w:rPr>
          <w:rFonts w:ascii="Arial" w:hAnsi="Arial" w:cs="Arial"/>
          <w:color w:val="000000" w:themeColor="text1"/>
          <w:sz w:val="20"/>
        </w:rPr>
        <w:t xml:space="preserve">Assignments are due at the deadlines specified in the project descriptions and/ or canvas.All submissions require upload on canvas in high-res PDF format with optimized file sizes ( &lt; 25 MB). Video submissions can be made through a link on vimeo, youtube, or as an upload of a manageable video file.  </w:t>
      </w:r>
    </w:p>
    <w:p w14:paraId="3A46A839" w14:textId="77777777" w:rsidR="00944D5F" w:rsidRDefault="00944D5F" w:rsidP="00DE3349">
      <w:pPr>
        <w:rPr>
          <w:rFonts w:ascii="Arial" w:hAnsi="Arial" w:cs="Arial"/>
          <w:color w:val="000000" w:themeColor="text1"/>
          <w:sz w:val="20"/>
        </w:rPr>
      </w:pPr>
    </w:p>
    <w:p w14:paraId="6FF7AEC8" w14:textId="265FA4A1" w:rsidR="00DE3349" w:rsidRDefault="00944D5F" w:rsidP="00DE3349">
      <w:pPr>
        <w:rPr>
          <w:rFonts w:ascii="Arial" w:hAnsi="Arial" w:cs="Arial"/>
          <w:color w:val="000000" w:themeColor="text1"/>
          <w:sz w:val="20"/>
        </w:rPr>
      </w:pPr>
      <w:r w:rsidRPr="00944D5F">
        <w:rPr>
          <w:rFonts w:ascii="Arial" w:hAnsi="Arial" w:cs="Arial"/>
          <w:color w:val="000000" w:themeColor="text1"/>
          <w:sz w:val="20"/>
        </w:rPr>
        <w:t>Assignments are due at the deadlines specified in the project descriptions and/ or t-square. Late submissions (same day) will result in a 10%-point deduction. Late submissions (24 – 48 hrs) will result in a 15%-point deduction. Late submissions more than 48 hrs after due date are generally not accepted (subject to an individual assessment of the situation).</w:t>
      </w:r>
    </w:p>
    <w:p w14:paraId="3E3B6EDC" w14:textId="77777777" w:rsidR="00944D5F" w:rsidRPr="001F120F" w:rsidRDefault="00944D5F" w:rsidP="00DE3349"/>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0">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lastRenderedPageBreak/>
        <w:t>Student Use of Mobile Devices in the Classroom</w:t>
      </w:r>
    </w:p>
    <w:p w14:paraId="4211F145" w14:textId="7A7A9521" w:rsidR="00DE3349" w:rsidRDefault="00944D5F" w:rsidP="006C7B2B">
      <w:pPr>
        <w:rPr>
          <w:rFonts w:ascii="Arial" w:hAnsi="Arial" w:cs="Arial"/>
          <w:color w:val="000000" w:themeColor="text1"/>
          <w:sz w:val="20"/>
        </w:rPr>
      </w:pPr>
      <w:r w:rsidRPr="00944D5F">
        <w:rPr>
          <w:rFonts w:ascii="Arial" w:hAnsi="Arial" w:cs="Arial"/>
          <w:color w:val="000000" w:themeColor="text1"/>
          <w:sz w:val="20"/>
        </w:rPr>
        <w:t>Students can use mobile devices for note-taking and research purposes only. Social media notifications and chat functions must be disabled during class. The same applies for laptops and other personal electronic devices.</w:t>
      </w:r>
    </w:p>
    <w:p w14:paraId="4BB807A7" w14:textId="77777777" w:rsidR="00944D5F" w:rsidRPr="001F120F" w:rsidRDefault="00944D5F"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3D572F0F" w14:textId="670A8B1B"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All work must be original</w:t>
      </w:r>
    </w:p>
    <w:p w14:paraId="54B52073" w14:textId="4EF82812"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No internet images or stock photography allowed.</w:t>
      </w:r>
    </w:p>
    <w:p w14:paraId="43AAB8FD" w14:textId="5B950F37"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Social Media boundaries. LinkedIn – Yes   Facebook – No</w:t>
      </w:r>
    </w:p>
    <w:p w14:paraId="07879A41" w14:textId="322F6292"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Work is done in the studio. Keep email communications brief and to the point.</w:t>
      </w:r>
    </w:p>
    <w:p w14:paraId="78356901" w14:textId="3F5D7ACF"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No pets in studio</w:t>
      </w:r>
    </w:p>
    <w:p w14:paraId="340A50D0" w14:textId="2B40C014" w:rsidR="00B465E4"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sz w:val="20"/>
        </w:rPr>
      </w:pPr>
      <w:r w:rsidRPr="00B465E4">
        <w:rPr>
          <w:rFonts w:ascii="Arial" w:hAnsi="Arial" w:cs="Arial"/>
          <w:sz w:val="20"/>
        </w:rPr>
        <w:t>No texting or phone calls during studio. If you have urgent phone call please step outside classroom.</w:t>
      </w:r>
    </w:p>
    <w:p w14:paraId="12DC3B92" w14:textId="715C21D1" w:rsidR="001F120F" w:rsidRPr="00B465E4" w:rsidRDefault="00B465E4" w:rsidP="00B465E4">
      <w:pPr>
        <w:pStyle w:val="ListParagraph"/>
        <w:numPr>
          <w:ilvl w:val="0"/>
          <w:numId w:val="12"/>
        </w:numPr>
        <w:pBdr>
          <w:top w:val="nil"/>
          <w:left w:val="nil"/>
          <w:bottom w:val="nil"/>
          <w:right w:val="nil"/>
          <w:between w:val="nil"/>
        </w:pBdr>
        <w:spacing w:line="240" w:lineRule="auto"/>
        <w:rPr>
          <w:rFonts w:ascii="Arial" w:hAnsi="Arial" w:cs="Arial"/>
          <w:color w:val="000000" w:themeColor="text1"/>
          <w:sz w:val="20"/>
        </w:rPr>
      </w:pPr>
      <w:r w:rsidRPr="00B465E4">
        <w:rPr>
          <w:rFonts w:ascii="Arial" w:hAnsi="Arial" w:cs="Arial"/>
          <w:sz w:val="20"/>
        </w:rPr>
        <w:t>No eating in class.  Coffee and water encouraged and please clean up</w:t>
      </w:r>
    </w:p>
    <w:p w14:paraId="709EFE11" w14:textId="77777777" w:rsidR="00B465E4" w:rsidRPr="00B465E4" w:rsidRDefault="00B465E4" w:rsidP="00B465E4">
      <w:pPr>
        <w:pStyle w:val="ListParagraph"/>
        <w:pBdr>
          <w:top w:val="nil"/>
          <w:left w:val="nil"/>
          <w:bottom w:val="nil"/>
          <w:right w:val="nil"/>
          <w:between w:val="nil"/>
        </w:pBdr>
        <w:spacing w:line="240" w:lineRule="auto"/>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27F0D38D" w14:textId="77777777" w:rsidR="00CF196E" w:rsidRDefault="00CF196E"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02DB883B"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3B05DE74" w14:textId="4D957F90" w:rsidR="00932B4D" w:rsidRDefault="00932B4D" w:rsidP="00932B4D">
      <w:pPr>
        <w:rPr>
          <w:rFonts w:ascii="Arial" w:hAnsi="Arial" w:cs="Arial"/>
          <w:sz w:val="20"/>
        </w:rPr>
      </w:pPr>
    </w:p>
    <w:p w14:paraId="7B4BA647" w14:textId="514B3B53" w:rsidR="00932B4D" w:rsidRDefault="00932B4D" w:rsidP="00932B4D">
      <w:pPr>
        <w:rPr>
          <w:rFonts w:ascii="Arial" w:hAnsi="Arial" w:cs="Arial"/>
          <w:sz w:val="20"/>
        </w:rPr>
      </w:pPr>
    </w:p>
    <w:p w14:paraId="4E2FC7AD" w14:textId="22F1213F" w:rsidR="00932B4D" w:rsidRDefault="00932B4D" w:rsidP="00932B4D">
      <w:pPr>
        <w:rPr>
          <w:rFonts w:ascii="Arial" w:hAnsi="Arial" w:cs="Arial"/>
          <w:sz w:val="20"/>
        </w:rPr>
      </w:pPr>
    </w:p>
    <w:p w14:paraId="17953C6A" w14:textId="76AB651C" w:rsidR="00932B4D" w:rsidRDefault="00932B4D" w:rsidP="00932B4D">
      <w:pPr>
        <w:rPr>
          <w:rFonts w:ascii="Arial" w:hAnsi="Arial" w:cs="Arial"/>
          <w:sz w:val="20"/>
        </w:rPr>
      </w:pPr>
    </w:p>
    <w:p w14:paraId="2852CCAD" w14:textId="0A50F828" w:rsidR="00932B4D" w:rsidRDefault="00932B4D" w:rsidP="00932B4D">
      <w:pPr>
        <w:rPr>
          <w:rFonts w:ascii="Arial" w:hAnsi="Arial" w:cs="Arial"/>
          <w:sz w:val="20"/>
        </w:rPr>
      </w:pPr>
    </w:p>
    <w:p w14:paraId="5F4CD360" w14:textId="36C00C7F" w:rsidR="00932B4D" w:rsidRPr="00932B4D" w:rsidRDefault="00932B4D" w:rsidP="00932B4D">
      <w:pPr>
        <w:rPr>
          <w:rFonts w:ascii="Arial" w:hAnsi="Arial" w:cs="Arial"/>
          <w:sz w:val="20"/>
        </w:rPr>
      </w:pPr>
      <w:r>
        <w:rPr>
          <w:rFonts w:ascii="Arial" w:hAnsi="Arial" w:cs="Arial"/>
          <w:sz w:val="20"/>
        </w:rPr>
        <w:t>Last update 01/08/2019</w:t>
      </w:r>
      <w:bookmarkStart w:id="0" w:name="_GoBack"/>
      <w:bookmarkEnd w:id="0"/>
    </w:p>
    <w:sectPr w:rsidR="00932B4D" w:rsidRPr="00932B4D" w:rsidSect="0018352E">
      <w:headerReference w:type="default" r:id="rId11"/>
      <w:footerReference w:type="even" r:id="rId12"/>
      <w:footerReference w:type="default" r:id="rId1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A40D5" w14:textId="77777777" w:rsidR="00874938" w:rsidRDefault="00874938" w:rsidP="00CC2F0B">
      <w:pPr>
        <w:spacing w:line="240" w:lineRule="auto"/>
      </w:pPr>
      <w:r>
        <w:separator/>
      </w:r>
    </w:p>
  </w:endnote>
  <w:endnote w:type="continuationSeparator" w:id="0">
    <w:p w14:paraId="04D9347C" w14:textId="77777777" w:rsidR="00874938" w:rsidRDefault="00874938"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7A359088"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932B4D">
      <w:rPr>
        <w:rStyle w:val="PageNumber"/>
        <w:rFonts w:ascii="Arial" w:hAnsi="Arial" w:cs="Arial"/>
        <w:noProof/>
      </w:rPr>
      <w:t>4</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46BDC" w14:textId="77777777" w:rsidR="00874938" w:rsidRDefault="00874938" w:rsidP="00CC2F0B">
      <w:pPr>
        <w:spacing w:line="240" w:lineRule="auto"/>
      </w:pPr>
      <w:r>
        <w:separator/>
      </w:r>
    </w:p>
  </w:footnote>
  <w:footnote w:type="continuationSeparator" w:id="0">
    <w:p w14:paraId="263091BC" w14:textId="77777777" w:rsidR="00874938" w:rsidRDefault="00874938"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5D31E448"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7543C6">
      <w:rPr>
        <w:rFonts w:ascii="Arial" w:hAnsi="Arial" w:cs="Arial-BoldMT"/>
        <w:b/>
        <w:bCs/>
        <w:color w:val="595959"/>
        <w:sz w:val="20"/>
      </w:rPr>
      <w:t>5</w:t>
    </w:r>
    <w:r w:rsidR="004E6AE1">
      <w:rPr>
        <w:rFonts w:ascii="Arial" w:hAnsi="Arial" w:cs="Arial-BoldMT"/>
        <w:b/>
        <w:bCs/>
        <w:color w:val="595959"/>
        <w:sz w:val="20"/>
      </w:rPr>
      <w:t xml:space="preserve"> – </w:t>
    </w:r>
    <w:r w:rsidR="007543C6">
      <w:rPr>
        <w:rFonts w:ascii="Arial" w:hAnsi="Arial" w:cs="Arial-BoldMT"/>
        <w:b/>
        <w:bCs/>
        <w:color w:val="595959"/>
        <w:sz w:val="20"/>
      </w:rPr>
      <w:t>Brand and Visual Design</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61FAC"/>
    <w:multiLevelType w:val="hybridMultilevel"/>
    <w:tmpl w:val="7016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1F24"/>
    <w:multiLevelType w:val="hybridMultilevel"/>
    <w:tmpl w:val="9FF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B27C4F"/>
    <w:multiLevelType w:val="hybridMultilevel"/>
    <w:tmpl w:val="ED1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11"/>
  </w:num>
  <w:num w:numId="2">
    <w:abstractNumId w:val="2"/>
  </w:num>
  <w:num w:numId="3">
    <w:abstractNumId w:val="6"/>
  </w:num>
  <w:num w:numId="4">
    <w:abstractNumId w:val="9"/>
  </w:num>
  <w:num w:numId="5">
    <w:abstractNumId w:val="10"/>
  </w:num>
  <w:num w:numId="6">
    <w:abstractNumId w:val="3"/>
  </w:num>
  <w:num w:numId="7">
    <w:abstractNumId w:val="4"/>
  </w:num>
  <w:num w:numId="8">
    <w:abstractNumId w:val="0"/>
  </w:num>
  <w:num w:numId="9">
    <w:abstractNumId w:val="8"/>
  </w:num>
  <w:num w:numId="10">
    <w:abstractNumId w:val="5"/>
  </w:num>
  <w:num w:numId="11">
    <w:abstractNumId w:val="1"/>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A60BE"/>
    <w:rsid w:val="000E2DE6"/>
    <w:rsid w:val="001254A8"/>
    <w:rsid w:val="001652E4"/>
    <w:rsid w:val="0018352E"/>
    <w:rsid w:val="001F120F"/>
    <w:rsid w:val="001F31C3"/>
    <w:rsid w:val="0024666C"/>
    <w:rsid w:val="0028678C"/>
    <w:rsid w:val="0037604C"/>
    <w:rsid w:val="003A2FBB"/>
    <w:rsid w:val="00404E0A"/>
    <w:rsid w:val="00457157"/>
    <w:rsid w:val="004623AA"/>
    <w:rsid w:val="004E6AE1"/>
    <w:rsid w:val="004E7552"/>
    <w:rsid w:val="00506BE2"/>
    <w:rsid w:val="00583384"/>
    <w:rsid w:val="005C31A1"/>
    <w:rsid w:val="0062319C"/>
    <w:rsid w:val="006249A1"/>
    <w:rsid w:val="00646A9D"/>
    <w:rsid w:val="006C7B2B"/>
    <w:rsid w:val="00713BE2"/>
    <w:rsid w:val="0075043A"/>
    <w:rsid w:val="007543C6"/>
    <w:rsid w:val="0078041F"/>
    <w:rsid w:val="007A17AC"/>
    <w:rsid w:val="007F4A97"/>
    <w:rsid w:val="00806256"/>
    <w:rsid w:val="00827232"/>
    <w:rsid w:val="00874938"/>
    <w:rsid w:val="008975EC"/>
    <w:rsid w:val="008D5529"/>
    <w:rsid w:val="00931ECF"/>
    <w:rsid w:val="00932B4D"/>
    <w:rsid w:val="009350E8"/>
    <w:rsid w:val="0094387C"/>
    <w:rsid w:val="00944D5F"/>
    <w:rsid w:val="0096056E"/>
    <w:rsid w:val="009B766B"/>
    <w:rsid w:val="009E1242"/>
    <w:rsid w:val="00A053B8"/>
    <w:rsid w:val="00A56B16"/>
    <w:rsid w:val="00AB3B87"/>
    <w:rsid w:val="00AC2B94"/>
    <w:rsid w:val="00B465E4"/>
    <w:rsid w:val="00BD6D29"/>
    <w:rsid w:val="00C00E4E"/>
    <w:rsid w:val="00C473FB"/>
    <w:rsid w:val="00CA5E36"/>
    <w:rsid w:val="00CC2F0B"/>
    <w:rsid w:val="00CF196E"/>
    <w:rsid w:val="00D530EC"/>
    <w:rsid w:val="00D57970"/>
    <w:rsid w:val="00D72776"/>
    <w:rsid w:val="00D81805"/>
    <w:rsid w:val="00DE3349"/>
    <w:rsid w:val="00DF7C92"/>
    <w:rsid w:val="00E56C32"/>
    <w:rsid w:val="00EA2CFB"/>
    <w:rsid w:val="00EB6572"/>
    <w:rsid w:val="00EC1229"/>
    <w:rsid w:val="00F40594"/>
    <w:rsid w:val="00FA2C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05BAAC8B-D1E9-440C-A6C4-DEFC008D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atalog.gatech.edu/rules/22/"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1251</Words>
  <Characters>7131</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8366</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2019-01-08T15:20:00Z</dcterms:created>
  <dcterms:modified xsi:type="dcterms:W3CDTF">2019-01-08T15:20:00Z</dcterms:modified>
</cp:coreProperties>
</file>