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763B4816" w:rsidR="004B2A40" w:rsidRDefault="00A53CE5" w:rsidP="00A53CE5">
      <w:pPr>
        <w:pStyle w:val="Title"/>
      </w:pPr>
      <w:bookmarkStart w:id="0" w:name="_GoBack"/>
      <w:bookmarkEnd w:id="0"/>
      <w:r>
        <w:t>ID-621</w:t>
      </w:r>
      <w:r w:rsidR="00477503">
        <w:t>6</w:t>
      </w:r>
      <w:r>
        <w:t xml:space="preserve"> </w:t>
      </w:r>
      <w:r w:rsidR="00463815">
        <w:t>Syllabus</w:t>
      </w:r>
      <w:r w:rsidR="00557C3F">
        <w:t xml:space="preserve"> </w:t>
      </w:r>
      <w:r w:rsidR="00D04491">
        <w:br/>
      </w:r>
    </w:p>
    <w:p w14:paraId="68B54ED6" w14:textId="2C1272E1" w:rsidR="00932DE5" w:rsidRDefault="008C16C9" w:rsidP="004B2A40">
      <w:pPr>
        <w:rPr>
          <w:b/>
          <w:color w:val="262626" w:themeColor="text1" w:themeTint="D9"/>
          <w:szCs w:val="24"/>
        </w:rPr>
      </w:pPr>
      <w:r>
        <w:rPr>
          <w:b/>
          <w:color w:val="262626" w:themeColor="text1" w:themeTint="D9"/>
          <w:szCs w:val="24"/>
        </w:rPr>
        <w:t>Service Design, Brand</w:t>
      </w:r>
      <w:r w:rsidR="00CE4028">
        <w:rPr>
          <w:b/>
          <w:color w:val="262626" w:themeColor="text1" w:themeTint="D9"/>
          <w:szCs w:val="24"/>
        </w:rPr>
        <w:t xml:space="preserve"> and </w:t>
      </w:r>
      <w:r>
        <w:rPr>
          <w:b/>
          <w:color w:val="262626" w:themeColor="text1" w:themeTint="D9"/>
          <w:szCs w:val="24"/>
        </w:rPr>
        <w:t>Value Creation</w:t>
      </w:r>
    </w:p>
    <w:p w14:paraId="42AF74E4" w14:textId="5ACDE120" w:rsidR="00D04491" w:rsidRPr="00610EFD" w:rsidRDefault="00D04491" w:rsidP="004B2A40">
      <w:pPr>
        <w:rPr>
          <w:b/>
          <w:color w:val="262626" w:themeColor="text1" w:themeTint="D9"/>
          <w:szCs w:val="24"/>
        </w:rPr>
      </w:pPr>
      <w:r>
        <w:rPr>
          <w:b/>
          <w:color w:val="262626" w:themeColor="text1" w:themeTint="D9"/>
          <w:szCs w:val="24"/>
        </w:rPr>
        <w:t xml:space="preserve">3 Credit Hours </w:t>
      </w:r>
      <w:r w:rsidR="006F0396">
        <w:rPr>
          <w:b/>
          <w:color w:val="262626" w:themeColor="text1" w:themeTint="D9"/>
          <w:szCs w:val="24"/>
        </w:rPr>
        <w:t>– Fall</w:t>
      </w:r>
      <w:r w:rsidR="00CE4028">
        <w:rPr>
          <w:b/>
          <w:color w:val="262626" w:themeColor="text1" w:themeTint="D9"/>
          <w:szCs w:val="24"/>
        </w:rPr>
        <w:t>/Spring</w:t>
      </w:r>
      <w:r w:rsidR="006F0396">
        <w:rPr>
          <w:b/>
          <w:color w:val="262626" w:themeColor="text1" w:themeTint="D9"/>
          <w:szCs w:val="24"/>
        </w:rPr>
        <w:t xml:space="preserve"> semester</w:t>
      </w:r>
    </w:p>
    <w:p w14:paraId="668CE657" w14:textId="46C42E44" w:rsidR="00D04491" w:rsidRDefault="00477503" w:rsidP="00D51688">
      <w:pPr>
        <w:rPr>
          <w:b/>
          <w:color w:val="262626" w:themeColor="text1" w:themeTint="D9"/>
          <w:szCs w:val="24"/>
        </w:rPr>
      </w:pPr>
      <w:r>
        <w:rPr>
          <w:b/>
          <w:color w:val="262626" w:themeColor="text1" w:themeTint="D9"/>
          <w:szCs w:val="24"/>
        </w:rPr>
        <w:t xml:space="preserve">Mondays </w:t>
      </w:r>
      <w:r w:rsidR="000F16D8">
        <w:rPr>
          <w:b/>
          <w:color w:val="262626" w:themeColor="text1" w:themeTint="D9"/>
          <w:szCs w:val="24"/>
        </w:rPr>
        <w:t>7:30</w:t>
      </w:r>
      <w:r>
        <w:rPr>
          <w:b/>
          <w:color w:val="262626" w:themeColor="text1" w:themeTint="D9"/>
          <w:szCs w:val="24"/>
        </w:rPr>
        <w:t xml:space="preserve"> – </w:t>
      </w:r>
      <w:r w:rsidR="000F16D8">
        <w:rPr>
          <w:b/>
          <w:color w:val="262626" w:themeColor="text1" w:themeTint="D9"/>
          <w:szCs w:val="24"/>
        </w:rPr>
        <w:t>8</w:t>
      </w:r>
      <w:r>
        <w:rPr>
          <w:b/>
          <w:color w:val="262626" w:themeColor="text1" w:themeTint="D9"/>
          <w:szCs w:val="24"/>
        </w:rPr>
        <w:t>:</w:t>
      </w:r>
      <w:r w:rsidR="000F16D8">
        <w:rPr>
          <w:b/>
          <w:color w:val="262626" w:themeColor="text1" w:themeTint="D9"/>
          <w:szCs w:val="24"/>
        </w:rPr>
        <w:t>5</w:t>
      </w:r>
      <w:r>
        <w:rPr>
          <w:b/>
          <w:color w:val="262626" w:themeColor="text1" w:themeTint="D9"/>
          <w:szCs w:val="24"/>
        </w:rPr>
        <w:t>5</w:t>
      </w:r>
      <w:r w:rsidR="00D04491">
        <w:rPr>
          <w:b/>
          <w:color w:val="262626" w:themeColor="text1" w:themeTint="D9"/>
          <w:szCs w:val="24"/>
        </w:rPr>
        <w:t xml:space="preserve"> PM </w:t>
      </w:r>
    </w:p>
    <w:p w14:paraId="01A72A2D" w14:textId="5A05DABA" w:rsidR="004B2A40" w:rsidRPr="00D51688" w:rsidRDefault="00477503" w:rsidP="00D51688">
      <w:pPr>
        <w:rPr>
          <w:b/>
          <w:color w:val="262626" w:themeColor="text1" w:themeTint="D9"/>
          <w:szCs w:val="24"/>
        </w:rPr>
      </w:pPr>
      <w:r>
        <w:rPr>
          <w:b/>
          <w:color w:val="262626" w:themeColor="text1" w:themeTint="D9"/>
          <w:szCs w:val="24"/>
        </w:rPr>
        <w:t xml:space="preserve">Wednesdays </w:t>
      </w:r>
      <w:r w:rsidR="000F16D8">
        <w:rPr>
          <w:b/>
          <w:color w:val="262626" w:themeColor="text1" w:themeTint="D9"/>
          <w:szCs w:val="24"/>
        </w:rPr>
        <w:t>7</w:t>
      </w:r>
      <w:r>
        <w:rPr>
          <w:b/>
          <w:color w:val="262626" w:themeColor="text1" w:themeTint="D9"/>
          <w:szCs w:val="24"/>
        </w:rPr>
        <w:t>:</w:t>
      </w:r>
      <w:r w:rsidR="000F16D8">
        <w:rPr>
          <w:b/>
          <w:color w:val="262626" w:themeColor="text1" w:themeTint="D9"/>
          <w:szCs w:val="24"/>
        </w:rPr>
        <w:t>3</w:t>
      </w:r>
      <w:r>
        <w:rPr>
          <w:b/>
          <w:color w:val="262626" w:themeColor="text1" w:themeTint="D9"/>
          <w:szCs w:val="24"/>
        </w:rPr>
        <w:t xml:space="preserve">5 – </w:t>
      </w:r>
      <w:r w:rsidR="000F16D8">
        <w:rPr>
          <w:b/>
          <w:color w:val="262626" w:themeColor="text1" w:themeTint="D9"/>
          <w:szCs w:val="24"/>
        </w:rPr>
        <w:t>8</w:t>
      </w:r>
      <w:r>
        <w:rPr>
          <w:b/>
          <w:color w:val="262626" w:themeColor="text1" w:themeTint="D9"/>
          <w:szCs w:val="24"/>
        </w:rPr>
        <w:t>:</w:t>
      </w:r>
      <w:r w:rsidR="000F16D8">
        <w:rPr>
          <w:b/>
          <w:color w:val="262626" w:themeColor="text1" w:themeTint="D9"/>
          <w:szCs w:val="24"/>
        </w:rPr>
        <w:t>5</w:t>
      </w:r>
      <w:r>
        <w:rPr>
          <w:b/>
          <w:color w:val="262626" w:themeColor="text1" w:themeTint="D9"/>
          <w:szCs w:val="24"/>
        </w:rPr>
        <w:t>5 PM</w:t>
      </w:r>
      <w:r w:rsidR="006F0396">
        <w:rPr>
          <w:b/>
          <w:color w:val="262626" w:themeColor="text1" w:themeTint="D9"/>
          <w:szCs w:val="24"/>
        </w:rPr>
        <w:t xml:space="preserve"> </w:t>
      </w:r>
      <w:r w:rsidR="00D04491">
        <w:rPr>
          <w:b/>
          <w:color w:val="262626" w:themeColor="text1" w:themeTint="D9"/>
          <w:szCs w:val="24"/>
        </w:rPr>
        <w:t xml:space="preserve"> </w:t>
      </w:r>
    </w:p>
    <w:p w14:paraId="0509BCD2" w14:textId="77777777" w:rsidR="00D51688" w:rsidRPr="00D51688" w:rsidRDefault="00D51688" w:rsidP="00D51688">
      <w:pPr>
        <w:rPr>
          <w:sz w:val="10"/>
          <w:szCs w:val="10"/>
        </w:rPr>
      </w:pPr>
    </w:p>
    <w:p w14:paraId="619D67CE" w14:textId="464B69B0" w:rsidR="001C5E8D" w:rsidRPr="00764E33" w:rsidRDefault="00764E33" w:rsidP="005E60ED">
      <w:pPr>
        <w:spacing w:after="80"/>
        <w:rPr>
          <w:b/>
          <w:color w:val="262626" w:themeColor="text1" w:themeTint="D9"/>
          <w:szCs w:val="24"/>
        </w:rPr>
      </w:pPr>
      <w:r w:rsidRPr="00764E33">
        <w:rPr>
          <w:b/>
          <w:color w:val="0F6FC6" w:themeColor="accent1"/>
          <w:szCs w:val="24"/>
        </w:rPr>
        <w:t>Instructor Information</w:t>
      </w:r>
    </w:p>
    <w:tbl>
      <w:tblPr>
        <w:tblStyle w:val="SyllabusTable-NoBorders"/>
        <w:tblW w:w="9720" w:type="dxa"/>
        <w:tblLook w:val="04A0" w:firstRow="1" w:lastRow="0" w:firstColumn="1" w:lastColumn="0" w:noHBand="0" w:noVBand="1"/>
        <w:tblCaption w:val="Content table"/>
      </w:tblPr>
      <w:tblGrid>
        <w:gridCol w:w="2875"/>
        <w:gridCol w:w="3883"/>
        <w:gridCol w:w="2962"/>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7CD5DCE8" w14:textId="43ADDADF" w:rsidR="001C5E8D" w:rsidRPr="00764E33" w:rsidRDefault="00A53CE5" w:rsidP="00A53CE5">
            <w:pPr>
              <w:rPr>
                <w:color w:val="auto"/>
              </w:rPr>
            </w:pPr>
            <w:r>
              <w:rPr>
                <w:color w:val="auto"/>
              </w:rPr>
              <w:t>Florian Vollmer</w:t>
            </w:r>
          </w:p>
        </w:tc>
        <w:tc>
          <w:tcPr>
            <w:tcW w:w="3240" w:type="dxa"/>
          </w:tcPr>
          <w:p w14:paraId="3388B727" w14:textId="236D296B" w:rsidR="001C5E8D" w:rsidRPr="00764E33" w:rsidRDefault="00A53CE5">
            <w:pPr>
              <w:rPr>
                <w:color w:val="auto"/>
              </w:rPr>
            </w:pPr>
            <w:r>
              <w:rPr>
                <w:color w:val="auto"/>
              </w:rPr>
              <w:t>florian.vollmer@design.gatech.edu</w:t>
            </w:r>
          </w:p>
        </w:tc>
        <w:tc>
          <w:tcPr>
            <w:tcW w:w="3241" w:type="dxa"/>
          </w:tcPr>
          <w:p w14:paraId="1EE72B36" w14:textId="51201908" w:rsidR="004B2A40" w:rsidRPr="00764E33" w:rsidRDefault="00A53CE5" w:rsidP="00A53CE5">
            <w:pPr>
              <w:rPr>
                <w:color w:val="auto"/>
              </w:rPr>
            </w:pPr>
            <w:r>
              <w:rPr>
                <w:color w:val="auto"/>
              </w:rPr>
              <w:t>Available at 404.422.8556</w:t>
            </w:r>
          </w:p>
        </w:tc>
      </w:tr>
    </w:tbl>
    <w:p w14:paraId="7BB13545" w14:textId="2CC329D8" w:rsidR="001C5E8D" w:rsidRPr="00425E17" w:rsidRDefault="00425E17" w:rsidP="005E60ED">
      <w:pPr>
        <w:spacing w:before="240" w:after="80"/>
        <w:rPr>
          <w:b/>
          <w:color w:val="262626" w:themeColor="text1" w:themeTint="D9"/>
          <w:szCs w:val="24"/>
        </w:rPr>
      </w:pPr>
      <w:r w:rsidRPr="00425E17">
        <w:rPr>
          <w:b/>
          <w:color w:val="0F6FC6" w:themeColor="accent1"/>
          <w:szCs w:val="24"/>
        </w:rPr>
        <w:t>General Information</w:t>
      </w:r>
    </w:p>
    <w:p w14:paraId="5CF1A9CB" w14:textId="716288B7" w:rsidR="009F5A13" w:rsidRDefault="00463815" w:rsidP="009F5A13">
      <w:pPr>
        <w:spacing w:after="80"/>
        <w:rPr>
          <w:rFonts w:ascii="Proxima Nova Cn Lt" w:hAnsi="Proxima Nova Cn Lt"/>
        </w:rPr>
      </w:pPr>
      <w:r w:rsidRPr="00425E17">
        <w:rPr>
          <w:b/>
          <w:color w:val="auto"/>
          <w:sz w:val="22"/>
          <w:szCs w:val="22"/>
        </w:rPr>
        <w:t>Description</w:t>
      </w:r>
    </w:p>
    <w:p w14:paraId="5CCDDD84" w14:textId="1B2573EA" w:rsidR="0000152F" w:rsidRPr="009F4AB9" w:rsidRDefault="009F5A13" w:rsidP="00FF4DDC">
      <w:pPr>
        <w:jc w:val="both"/>
        <w:rPr>
          <w:rFonts w:ascii="Proxima Nova Cn Lt" w:hAnsi="Proxima Nova Cn Lt"/>
          <w:sz w:val="20"/>
          <w:szCs w:val="20"/>
        </w:rPr>
      </w:pPr>
      <w:r w:rsidRPr="009F4AB9">
        <w:rPr>
          <w:rFonts w:ascii="Proxima Nova Cn Lt" w:hAnsi="Proxima Nova Cn Lt"/>
          <w:sz w:val="20"/>
          <w:szCs w:val="20"/>
        </w:rPr>
        <w:t xml:space="preserve">This course introduces students to how visual design, product design and service design align to optimize user experiences that drive business. It incorporates various brand and value creation approaches in a services/ portfolio context. Students will work on projects and in-class experiences. </w:t>
      </w:r>
    </w:p>
    <w:p w14:paraId="3FF0D8C7" w14:textId="68A8021C" w:rsidR="005C3649" w:rsidRPr="00425E17" w:rsidRDefault="005C3649">
      <w:pPr>
        <w:pStyle w:val="Heading2"/>
        <w:rPr>
          <w:color w:val="auto"/>
        </w:rPr>
      </w:pPr>
      <w:r w:rsidRPr="00425E17">
        <w:rPr>
          <w:color w:val="auto"/>
        </w:rPr>
        <w:t>Pre- &amp;/or Co-Requisites</w:t>
      </w:r>
    </w:p>
    <w:p w14:paraId="24255B06" w14:textId="503AA524" w:rsidR="005C3649" w:rsidRPr="009F4AB9" w:rsidRDefault="00FF4DDC" w:rsidP="005C3649">
      <w:pPr>
        <w:rPr>
          <w:sz w:val="20"/>
          <w:szCs w:val="20"/>
        </w:rPr>
      </w:pPr>
      <w:r w:rsidRPr="009F4AB9">
        <w:rPr>
          <w:sz w:val="20"/>
          <w:szCs w:val="20"/>
        </w:rPr>
        <w:t>None</w:t>
      </w:r>
    </w:p>
    <w:p w14:paraId="1FE12567" w14:textId="4D5B2DF9" w:rsidR="001C5E8D" w:rsidRPr="00425E17" w:rsidRDefault="004B2A40" w:rsidP="005C3649">
      <w:pPr>
        <w:pStyle w:val="Heading2"/>
        <w:rPr>
          <w:color w:val="auto"/>
        </w:rPr>
      </w:pPr>
      <w:r w:rsidRPr="00425E17">
        <w:rPr>
          <w:color w:val="auto"/>
        </w:rPr>
        <w:t xml:space="preserve">Course Goals and Learning </w:t>
      </w:r>
      <w:r w:rsidR="00695BB3">
        <w:rPr>
          <w:color w:val="auto"/>
        </w:rPr>
        <w:t>Outcomes</w:t>
      </w:r>
    </w:p>
    <w:p w14:paraId="6CD8355A" w14:textId="77777777" w:rsidR="00A633C6" w:rsidRPr="009F4AB9" w:rsidRDefault="00A633C6" w:rsidP="00A633C6">
      <w:pPr>
        <w:spacing w:before="240"/>
        <w:rPr>
          <w:sz w:val="20"/>
          <w:szCs w:val="20"/>
        </w:rPr>
      </w:pPr>
      <w:r w:rsidRPr="009F4AB9">
        <w:rPr>
          <w:sz w:val="20"/>
          <w:szCs w:val="20"/>
        </w:rPr>
        <w:t>Upon completion of the course students are expected to demonstrate knowledge, skill and abilities in the following areas:</w:t>
      </w:r>
    </w:p>
    <w:p w14:paraId="1DB45F57" w14:textId="57D12F58" w:rsidR="009F5A13" w:rsidRPr="009F4AB9" w:rsidRDefault="009F5A13" w:rsidP="00695BB3">
      <w:pPr>
        <w:pStyle w:val="ListParagraph"/>
        <w:numPr>
          <w:ilvl w:val="0"/>
          <w:numId w:val="18"/>
        </w:numPr>
        <w:rPr>
          <w:sz w:val="20"/>
          <w:szCs w:val="20"/>
        </w:rPr>
      </w:pPr>
      <w:r w:rsidRPr="009F4AB9">
        <w:rPr>
          <w:sz w:val="20"/>
          <w:szCs w:val="20"/>
        </w:rPr>
        <w:t>A</w:t>
      </w:r>
      <w:r w:rsidR="00A633C6" w:rsidRPr="009F4AB9">
        <w:rPr>
          <w:sz w:val="20"/>
          <w:szCs w:val="20"/>
        </w:rPr>
        <w:t>n understanding of service design tools</w:t>
      </w:r>
      <w:r w:rsidRPr="009F4AB9">
        <w:rPr>
          <w:sz w:val="20"/>
          <w:szCs w:val="20"/>
        </w:rPr>
        <w:t xml:space="preserve"> and the ability to apply those tools onto project deliverables. </w:t>
      </w:r>
    </w:p>
    <w:p w14:paraId="22EE7AAA" w14:textId="77777777" w:rsidR="009F5A13" w:rsidRPr="009F4AB9" w:rsidRDefault="009F5A13" w:rsidP="00695BB3">
      <w:pPr>
        <w:pStyle w:val="ListParagraph"/>
        <w:numPr>
          <w:ilvl w:val="0"/>
          <w:numId w:val="18"/>
        </w:numPr>
        <w:rPr>
          <w:sz w:val="20"/>
          <w:szCs w:val="20"/>
        </w:rPr>
      </w:pPr>
      <w:r w:rsidRPr="009F4AB9">
        <w:rPr>
          <w:sz w:val="20"/>
          <w:szCs w:val="20"/>
        </w:rPr>
        <w:t xml:space="preserve">Design strategy for branded experiences through the incorporation of systems thinking and corporate identity elements. </w:t>
      </w:r>
    </w:p>
    <w:p w14:paraId="7EA0BA56" w14:textId="28BBE8E1" w:rsidR="00A633C6" w:rsidRPr="009F4AB9" w:rsidRDefault="009F5A13" w:rsidP="00695BB3">
      <w:pPr>
        <w:pStyle w:val="ListParagraph"/>
        <w:numPr>
          <w:ilvl w:val="0"/>
          <w:numId w:val="18"/>
        </w:numPr>
        <w:rPr>
          <w:sz w:val="20"/>
          <w:szCs w:val="20"/>
        </w:rPr>
      </w:pPr>
      <w:r w:rsidRPr="009F4AB9">
        <w:rPr>
          <w:sz w:val="20"/>
          <w:szCs w:val="20"/>
        </w:rPr>
        <w:t xml:space="preserve">Presentation and communication skills with a focus on engaging storytelling </w:t>
      </w:r>
      <w:r w:rsidRPr="009F4AB9">
        <w:rPr>
          <w:sz w:val="20"/>
          <w:szCs w:val="20"/>
        </w:rPr>
        <w:tab/>
      </w:r>
    </w:p>
    <w:p w14:paraId="273C6ED8" w14:textId="554D7BF1" w:rsidR="00A53CE5" w:rsidRPr="00A633C6" w:rsidRDefault="002A12C7" w:rsidP="00695BB3">
      <w:pPr>
        <w:spacing w:before="60" w:after="0"/>
        <w:ind w:left="720"/>
      </w:pPr>
      <w:r>
        <w:br/>
      </w:r>
    </w:p>
    <w:p w14:paraId="572AB708" w14:textId="170B4AAC" w:rsidR="00D51688" w:rsidRPr="00A53CE5" w:rsidRDefault="00425E17" w:rsidP="00A53CE5">
      <w:pPr>
        <w:spacing w:before="240"/>
        <w:rPr>
          <w:b/>
          <w:color w:val="262626" w:themeColor="text1" w:themeTint="D9"/>
          <w:szCs w:val="24"/>
        </w:rPr>
      </w:pPr>
      <w:r w:rsidRPr="00425E17">
        <w:rPr>
          <w:b/>
          <w:color w:val="0F6FC6" w:themeColor="accent1"/>
          <w:szCs w:val="24"/>
        </w:rPr>
        <w:t>Course Requirements &amp; Grading</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12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76A900D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5414" w:type="dxa"/>
          </w:tcPr>
          <w:p w14:paraId="22930D96" w14:textId="35A4BBB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127CA1" w:rsidRPr="009F4AB9" w14:paraId="6C494D69" w14:textId="77777777" w:rsidTr="00127CA1">
        <w:tc>
          <w:tcPr>
            <w:cnfStyle w:val="001000000000" w:firstRow="0" w:lastRow="0" w:firstColumn="1" w:lastColumn="0" w:oddVBand="0" w:evenVBand="0" w:oddHBand="0" w:evenHBand="0" w:firstRowFirstColumn="0" w:firstRowLastColumn="0" w:lastRowFirstColumn="0" w:lastRowLastColumn="0"/>
            <w:tcW w:w="2250" w:type="dxa"/>
          </w:tcPr>
          <w:p w14:paraId="1DF9AD1D" w14:textId="7D2B6443" w:rsidR="00127CA1" w:rsidRPr="009F4AB9" w:rsidRDefault="00127CA1" w:rsidP="005C3649">
            <w:pPr>
              <w:rPr>
                <w:sz w:val="20"/>
                <w:szCs w:val="20"/>
              </w:rPr>
            </w:pPr>
            <w:r w:rsidRPr="009F4AB9">
              <w:rPr>
                <w:sz w:val="20"/>
                <w:szCs w:val="20"/>
              </w:rPr>
              <w:t>Phase One</w:t>
            </w:r>
          </w:p>
        </w:tc>
        <w:tc>
          <w:tcPr>
            <w:tcW w:w="2070" w:type="dxa"/>
          </w:tcPr>
          <w:p w14:paraId="5669B5B7" w14:textId="48C96EDD"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WK 1-4</w:t>
            </w:r>
          </w:p>
        </w:tc>
        <w:tc>
          <w:tcPr>
            <w:tcW w:w="5414" w:type="dxa"/>
          </w:tcPr>
          <w:p w14:paraId="0E72FC64" w14:textId="725981B4"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15%</w:t>
            </w:r>
          </w:p>
        </w:tc>
      </w:tr>
      <w:tr w:rsidR="00127CA1" w:rsidRPr="009F4AB9" w14:paraId="242ED625" w14:textId="77777777" w:rsidTr="00127CA1">
        <w:tc>
          <w:tcPr>
            <w:cnfStyle w:val="001000000000" w:firstRow="0" w:lastRow="0" w:firstColumn="1" w:lastColumn="0" w:oddVBand="0" w:evenVBand="0" w:oddHBand="0" w:evenHBand="0" w:firstRowFirstColumn="0" w:firstRowLastColumn="0" w:lastRowFirstColumn="0" w:lastRowLastColumn="0"/>
            <w:tcW w:w="2250" w:type="dxa"/>
          </w:tcPr>
          <w:p w14:paraId="532BA11E" w14:textId="55091B54" w:rsidR="00127CA1" w:rsidRPr="009F4AB9" w:rsidRDefault="00127CA1" w:rsidP="005C3649">
            <w:pPr>
              <w:rPr>
                <w:sz w:val="20"/>
                <w:szCs w:val="20"/>
              </w:rPr>
            </w:pPr>
            <w:r w:rsidRPr="009F4AB9">
              <w:rPr>
                <w:sz w:val="20"/>
                <w:szCs w:val="20"/>
              </w:rPr>
              <w:t>Phase Two</w:t>
            </w:r>
          </w:p>
        </w:tc>
        <w:tc>
          <w:tcPr>
            <w:tcW w:w="2070" w:type="dxa"/>
          </w:tcPr>
          <w:p w14:paraId="1A482352" w14:textId="3A9C02B0"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WK 5-9</w:t>
            </w:r>
          </w:p>
        </w:tc>
        <w:tc>
          <w:tcPr>
            <w:tcW w:w="5414" w:type="dxa"/>
          </w:tcPr>
          <w:p w14:paraId="4BD0CBFF" w14:textId="622391F1"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25%</w:t>
            </w:r>
          </w:p>
        </w:tc>
      </w:tr>
      <w:tr w:rsidR="00127CA1" w:rsidRPr="009F4AB9" w14:paraId="7C447B07" w14:textId="77777777" w:rsidTr="00127CA1">
        <w:tc>
          <w:tcPr>
            <w:cnfStyle w:val="001000000000" w:firstRow="0" w:lastRow="0" w:firstColumn="1" w:lastColumn="0" w:oddVBand="0" w:evenVBand="0" w:oddHBand="0" w:evenHBand="0" w:firstRowFirstColumn="0" w:firstRowLastColumn="0" w:lastRowFirstColumn="0" w:lastRowLastColumn="0"/>
            <w:tcW w:w="2250" w:type="dxa"/>
          </w:tcPr>
          <w:p w14:paraId="33DA217C" w14:textId="702E8D34" w:rsidR="00127CA1" w:rsidRPr="009F4AB9" w:rsidRDefault="00127CA1">
            <w:pPr>
              <w:rPr>
                <w:sz w:val="20"/>
                <w:szCs w:val="20"/>
              </w:rPr>
            </w:pPr>
            <w:r w:rsidRPr="009F4AB9">
              <w:rPr>
                <w:sz w:val="20"/>
                <w:szCs w:val="20"/>
              </w:rPr>
              <w:t xml:space="preserve">Phase Three </w:t>
            </w:r>
          </w:p>
        </w:tc>
        <w:tc>
          <w:tcPr>
            <w:tcW w:w="2070" w:type="dxa"/>
          </w:tcPr>
          <w:p w14:paraId="53B4FAE2" w14:textId="798A79F7"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WK 9-16</w:t>
            </w:r>
          </w:p>
        </w:tc>
        <w:tc>
          <w:tcPr>
            <w:tcW w:w="5414" w:type="dxa"/>
          </w:tcPr>
          <w:p w14:paraId="524355EE" w14:textId="04D588D5" w:rsidR="00127CA1" w:rsidRPr="009F4AB9" w:rsidRDefault="00127CA1">
            <w:pPr>
              <w:cnfStyle w:val="000000000000" w:firstRow="0" w:lastRow="0" w:firstColumn="0" w:lastColumn="0" w:oddVBand="0" w:evenVBand="0" w:oddHBand="0" w:evenHBand="0" w:firstRowFirstColumn="0" w:firstRowLastColumn="0" w:lastRowFirstColumn="0" w:lastRowLastColumn="0"/>
              <w:rPr>
                <w:sz w:val="20"/>
                <w:szCs w:val="20"/>
              </w:rPr>
            </w:pPr>
            <w:r w:rsidRPr="009F4AB9">
              <w:rPr>
                <w:sz w:val="20"/>
                <w:szCs w:val="20"/>
              </w:rPr>
              <w:t>60%</w:t>
            </w:r>
          </w:p>
        </w:tc>
      </w:tr>
    </w:tbl>
    <w:p w14:paraId="6A30A723" w14:textId="77777777" w:rsidR="00D51688" w:rsidRPr="00D51688" w:rsidRDefault="00D51688" w:rsidP="00D51688">
      <w:pPr>
        <w:rPr>
          <w:b/>
          <w:color w:val="0F6FC6" w:themeColor="accent1"/>
          <w:sz w:val="10"/>
          <w:szCs w:val="10"/>
        </w:rPr>
      </w:pPr>
    </w:p>
    <w:p w14:paraId="659B910D" w14:textId="599153AC" w:rsidR="009F0EFA" w:rsidRPr="00425E17" w:rsidRDefault="009F0EFA" w:rsidP="005E60ED">
      <w:pPr>
        <w:spacing w:before="200" w:after="80"/>
        <w:rPr>
          <w:b/>
          <w:color w:val="auto"/>
          <w:sz w:val="22"/>
          <w:szCs w:val="22"/>
        </w:rPr>
      </w:pPr>
      <w:r w:rsidRPr="00425E17">
        <w:rPr>
          <w:b/>
          <w:color w:val="auto"/>
          <w:sz w:val="22"/>
          <w:szCs w:val="22"/>
        </w:rPr>
        <w:t xml:space="preserve">Extra Credit and Grade Dispute Policies and Procedures </w:t>
      </w:r>
    </w:p>
    <w:p w14:paraId="05A26E10" w14:textId="4E61BFE3" w:rsidR="005E60ED" w:rsidRPr="009F4AB9" w:rsidRDefault="00A53CE5" w:rsidP="005E60ED">
      <w:pPr>
        <w:rPr>
          <w:sz w:val="20"/>
          <w:szCs w:val="20"/>
        </w:rPr>
      </w:pPr>
      <w:r w:rsidRPr="009F4AB9">
        <w:rPr>
          <w:sz w:val="20"/>
          <w:szCs w:val="20"/>
        </w:rPr>
        <w:lastRenderedPageBreak/>
        <w:t xml:space="preserve">Extra credits can be obtained through additional contributions and add-on projects. Goals, workload, points obtainable will be discussed on a case-by-case basis. </w:t>
      </w:r>
    </w:p>
    <w:p w14:paraId="69506B9C" w14:textId="1F507983" w:rsidR="005C3649" w:rsidRPr="00425E17" w:rsidRDefault="00A11086" w:rsidP="005C3649">
      <w:pPr>
        <w:rPr>
          <w:b/>
          <w:color w:val="auto"/>
          <w:sz w:val="22"/>
          <w:szCs w:val="22"/>
        </w:rPr>
      </w:pPr>
      <w:r w:rsidRPr="00425E17">
        <w:rPr>
          <w:b/>
          <w:color w:val="auto"/>
          <w:sz w:val="22"/>
          <w:szCs w:val="22"/>
        </w:rPr>
        <w:t>Description of Graded Components</w:t>
      </w:r>
    </w:p>
    <w:p w14:paraId="503F97B6" w14:textId="17F3A1B8" w:rsidR="005C3649" w:rsidRPr="009F4AB9" w:rsidRDefault="00A53CE5" w:rsidP="005C3649">
      <w:pPr>
        <w:rPr>
          <w:sz w:val="20"/>
          <w:szCs w:val="20"/>
        </w:rPr>
      </w:pPr>
      <w:r w:rsidRPr="009F4AB9">
        <w:rPr>
          <w:color w:val="808080" w:themeColor="background1" w:themeShade="80"/>
          <w:sz w:val="20"/>
          <w:szCs w:val="20"/>
        </w:rPr>
        <w:t xml:space="preserve">Major assignments will define the final grade in the course (see above). </w:t>
      </w:r>
    </w:p>
    <w:p w14:paraId="0998087D" w14:textId="7247FCC0" w:rsidR="00174C89" w:rsidRPr="00425E17" w:rsidRDefault="00174C89" w:rsidP="00174C89">
      <w:pPr>
        <w:rPr>
          <w:b/>
          <w:color w:val="auto"/>
          <w:sz w:val="22"/>
          <w:szCs w:val="22"/>
        </w:rPr>
      </w:pPr>
      <w:r>
        <w:rPr>
          <w:b/>
          <w:color w:val="auto"/>
          <w:sz w:val="22"/>
          <w:szCs w:val="22"/>
        </w:rPr>
        <w:t>Grading Scale</w:t>
      </w:r>
    </w:p>
    <w:p w14:paraId="288A5A7C" w14:textId="51BC1064" w:rsidR="00174C89" w:rsidRPr="009F4AB9" w:rsidRDefault="00DE6F88" w:rsidP="00DE6F88">
      <w:pPr>
        <w:spacing w:after="0"/>
        <w:rPr>
          <w:sz w:val="20"/>
          <w:szCs w:val="20"/>
        </w:rPr>
      </w:pPr>
      <w:r w:rsidRPr="009F4AB9">
        <w:rPr>
          <w:sz w:val="20"/>
          <w:szCs w:val="20"/>
        </w:rPr>
        <w:t>Your final grade will be assigned as a letter grade according to the following scale:</w:t>
      </w:r>
    </w:p>
    <w:p w14:paraId="2D68F7AB" w14:textId="3C3D2668" w:rsidR="00DE6F88" w:rsidRPr="009F4AB9" w:rsidRDefault="00DE6F88" w:rsidP="00DE6F88">
      <w:pPr>
        <w:spacing w:after="0"/>
        <w:ind w:left="720"/>
        <w:rPr>
          <w:sz w:val="20"/>
          <w:szCs w:val="20"/>
        </w:rPr>
      </w:pPr>
      <w:r w:rsidRPr="009F4AB9">
        <w:rPr>
          <w:sz w:val="20"/>
          <w:szCs w:val="20"/>
        </w:rPr>
        <w:t>A</w:t>
      </w:r>
      <w:r w:rsidRPr="009F4AB9">
        <w:rPr>
          <w:sz w:val="20"/>
          <w:szCs w:val="20"/>
        </w:rPr>
        <w:tab/>
        <w:t>90-100%</w:t>
      </w:r>
      <w:r w:rsidR="00260062" w:rsidRPr="009F4AB9">
        <w:rPr>
          <w:sz w:val="20"/>
          <w:szCs w:val="20"/>
        </w:rPr>
        <w:t xml:space="preserve"> </w:t>
      </w:r>
      <w:r w:rsidR="00260062" w:rsidRPr="009F4AB9">
        <w:rPr>
          <w:sz w:val="20"/>
          <w:szCs w:val="20"/>
        </w:rPr>
        <w:tab/>
        <w:t xml:space="preserve">(Guide: Independent work style and exceeding expectations) </w:t>
      </w:r>
    </w:p>
    <w:p w14:paraId="1C42BA6A" w14:textId="10F72E6A" w:rsidR="00DE6F88" w:rsidRPr="009F4AB9" w:rsidRDefault="00DE6F88" w:rsidP="00DE6F88">
      <w:pPr>
        <w:spacing w:after="0"/>
        <w:ind w:left="720"/>
        <w:rPr>
          <w:sz w:val="20"/>
          <w:szCs w:val="20"/>
        </w:rPr>
      </w:pPr>
      <w:r w:rsidRPr="009F4AB9">
        <w:rPr>
          <w:sz w:val="20"/>
          <w:szCs w:val="20"/>
        </w:rPr>
        <w:t>B</w:t>
      </w:r>
      <w:r w:rsidRPr="009F4AB9">
        <w:rPr>
          <w:sz w:val="20"/>
          <w:szCs w:val="20"/>
        </w:rPr>
        <w:tab/>
        <w:t>80-89%</w:t>
      </w:r>
      <w:r w:rsidR="00260062" w:rsidRPr="009F4AB9">
        <w:rPr>
          <w:sz w:val="20"/>
          <w:szCs w:val="20"/>
        </w:rPr>
        <w:tab/>
        <w:t>(Guide: Meet expectations)</w:t>
      </w:r>
    </w:p>
    <w:p w14:paraId="6D0C98D8" w14:textId="75BC48AF" w:rsidR="00DE6F88" w:rsidRPr="009F4AB9" w:rsidRDefault="00DE6F88" w:rsidP="00DE6F88">
      <w:pPr>
        <w:spacing w:after="0"/>
        <w:ind w:left="720"/>
        <w:rPr>
          <w:sz w:val="20"/>
          <w:szCs w:val="20"/>
        </w:rPr>
      </w:pPr>
      <w:r w:rsidRPr="009F4AB9">
        <w:rPr>
          <w:sz w:val="20"/>
          <w:szCs w:val="20"/>
        </w:rPr>
        <w:t>C</w:t>
      </w:r>
      <w:r w:rsidRPr="009F4AB9">
        <w:rPr>
          <w:sz w:val="20"/>
          <w:szCs w:val="20"/>
        </w:rPr>
        <w:tab/>
        <w:t>70-79%</w:t>
      </w:r>
      <w:r w:rsidR="00260062" w:rsidRPr="009F4AB9">
        <w:rPr>
          <w:sz w:val="20"/>
          <w:szCs w:val="20"/>
        </w:rPr>
        <w:tab/>
        <w:t>(Guide: Meets the majority of expectations)</w:t>
      </w:r>
    </w:p>
    <w:p w14:paraId="08EABF3C" w14:textId="406A5E32" w:rsidR="00DE6F88" w:rsidRPr="009F4AB9" w:rsidRDefault="00DE6F88" w:rsidP="00DE6F88">
      <w:pPr>
        <w:spacing w:after="0"/>
        <w:ind w:left="720"/>
        <w:rPr>
          <w:sz w:val="20"/>
          <w:szCs w:val="20"/>
        </w:rPr>
      </w:pPr>
      <w:r w:rsidRPr="009F4AB9">
        <w:rPr>
          <w:sz w:val="20"/>
          <w:szCs w:val="20"/>
        </w:rPr>
        <w:t>D</w:t>
      </w:r>
      <w:r w:rsidRPr="009F4AB9">
        <w:rPr>
          <w:sz w:val="20"/>
          <w:szCs w:val="20"/>
        </w:rPr>
        <w:tab/>
        <w:t>60-69%</w:t>
      </w:r>
      <w:r w:rsidR="00260062" w:rsidRPr="009F4AB9">
        <w:rPr>
          <w:sz w:val="20"/>
          <w:szCs w:val="20"/>
        </w:rPr>
        <w:tab/>
        <w:t>(Guide: Fails to meet some expectations)</w:t>
      </w:r>
    </w:p>
    <w:p w14:paraId="7935C2BF" w14:textId="4BAC6D85" w:rsidR="00DE6F88" w:rsidRPr="009F4AB9" w:rsidRDefault="00DE6F88" w:rsidP="00DE6F88">
      <w:pPr>
        <w:ind w:left="720"/>
        <w:rPr>
          <w:sz w:val="20"/>
          <w:szCs w:val="20"/>
        </w:rPr>
      </w:pPr>
      <w:r w:rsidRPr="009F4AB9">
        <w:rPr>
          <w:sz w:val="20"/>
          <w:szCs w:val="20"/>
        </w:rPr>
        <w:t>F</w:t>
      </w:r>
      <w:r w:rsidRPr="009F4AB9">
        <w:rPr>
          <w:sz w:val="20"/>
          <w:szCs w:val="20"/>
        </w:rPr>
        <w:tab/>
        <w:t>0-59%</w:t>
      </w:r>
      <w:r w:rsidR="00260062" w:rsidRPr="009F4AB9">
        <w:rPr>
          <w:sz w:val="20"/>
          <w:szCs w:val="20"/>
        </w:rPr>
        <w:tab/>
      </w:r>
      <w:r w:rsidR="00260062" w:rsidRPr="009F4AB9">
        <w:rPr>
          <w:sz w:val="20"/>
          <w:szCs w:val="20"/>
        </w:rPr>
        <w:tab/>
        <w:t>(Guide: Fails to meet most expectations)</w:t>
      </w:r>
    </w:p>
    <w:p w14:paraId="59B7387A" w14:textId="1D8FF203" w:rsidR="008D6E8D" w:rsidRPr="00425E17" w:rsidRDefault="00425E17" w:rsidP="005E60ED">
      <w:pPr>
        <w:spacing w:before="240" w:after="80"/>
        <w:rPr>
          <w:b/>
          <w:color w:val="262626" w:themeColor="text1" w:themeTint="D9"/>
          <w:szCs w:val="24"/>
        </w:rPr>
      </w:pPr>
      <w:r w:rsidRPr="00425E17">
        <w:rPr>
          <w:b/>
          <w:color w:val="0F6FC6" w:themeColor="accent1"/>
          <w:szCs w:val="24"/>
        </w:rPr>
        <w:t>Course Materials</w:t>
      </w:r>
    </w:p>
    <w:p w14:paraId="64FE8BC4" w14:textId="77777777" w:rsidR="008D6E8D" w:rsidRDefault="008D6E8D" w:rsidP="005E60ED">
      <w:pPr>
        <w:spacing w:after="80"/>
        <w:rPr>
          <w:b/>
          <w:color w:val="auto"/>
          <w:sz w:val="22"/>
          <w:szCs w:val="22"/>
        </w:rPr>
      </w:pPr>
      <w:r w:rsidRPr="00425E17">
        <w:rPr>
          <w:b/>
          <w:color w:val="auto"/>
          <w:sz w:val="22"/>
          <w:szCs w:val="22"/>
        </w:rPr>
        <w:t>Course Text</w:t>
      </w:r>
    </w:p>
    <w:p w14:paraId="0AF153EC" w14:textId="77777777" w:rsidR="000E3DC3" w:rsidRPr="009F4AB9" w:rsidRDefault="00260062" w:rsidP="000E3DC3">
      <w:pPr>
        <w:pStyle w:val="ListBullet"/>
        <w:tabs>
          <w:tab w:val="clear" w:pos="144"/>
        </w:tabs>
        <w:rPr>
          <w:sz w:val="20"/>
          <w:szCs w:val="20"/>
        </w:rPr>
      </w:pPr>
      <w:r w:rsidRPr="009F4AB9">
        <w:rPr>
          <w:sz w:val="20"/>
          <w:szCs w:val="20"/>
        </w:rPr>
        <w:t>THIS IS SERVICE DESIGN THINKING: BASICS, TOOLS, CASES by Marc Stickdorn, Jakob Schneider</w:t>
      </w:r>
    </w:p>
    <w:p w14:paraId="280A69CC" w14:textId="672D39DB" w:rsidR="000E3DC3" w:rsidRPr="009F4AB9" w:rsidRDefault="000E3DC3" w:rsidP="000E3DC3">
      <w:pPr>
        <w:pStyle w:val="ListBullet"/>
        <w:tabs>
          <w:tab w:val="clear" w:pos="144"/>
        </w:tabs>
        <w:rPr>
          <w:sz w:val="20"/>
          <w:szCs w:val="20"/>
        </w:rPr>
      </w:pPr>
      <w:r w:rsidRPr="009F4AB9">
        <w:rPr>
          <w:sz w:val="20"/>
          <w:szCs w:val="20"/>
        </w:rPr>
        <w:t>Wheeler, Alina; Designing Brand Identity: An Essential Guide for the Whole Branding Team, 4th Edition</w:t>
      </w:r>
    </w:p>
    <w:p w14:paraId="5C8638B6" w14:textId="77777777" w:rsidR="00260062" w:rsidRPr="00425E17" w:rsidRDefault="00260062" w:rsidP="005E60ED">
      <w:pPr>
        <w:spacing w:after="80"/>
        <w:rPr>
          <w:b/>
          <w:color w:val="auto"/>
          <w:sz w:val="22"/>
          <w:szCs w:val="22"/>
        </w:rPr>
      </w:pPr>
    </w:p>
    <w:p w14:paraId="416E460D" w14:textId="77777777" w:rsidR="008D6E8D" w:rsidRPr="00425E17" w:rsidRDefault="008D6E8D" w:rsidP="008D6E8D">
      <w:pPr>
        <w:pStyle w:val="Heading2"/>
        <w:rPr>
          <w:color w:val="auto"/>
        </w:rPr>
      </w:pPr>
      <w:r w:rsidRPr="00425E17">
        <w:rPr>
          <w:color w:val="auto"/>
        </w:rPr>
        <w:t>Additional Materials/Resources</w:t>
      </w:r>
    </w:p>
    <w:p w14:paraId="5A04996A" w14:textId="521FE49B" w:rsidR="00260062" w:rsidRPr="009F4AB9" w:rsidRDefault="00260062" w:rsidP="00260062">
      <w:pPr>
        <w:spacing w:after="0"/>
        <w:ind w:left="720"/>
        <w:rPr>
          <w:sz w:val="20"/>
          <w:szCs w:val="20"/>
        </w:rPr>
      </w:pPr>
      <w:r w:rsidRPr="009F4AB9">
        <w:rPr>
          <w:sz w:val="20"/>
          <w:szCs w:val="20"/>
        </w:rPr>
        <w:t xml:space="preserve">• THE FUNDAMENTALS OF DESIGN MANAGEMENT by Kathryn </w:t>
      </w:r>
      <w:r w:rsidR="00695BB3" w:rsidRPr="009F4AB9">
        <w:rPr>
          <w:sz w:val="20"/>
          <w:szCs w:val="20"/>
        </w:rPr>
        <w:t>Best</w:t>
      </w:r>
    </w:p>
    <w:p w14:paraId="6B3692B4" w14:textId="74DC38F7" w:rsidR="009F5A13" w:rsidRPr="009F4AB9" w:rsidRDefault="009F5A13" w:rsidP="00260062">
      <w:pPr>
        <w:spacing w:after="0"/>
        <w:ind w:left="720"/>
        <w:rPr>
          <w:sz w:val="20"/>
          <w:szCs w:val="20"/>
        </w:rPr>
      </w:pPr>
      <w:r w:rsidRPr="009F4AB9">
        <w:rPr>
          <w:sz w:val="20"/>
          <w:szCs w:val="20"/>
        </w:rPr>
        <w:t xml:space="preserve">• </w:t>
      </w:r>
      <w:r w:rsidR="002F31EA" w:rsidRPr="009F4AB9">
        <w:rPr>
          <w:sz w:val="20"/>
          <w:szCs w:val="20"/>
        </w:rPr>
        <w:t xml:space="preserve">DESIGN AND THE CREATION OF VALUE by John Heskett </w:t>
      </w:r>
    </w:p>
    <w:p w14:paraId="7D7E5DEE" w14:textId="77777777" w:rsidR="00260062" w:rsidRPr="009F4AB9" w:rsidRDefault="00260062" w:rsidP="00260062">
      <w:pPr>
        <w:spacing w:after="0"/>
        <w:ind w:left="720"/>
        <w:rPr>
          <w:sz w:val="20"/>
          <w:szCs w:val="20"/>
        </w:rPr>
      </w:pPr>
      <w:r w:rsidRPr="009F4AB9">
        <w:rPr>
          <w:sz w:val="20"/>
          <w:szCs w:val="20"/>
        </w:rPr>
        <w:t>• INTERSECTION by Milan Guenther</w:t>
      </w:r>
    </w:p>
    <w:p w14:paraId="093AA398" w14:textId="1898A15F" w:rsidR="00260062" w:rsidRPr="009F4AB9" w:rsidRDefault="00260062">
      <w:pPr>
        <w:spacing w:after="0"/>
        <w:ind w:left="720"/>
        <w:rPr>
          <w:sz w:val="20"/>
          <w:szCs w:val="20"/>
        </w:rPr>
      </w:pPr>
      <w:r w:rsidRPr="009F4AB9">
        <w:rPr>
          <w:sz w:val="20"/>
          <w:szCs w:val="20"/>
        </w:rPr>
        <w:t>• CHANGE BY DESIGN: HOW DESIGN THINKING TRANSFORMS ORGANIZATIONS AND INSPIRES INNOVATION</w:t>
      </w:r>
      <w:r w:rsidR="002F31EA" w:rsidRPr="009F4AB9">
        <w:rPr>
          <w:sz w:val="20"/>
          <w:szCs w:val="20"/>
        </w:rPr>
        <w:t xml:space="preserve"> </w:t>
      </w:r>
      <w:r w:rsidRPr="009F4AB9">
        <w:rPr>
          <w:sz w:val="20"/>
          <w:szCs w:val="20"/>
        </w:rPr>
        <w:t>by Tim Brown</w:t>
      </w:r>
    </w:p>
    <w:p w14:paraId="29A2A1E3" w14:textId="77777777" w:rsidR="00260062" w:rsidRPr="009F4AB9" w:rsidRDefault="00260062" w:rsidP="00260062">
      <w:pPr>
        <w:spacing w:after="0"/>
        <w:ind w:left="720"/>
        <w:rPr>
          <w:sz w:val="20"/>
          <w:szCs w:val="20"/>
        </w:rPr>
      </w:pPr>
      <w:r w:rsidRPr="009F4AB9">
        <w:rPr>
          <w:sz w:val="20"/>
          <w:szCs w:val="20"/>
        </w:rPr>
        <w:t>• DESIGN DICTIONARY (BOARD OF INTERNATIONAL RESEARCH IN DESIGN), Birkhäuser Architecture</w:t>
      </w:r>
    </w:p>
    <w:p w14:paraId="49AAB5F5" w14:textId="0A999DF9" w:rsidR="000E3DC3" w:rsidRPr="009F4AB9" w:rsidRDefault="000E3DC3" w:rsidP="000E3DC3">
      <w:pPr>
        <w:spacing w:after="0"/>
        <w:ind w:left="720"/>
        <w:rPr>
          <w:rFonts w:cs="Arial"/>
          <w:sz w:val="20"/>
          <w:szCs w:val="20"/>
        </w:rPr>
      </w:pPr>
      <w:r w:rsidRPr="009F4AB9">
        <w:rPr>
          <w:sz w:val="20"/>
          <w:szCs w:val="20"/>
        </w:rPr>
        <w:t xml:space="preserve">• </w:t>
      </w:r>
      <w:r w:rsidR="002F31EA" w:rsidRPr="009F4AB9">
        <w:rPr>
          <w:rFonts w:cs="Arial"/>
          <w:sz w:val="20"/>
          <w:szCs w:val="20"/>
        </w:rPr>
        <w:t xml:space="preserve">GAMESTORMING: A PLAYBOOK FOR INNOVATORS, RULEBREAKERS, AND </w:t>
      </w:r>
      <w:r w:rsidRPr="009F4AB9">
        <w:rPr>
          <w:rFonts w:cs="Arial"/>
          <w:sz w:val="20"/>
          <w:szCs w:val="20"/>
        </w:rPr>
        <w:t>Changemakers</w:t>
      </w:r>
      <w:r w:rsidR="002F31EA" w:rsidRPr="009F4AB9">
        <w:rPr>
          <w:rFonts w:cs="Arial"/>
          <w:sz w:val="20"/>
          <w:szCs w:val="20"/>
        </w:rPr>
        <w:t xml:space="preserve"> by </w:t>
      </w:r>
      <w:r w:rsidR="002F31EA" w:rsidRPr="009F4AB9">
        <w:rPr>
          <w:sz w:val="20"/>
          <w:szCs w:val="20"/>
        </w:rPr>
        <w:t>D</w:t>
      </w:r>
      <w:r w:rsidR="002F31EA" w:rsidRPr="009F4AB9">
        <w:rPr>
          <w:rFonts w:cs="Arial"/>
          <w:sz w:val="20"/>
          <w:szCs w:val="20"/>
        </w:rPr>
        <w:t>ave Gray</w:t>
      </w:r>
    </w:p>
    <w:p w14:paraId="79575024" w14:textId="424E049E" w:rsidR="000E3DC3" w:rsidRPr="009F4AB9" w:rsidRDefault="000E3DC3" w:rsidP="000E3DC3">
      <w:pPr>
        <w:spacing w:after="0"/>
        <w:ind w:left="720"/>
        <w:rPr>
          <w:sz w:val="20"/>
          <w:szCs w:val="20"/>
        </w:rPr>
      </w:pPr>
      <w:r w:rsidRPr="009F4AB9">
        <w:rPr>
          <w:rFonts w:cs="Arial"/>
          <w:sz w:val="20"/>
          <w:szCs w:val="20"/>
        </w:rPr>
        <w:t xml:space="preserve">• </w:t>
      </w:r>
      <w:r w:rsidR="002F31EA" w:rsidRPr="009F4AB9">
        <w:rPr>
          <w:sz w:val="20"/>
          <w:szCs w:val="20"/>
        </w:rPr>
        <w:t xml:space="preserve">THE PERSONAL MBA: MASTER THE ART OF </w:t>
      </w:r>
      <w:r w:rsidRPr="009F4AB9">
        <w:rPr>
          <w:sz w:val="20"/>
          <w:szCs w:val="20"/>
        </w:rPr>
        <w:t>Business</w:t>
      </w:r>
      <w:r w:rsidR="002F31EA" w:rsidRPr="009F4AB9">
        <w:rPr>
          <w:sz w:val="20"/>
          <w:szCs w:val="20"/>
        </w:rPr>
        <w:t xml:space="preserve"> by Josh Kaufman</w:t>
      </w:r>
    </w:p>
    <w:p w14:paraId="3AFE66F0" w14:textId="77777777" w:rsidR="000E3DC3" w:rsidRDefault="000E3DC3" w:rsidP="00260062">
      <w:pPr>
        <w:spacing w:after="0"/>
        <w:ind w:left="720"/>
      </w:pPr>
    </w:p>
    <w:p w14:paraId="0ABAF16E" w14:textId="77777777" w:rsidR="00260062" w:rsidRPr="00260062" w:rsidRDefault="00260062" w:rsidP="00260062">
      <w:pPr>
        <w:spacing w:after="0"/>
        <w:ind w:left="720"/>
      </w:pPr>
    </w:p>
    <w:p w14:paraId="4D8734B4" w14:textId="77777777" w:rsidR="00260062" w:rsidRPr="00260062" w:rsidRDefault="00260062" w:rsidP="00260062">
      <w:pPr>
        <w:rPr>
          <w:b/>
        </w:rPr>
      </w:pPr>
      <w:r w:rsidRPr="00260062">
        <w:rPr>
          <w:b/>
        </w:rPr>
        <w:t>Periodicals:</w:t>
      </w:r>
    </w:p>
    <w:p w14:paraId="56FDA94B" w14:textId="20BBC74E" w:rsidR="00260062" w:rsidRPr="009F4AB9" w:rsidRDefault="00260062" w:rsidP="00260062">
      <w:pPr>
        <w:numPr>
          <w:ilvl w:val="0"/>
          <w:numId w:val="17"/>
        </w:numPr>
        <w:rPr>
          <w:b/>
          <w:sz w:val="20"/>
          <w:szCs w:val="20"/>
        </w:rPr>
      </w:pPr>
      <w:r w:rsidRPr="009F4AB9">
        <w:rPr>
          <w:sz w:val="20"/>
          <w:szCs w:val="20"/>
        </w:rPr>
        <w:t xml:space="preserve">Touchpoint Magazine </w:t>
      </w:r>
      <w:r w:rsidR="002F31EA" w:rsidRPr="009F4AB9">
        <w:rPr>
          <w:sz w:val="20"/>
          <w:szCs w:val="20"/>
        </w:rPr>
        <w:t xml:space="preserve">(Service Design Network) </w:t>
      </w:r>
    </w:p>
    <w:p w14:paraId="5C547C29" w14:textId="77777777" w:rsidR="00260062" w:rsidRPr="00260062" w:rsidRDefault="00260062" w:rsidP="00260062">
      <w:pPr>
        <w:rPr>
          <w:b/>
        </w:rPr>
      </w:pPr>
      <w:r w:rsidRPr="00260062">
        <w:rPr>
          <w:b/>
        </w:rPr>
        <w:t>Web Resources:</w:t>
      </w:r>
    </w:p>
    <w:p w14:paraId="302C0989" w14:textId="77777777" w:rsidR="00260062" w:rsidRPr="009F4AB9" w:rsidRDefault="007349CB" w:rsidP="00260062">
      <w:pPr>
        <w:numPr>
          <w:ilvl w:val="0"/>
          <w:numId w:val="17"/>
        </w:numPr>
        <w:rPr>
          <w:color w:val="000000" w:themeColor="text1"/>
          <w:sz w:val="20"/>
          <w:szCs w:val="20"/>
        </w:rPr>
      </w:pPr>
      <w:hyperlink r:id="rId8" w:history="1">
        <w:r w:rsidR="00260062" w:rsidRPr="009F4AB9">
          <w:rPr>
            <w:rStyle w:val="Hyperlink"/>
            <w:color w:val="000000" w:themeColor="text1"/>
            <w:sz w:val="20"/>
            <w:szCs w:val="20"/>
          </w:rPr>
          <w:t>www.servicedesigntools.org</w:t>
        </w:r>
      </w:hyperlink>
    </w:p>
    <w:p w14:paraId="7ED68DB2" w14:textId="5F3C597F" w:rsidR="00260062" w:rsidRPr="009F4AB9" w:rsidRDefault="007349CB" w:rsidP="00260062">
      <w:pPr>
        <w:numPr>
          <w:ilvl w:val="0"/>
          <w:numId w:val="17"/>
        </w:numPr>
        <w:rPr>
          <w:color w:val="000000" w:themeColor="text1"/>
          <w:sz w:val="20"/>
          <w:szCs w:val="20"/>
        </w:rPr>
      </w:pPr>
      <w:hyperlink r:id="rId9" w:history="1">
        <w:r w:rsidR="00260062" w:rsidRPr="009F4AB9">
          <w:rPr>
            <w:rStyle w:val="Hyperlink"/>
            <w:color w:val="000000" w:themeColor="text1"/>
            <w:sz w:val="20"/>
            <w:szCs w:val="20"/>
          </w:rPr>
          <w:t>www.service-design-network.org</w:t>
        </w:r>
      </w:hyperlink>
    </w:p>
    <w:p w14:paraId="5BA7BC38" w14:textId="77777777" w:rsidR="00260062" w:rsidRPr="009F4AB9" w:rsidRDefault="00260062" w:rsidP="00260062">
      <w:pPr>
        <w:rPr>
          <w:sz w:val="20"/>
          <w:szCs w:val="20"/>
        </w:rPr>
      </w:pPr>
    </w:p>
    <w:p w14:paraId="376696B3" w14:textId="4230C5E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196750D9" w:rsidR="008D6E8D" w:rsidRPr="009F4AB9" w:rsidRDefault="00260062" w:rsidP="008D6E8D">
      <w:pPr>
        <w:rPr>
          <w:sz w:val="20"/>
          <w:szCs w:val="20"/>
        </w:rPr>
      </w:pPr>
      <w:r w:rsidRPr="009F4AB9">
        <w:rPr>
          <w:sz w:val="20"/>
          <w:szCs w:val="20"/>
        </w:rPr>
        <w:t xml:space="preserve">All course materials and communication is accessible via t-square. Students are expected to check in on a daily basis </w:t>
      </w:r>
    </w:p>
    <w:p w14:paraId="2340F692" w14:textId="28CDC393" w:rsidR="001C5E8D" w:rsidRPr="00425E17" w:rsidRDefault="00425E17" w:rsidP="005E60ED">
      <w:pPr>
        <w:spacing w:before="240" w:after="80"/>
        <w:rPr>
          <w:b/>
          <w:color w:val="262626" w:themeColor="text1" w:themeTint="D9"/>
          <w:szCs w:val="24"/>
        </w:rPr>
      </w:pPr>
      <w:r w:rsidRPr="00425E17">
        <w:rPr>
          <w:b/>
          <w:color w:val="0F6FC6" w:themeColor="accent1"/>
          <w:szCs w:val="24"/>
        </w:rPr>
        <w:t>Course Expectations &amp; Guidelines</w:t>
      </w:r>
    </w:p>
    <w:p w14:paraId="12CD69F8" w14:textId="4E791DAB" w:rsidR="002C7849" w:rsidRPr="00425E17" w:rsidRDefault="002C7849" w:rsidP="002C7849">
      <w:pPr>
        <w:pStyle w:val="Heading2"/>
        <w:rPr>
          <w:color w:val="auto"/>
        </w:rPr>
      </w:pPr>
      <w:r w:rsidRPr="00425E17">
        <w:rPr>
          <w:color w:val="auto"/>
        </w:rPr>
        <w:lastRenderedPageBreak/>
        <w:t>Academic Integrity</w:t>
      </w:r>
    </w:p>
    <w:p w14:paraId="6D66F933" w14:textId="20BA52B7" w:rsidR="002C7849" w:rsidRPr="009F4AB9" w:rsidRDefault="002C7849" w:rsidP="002C7849">
      <w:pPr>
        <w:rPr>
          <w:sz w:val="20"/>
          <w:szCs w:val="20"/>
        </w:rPr>
      </w:pPr>
      <w:r w:rsidRPr="009F4AB9">
        <w:rPr>
          <w:sz w:val="20"/>
          <w:szCs w:val="20"/>
        </w:rPr>
        <w:t xml:space="preserve">Georgia Tech aims to cultivate a community based on trust, academic integrity, and honor. Students are expected to act according to the highest ethical standards.  For information on Georgia Tech's Academic Honor Code, please </w:t>
      </w:r>
      <w:r w:rsidR="00FE4E1C" w:rsidRPr="009F4AB9">
        <w:rPr>
          <w:sz w:val="20"/>
          <w:szCs w:val="20"/>
        </w:rPr>
        <w:t xml:space="preserve">visit </w:t>
      </w:r>
      <w:r w:rsidR="002D42BC" w:rsidRPr="009F4AB9">
        <w:rPr>
          <w:sz w:val="20"/>
          <w:szCs w:val="20"/>
        </w:rPr>
        <w:t>http://www.catalog.gatech.edu/policies/honor-code/ or http://www.catalog.gatech.edu/rules/18/</w:t>
      </w:r>
      <w:r w:rsidR="007A7848" w:rsidRPr="009F4AB9">
        <w:rPr>
          <w:sz w:val="20"/>
          <w:szCs w:val="20"/>
        </w:rPr>
        <w:t>.</w:t>
      </w:r>
    </w:p>
    <w:p w14:paraId="546ECD32" w14:textId="6E7AB1C5" w:rsidR="002C7849" w:rsidRPr="009F4AB9" w:rsidRDefault="002C7849" w:rsidP="002C7849">
      <w:pPr>
        <w:rPr>
          <w:sz w:val="20"/>
          <w:szCs w:val="20"/>
        </w:rPr>
      </w:pPr>
      <w:r w:rsidRPr="009F4AB9">
        <w:rPr>
          <w:sz w:val="20"/>
          <w:szCs w:val="20"/>
        </w:rPr>
        <w:t>Any student suspect</w:t>
      </w:r>
      <w:r w:rsidR="007A7848" w:rsidRPr="009F4AB9">
        <w:rPr>
          <w:sz w:val="20"/>
          <w:szCs w:val="20"/>
        </w:rPr>
        <w:t>ed of cheating or plagiarizing on a quiz, exam, or assignment</w:t>
      </w:r>
      <w:r w:rsidRPr="009F4AB9">
        <w:rPr>
          <w:sz w:val="20"/>
          <w:szCs w:val="20"/>
        </w:rPr>
        <w:t xml:space="preserve"> </w:t>
      </w:r>
      <w:r w:rsidR="007A7848" w:rsidRPr="009F4AB9">
        <w:rPr>
          <w:sz w:val="20"/>
          <w:szCs w:val="20"/>
        </w:rPr>
        <w:t xml:space="preserve">will be reported to the Office of Student Integrity, </w:t>
      </w:r>
      <w:r w:rsidR="00DE7977" w:rsidRPr="009F4AB9">
        <w:rPr>
          <w:sz w:val="20"/>
          <w:szCs w:val="20"/>
        </w:rPr>
        <w:t>who will investigate the incident and identify the appropriate penalty for violations.</w:t>
      </w:r>
    </w:p>
    <w:p w14:paraId="196A9B95" w14:textId="630DCBEF" w:rsidR="002C7849" w:rsidRPr="00425E17" w:rsidRDefault="002C7849" w:rsidP="002C7849">
      <w:pPr>
        <w:pStyle w:val="Heading2"/>
        <w:rPr>
          <w:color w:val="auto"/>
        </w:rPr>
      </w:pPr>
      <w:r w:rsidRPr="00425E17">
        <w:rPr>
          <w:color w:val="auto"/>
        </w:rPr>
        <w:t>Accommodations for Individuals with Disabilities</w:t>
      </w:r>
    </w:p>
    <w:p w14:paraId="4B87C824" w14:textId="77777777" w:rsidR="00B757CE" w:rsidRPr="00B757CE" w:rsidRDefault="00B757CE" w:rsidP="00B757CE">
      <w:pPr>
        <w:rPr>
          <w:sz w:val="20"/>
          <w:szCs w:val="20"/>
        </w:rPr>
      </w:pPr>
      <w:r w:rsidRPr="00B757CE">
        <w:rPr>
          <w:sz w:val="20"/>
          <w:szCs w:val="20"/>
        </w:rPr>
        <w:t xml:space="preserve">If you are a student with learning needs that require special accommodation, contact the Office of Disability Services at (404)894-2563 or </w:t>
      </w:r>
      <w:hyperlink r:id="rId10">
        <w:r w:rsidRPr="00B757CE">
          <w:rPr>
            <w:color w:val="F49100"/>
            <w:sz w:val="20"/>
            <w:szCs w:val="20"/>
            <w:u w:val="single"/>
          </w:rPr>
          <w:t>http://disabilityservices.gatech.edu/</w:t>
        </w:r>
      </w:hyperlink>
      <w:r w:rsidRPr="00B757CE">
        <w:rPr>
          <w:sz w:val="20"/>
          <w:szCs w:val="20"/>
        </w:rPr>
        <w:t>, as soon as possible, to make an appointment to discuss your special needs and to obtain an accommodations letter.  Please also e-mail me as soon as possible in order to set up a time to discuss your learning needs.</w:t>
      </w:r>
    </w:p>
    <w:p w14:paraId="75B72D5A" w14:textId="76373F05" w:rsidR="007A7848" w:rsidRPr="00425E17" w:rsidRDefault="007A7848" w:rsidP="007A7848">
      <w:pPr>
        <w:pStyle w:val="Heading2"/>
        <w:rPr>
          <w:color w:val="auto"/>
        </w:rPr>
      </w:pPr>
      <w:r w:rsidRPr="00425E17">
        <w:rPr>
          <w:color w:val="auto"/>
        </w:rPr>
        <w:t>Assignment Turn-In</w:t>
      </w:r>
    </w:p>
    <w:p w14:paraId="0F53D527" w14:textId="4DF2CD8B" w:rsidR="007A7848" w:rsidRPr="009F4AB9" w:rsidRDefault="00260062" w:rsidP="007A7848">
      <w:pPr>
        <w:rPr>
          <w:sz w:val="20"/>
          <w:szCs w:val="20"/>
        </w:rPr>
      </w:pPr>
      <w:r w:rsidRPr="009F4AB9">
        <w:rPr>
          <w:sz w:val="20"/>
          <w:szCs w:val="20"/>
        </w:rPr>
        <w:t>Assignments are due at the deadlines specified in the project descriptions and/ or t-square</w:t>
      </w:r>
      <w:r w:rsidR="00A43719" w:rsidRPr="009F4AB9">
        <w:rPr>
          <w:sz w:val="20"/>
          <w:szCs w:val="20"/>
        </w:rPr>
        <w:t xml:space="preserve">. All submissions require upload on t-square in high-res PDF format with optimized file sizes ( &lt; 25 MB). Video submissions can be made through a link on vimeo, youtube, or as an upload of a manageable video file. </w:t>
      </w:r>
      <w:r w:rsidR="00302C9D" w:rsidRPr="009F4AB9">
        <w:rPr>
          <w:sz w:val="20"/>
          <w:szCs w:val="20"/>
        </w:rPr>
        <w:t xml:space="preserve"> </w:t>
      </w:r>
    </w:p>
    <w:p w14:paraId="071B03AC" w14:textId="2E6E3ABF" w:rsidR="007A7848" w:rsidRDefault="007A7848" w:rsidP="007A7848">
      <w:pPr>
        <w:pStyle w:val="Heading2"/>
        <w:rPr>
          <w:color w:val="auto"/>
        </w:rPr>
      </w:pPr>
      <w:r w:rsidRPr="00425E17">
        <w:rPr>
          <w:color w:val="auto"/>
        </w:rPr>
        <w:t>Attendance and/or Participation</w:t>
      </w:r>
    </w:p>
    <w:p w14:paraId="40929360" w14:textId="77777777" w:rsidR="00B757CE" w:rsidRPr="00B757CE" w:rsidRDefault="00B757CE" w:rsidP="00B757CE">
      <w:pPr>
        <w:rPr>
          <w:sz w:val="20"/>
          <w:szCs w:val="20"/>
        </w:rPr>
      </w:pPr>
      <w:r w:rsidRPr="00B757CE">
        <w:rPr>
          <w:sz w:val="20"/>
          <w:szCs w:val="20"/>
        </w:rPr>
        <w:t>Attendance is mandatory. Students will be allowed two (2) unexcused absences, notifying the instructor in advance. All other absences will require documentation. Otherwise it will influence Participation Grading. If a student accrues more than four (4) unexcused and undocumented absences, the student will fail the class. Classes will start on time and at the assigned studio place, unless field studies or other are notified by the instructor. Attendance will be taken at the start of class. A “late arrival” will be recorded after attendance is taken within the first 15 minutes of the class, after that time the student is considered absent. Please note: five “late arrivals” will account for one unexcused absence. It is the student’s responsibility to obtain any information in the class due to absences.</w:t>
      </w:r>
    </w:p>
    <w:p w14:paraId="221AC393" w14:textId="596ACE18" w:rsidR="009F4AB9" w:rsidRPr="00B757CE" w:rsidRDefault="00B757CE" w:rsidP="009F4AB9">
      <w:pPr>
        <w:rPr>
          <w:sz w:val="20"/>
          <w:szCs w:val="20"/>
        </w:rPr>
      </w:pPr>
      <w:r w:rsidRPr="00B757CE">
        <w:rPr>
          <w:sz w:val="20"/>
          <w:szCs w:val="20"/>
        </w:rPr>
        <w:t>See information about the Institute’s absence policy at</w:t>
      </w:r>
      <w:hyperlink r:id="rId11">
        <w:r w:rsidRPr="00B757CE">
          <w:rPr>
            <w:sz w:val="20"/>
            <w:szCs w:val="20"/>
          </w:rPr>
          <w:t xml:space="preserve"> </w:t>
        </w:r>
      </w:hyperlink>
      <w:hyperlink r:id="rId12">
        <w:r w:rsidRPr="00B757CE">
          <w:rPr>
            <w:color w:val="1155CC"/>
            <w:sz w:val="20"/>
            <w:szCs w:val="20"/>
            <w:u w:val="single"/>
          </w:rPr>
          <w:t>http://www.catalog.gatech.edu/rules/4/</w:t>
        </w:r>
      </w:hyperlink>
      <w:r w:rsidRPr="00B757CE">
        <w:rPr>
          <w:sz w:val="20"/>
          <w:szCs w:val="20"/>
        </w:rPr>
        <w:t>.</w:t>
      </w:r>
    </w:p>
    <w:p w14:paraId="729850D5" w14:textId="4F1EB991" w:rsidR="00177FF3" w:rsidRPr="00425E17" w:rsidRDefault="00177FF3" w:rsidP="00177FF3">
      <w:pPr>
        <w:pStyle w:val="Heading2"/>
        <w:rPr>
          <w:color w:val="auto"/>
        </w:rPr>
      </w:pPr>
      <w:r w:rsidRPr="00425E17">
        <w:rPr>
          <w:color w:val="auto"/>
        </w:rPr>
        <w:t>Collaboration &amp; Group Work</w:t>
      </w:r>
    </w:p>
    <w:p w14:paraId="68C1D893" w14:textId="3A0D0EA8" w:rsidR="00177FF3" w:rsidRPr="009F4AB9" w:rsidRDefault="00806AD6" w:rsidP="00177FF3">
      <w:pPr>
        <w:rPr>
          <w:sz w:val="20"/>
          <w:szCs w:val="20"/>
        </w:rPr>
      </w:pPr>
      <w:r w:rsidRPr="009F4AB9">
        <w:rPr>
          <w:sz w:val="20"/>
          <w:szCs w:val="20"/>
        </w:rPr>
        <w:t xml:space="preserve">This course relies on group collaboration and strong individual contribution. Student progress will be assessed based on project participation and progress applying Service Design tools. </w:t>
      </w:r>
    </w:p>
    <w:p w14:paraId="16D4F987" w14:textId="3F50F26A" w:rsidR="00177FF3" w:rsidRPr="00425E17" w:rsidRDefault="00177FF3" w:rsidP="00177FF3">
      <w:pPr>
        <w:pStyle w:val="Heading2"/>
        <w:rPr>
          <w:color w:val="auto"/>
        </w:rPr>
      </w:pPr>
      <w:r w:rsidRPr="00425E17">
        <w:rPr>
          <w:color w:val="auto"/>
        </w:rPr>
        <w:t>Extensions, Late Assignments, &amp; Re-Scheduled/Missed Exams</w:t>
      </w:r>
    </w:p>
    <w:p w14:paraId="73F8E37F" w14:textId="47C55BCB" w:rsidR="002C7B60" w:rsidRPr="00B757CE" w:rsidRDefault="00B757CE" w:rsidP="002C7B60">
      <w:pPr>
        <w:rPr>
          <w:sz w:val="20"/>
          <w:szCs w:val="20"/>
        </w:rPr>
      </w:pPr>
      <w:r w:rsidRPr="00B757CE">
        <w:rPr>
          <w:sz w:val="20"/>
          <w:szCs w:val="20"/>
        </w:rPr>
        <w:t>Late-work policies: you should avoid late-work. Grading only depend on the work progress you completed on the due day. You will be uncompleted or failed if it is not completed or not matches the grading criteria above. Unless the exceptions by Georgia Tech (“approved Institute activities”, e.g. field trips and athletic events, http://www.catalog.gatech.edu/rules/4/ for more information).</w:t>
      </w:r>
    </w:p>
    <w:p w14:paraId="7E89C916" w14:textId="24B19711" w:rsidR="00177FF3" w:rsidRPr="00425E17" w:rsidRDefault="00177FF3" w:rsidP="00177FF3">
      <w:pPr>
        <w:pStyle w:val="Heading2"/>
        <w:rPr>
          <w:color w:val="auto"/>
        </w:rPr>
      </w:pPr>
      <w:r w:rsidRPr="00425E17">
        <w:rPr>
          <w:color w:val="auto"/>
        </w:rPr>
        <w:t>Student Use of Mobile Devices in the Classroom</w:t>
      </w:r>
    </w:p>
    <w:p w14:paraId="0C399D02" w14:textId="2AFA404E" w:rsidR="007A7848" w:rsidRPr="009F4AB9" w:rsidRDefault="00806AD6" w:rsidP="007A7848">
      <w:pPr>
        <w:rPr>
          <w:sz w:val="20"/>
          <w:szCs w:val="20"/>
        </w:rPr>
      </w:pPr>
      <w:r w:rsidRPr="009F4AB9">
        <w:rPr>
          <w:sz w:val="20"/>
          <w:szCs w:val="20"/>
        </w:rPr>
        <w:t xml:space="preserve">Students can use mobile devices for note-taking and research purposes only. Social media notifications and chat functions must be disabled during class. The same applies for laptops and other personal electronic devices. </w:t>
      </w:r>
    </w:p>
    <w:p w14:paraId="791A67FF" w14:textId="77777777" w:rsidR="00806AD6" w:rsidRDefault="00806AD6" w:rsidP="007A7848"/>
    <w:p w14:paraId="4CA7FA3C" w14:textId="3CF80B28" w:rsidR="00177FF3" w:rsidRPr="00425E17" w:rsidRDefault="00177FF3" w:rsidP="00177FF3">
      <w:pPr>
        <w:pStyle w:val="Heading2"/>
        <w:rPr>
          <w:color w:val="auto"/>
        </w:rPr>
      </w:pPr>
      <w:r w:rsidRPr="00425E17">
        <w:rPr>
          <w:color w:val="auto"/>
        </w:rPr>
        <w:t>Student-Faculty Expectations</w:t>
      </w:r>
    </w:p>
    <w:p w14:paraId="312A8627" w14:textId="77777777" w:rsidR="009F4AB9" w:rsidRDefault="008E0D1F" w:rsidP="00174C89">
      <w:pPr>
        <w:rPr>
          <w:sz w:val="20"/>
          <w:szCs w:val="20"/>
        </w:rPr>
      </w:pPr>
      <w:r w:rsidRPr="009F4AB9">
        <w:rPr>
          <w:sz w:val="20"/>
          <w:szCs w:val="20"/>
        </w:rPr>
        <w:t xml:space="preserve">At Georgia Tech we believe </w:t>
      </w:r>
      <w:r w:rsidR="00177FF3" w:rsidRPr="009F4AB9">
        <w:rPr>
          <w:sz w:val="20"/>
          <w:szCs w:val="20"/>
        </w:rPr>
        <w:t xml:space="preserve">that it is important to continually strive for an atmosphere of mutual respect, acknowledgement, and responsibility between faculty members and the student body. </w:t>
      </w:r>
      <w:r w:rsidR="0086301F" w:rsidRPr="009F4AB9">
        <w:rPr>
          <w:sz w:val="20"/>
          <w:szCs w:val="20"/>
        </w:rPr>
        <w:t xml:space="preserve">See </w:t>
      </w:r>
      <w:r w:rsidR="002D42BC" w:rsidRPr="009F4AB9">
        <w:rPr>
          <w:sz w:val="20"/>
          <w:szCs w:val="20"/>
        </w:rPr>
        <w:t xml:space="preserve">http://www.catalog.gatech.edu/rules/22/ </w:t>
      </w:r>
      <w:r w:rsidR="0086301F" w:rsidRPr="009F4AB9">
        <w:rPr>
          <w:sz w:val="20"/>
          <w:szCs w:val="20"/>
        </w:rPr>
        <w:t xml:space="preserve">for an articulation of some basic expectations – that you can have of me, and that I have of you. </w:t>
      </w:r>
      <w:r w:rsidR="00177FF3" w:rsidRPr="009F4AB9">
        <w:rPr>
          <w:sz w:val="20"/>
          <w:szCs w:val="20"/>
        </w:rPr>
        <w:t xml:space="preserve">In the end, simple respect for knowledge, hard work, and cordial interactions will help build the environment we seek. Therefore, </w:t>
      </w:r>
      <w:r w:rsidR="0086301F" w:rsidRPr="009F4AB9">
        <w:rPr>
          <w:sz w:val="20"/>
          <w:szCs w:val="20"/>
        </w:rPr>
        <w:t xml:space="preserve">I encourage you to </w:t>
      </w:r>
      <w:r w:rsidR="00177FF3" w:rsidRPr="009F4AB9">
        <w:rPr>
          <w:sz w:val="20"/>
          <w:szCs w:val="20"/>
        </w:rPr>
        <w:t>remain committed to the ideals of Georgia Tech</w:t>
      </w:r>
      <w:r w:rsidR="0086301F" w:rsidRPr="009F4AB9">
        <w:rPr>
          <w:sz w:val="20"/>
          <w:szCs w:val="20"/>
        </w:rPr>
        <w:t>, while in this class.</w:t>
      </w:r>
    </w:p>
    <w:p w14:paraId="2E89D5F0" w14:textId="77777777" w:rsidR="009F4AB9" w:rsidRPr="000140C5" w:rsidRDefault="009F4AB9" w:rsidP="00174C89">
      <w:pPr>
        <w:rPr>
          <w:color w:val="000000" w:themeColor="text1"/>
          <w:sz w:val="20"/>
          <w:szCs w:val="20"/>
        </w:rPr>
      </w:pPr>
    </w:p>
    <w:p w14:paraId="0DFEAA94" w14:textId="3677E511" w:rsidR="00174C89" w:rsidRPr="000140C5" w:rsidRDefault="009F4AB9" w:rsidP="00174C89">
      <w:pPr>
        <w:rPr>
          <w:color w:val="000000" w:themeColor="text1"/>
          <w:sz w:val="20"/>
          <w:szCs w:val="20"/>
        </w:rPr>
      </w:pPr>
      <w:r w:rsidRPr="000140C5">
        <w:rPr>
          <w:color w:val="000000" w:themeColor="text1"/>
        </w:rPr>
        <w:t>Course Schedule</w:t>
      </w:r>
      <w:r w:rsidR="00174C89" w:rsidRPr="000140C5">
        <w:rPr>
          <w:color w:val="000000" w:themeColor="text1"/>
        </w:rPr>
        <w:t>:</w:t>
      </w:r>
    </w:p>
    <w:tbl>
      <w:tblPr>
        <w:tblStyle w:val="SyllabusTable-withBorders"/>
        <w:tblW w:w="0" w:type="auto"/>
        <w:tblLook w:val="04A0" w:firstRow="1" w:lastRow="0" w:firstColumn="1" w:lastColumn="0" w:noHBand="0" w:noVBand="1"/>
      </w:tblPr>
      <w:tblGrid>
        <w:gridCol w:w="949"/>
        <w:gridCol w:w="1742"/>
        <w:gridCol w:w="3559"/>
        <w:gridCol w:w="1742"/>
        <w:gridCol w:w="1742"/>
      </w:tblGrid>
      <w:tr w:rsidR="000140C5" w:rsidRPr="000140C5" w14:paraId="6FB4D318" w14:textId="77777777" w:rsidTr="00AD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7DE29E98" w14:textId="69108C7F" w:rsidR="00174C89" w:rsidRPr="000140C5" w:rsidRDefault="00AD031F" w:rsidP="006A27E5">
            <w:pPr>
              <w:rPr>
                <w:color w:val="000000" w:themeColor="text1"/>
              </w:rPr>
            </w:pPr>
            <w:r w:rsidRPr="000140C5">
              <w:rPr>
                <w:color w:val="000000" w:themeColor="text1"/>
              </w:rPr>
              <w:t>Week</w:t>
            </w:r>
          </w:p>
        </w:tc>
        <w:tc>
          <w:tcPr>
            <w:tcW w:w="1742" w:type="dxa"/>
          </w:tcPr>
          <w:p w14:paraId="79EB1B36" w14:textId="77777777" w:rsidR="00174C89" w:rsidRPr="000140C5" w:rsidRDefault="00174C89" w:rsidP="006A27E5">
            <w:pPr>
              <w:cnfStyle w:val="100000000000" w:firstRow="1" w:lastRow="0" w:firstColumn="0" w:lastColumn="0" w:oddVBand="0" w:evenVBand="0" w:oddHBand="0" w:evenHBand="0" w:firstRowFirstColumn="0" w:firstRowLastColumn="0" w:lastRowFirstColumn="0" w:lastRowLastColumn="0"/>
              <w:rPr>
                <w:color w:val="000000" w:themeColor="text1"/>
              </w:rPr>
            </w:pPr>
            <w:r w:rsidRPr="000140C5">
              <w:rPr>
                <w:color w:val="000000" w:themeColor="text1"/>
              </w:rPr>
              <w:t>Prepare before class</w:t>
            </w:r>
          </w:p>
        </w:tc>
        <w:tc>
          <w:tcPr>
            <w:tcW w:w="3559" w:type="dxa"/>
          </w:tcPr>
          <w:p w14:paraId="4B7FD955" w14:textId="77777777" w:rsidR="00174C89" w:rsidRPr="000140C5" w:rsidRDefault="00174C89" w:rsidP="006A27E5">
            <w:pPr>
              <w:cnfStyle w:val="100000000000" w:firstRow="1" w:lastRow="0" w:firstColumn="0" w:lastColumn="0" w:oddVBand="0" w:evenVBand="0" w:oddHBand="0" w:evenHBand="0" w:firstRowFirstColumn="0" w:firstRowLastColumn="0" w:lastRowFirstColumn="0" w:lastRowLastColumn="0"/>
              <w:rPr>
                <w:color w:val="000000" w:themeColor="text1"/>
              </w:rPr>
            </w:pPr>
            <w:r w:rsidRPr="000140C5">
              <w:rPr>
                <w:color w:val="000000" w:themeColor="text1"/>
              </w:rPr>
              <w:t>Topic during class</w:t>
            </w:r>
          </w:p>
        </w:tc>
        <w:tc>
          <w:tcPr>
            <w:tcW w:w="1742" w:type="dxa"/>
          </w:tcPr>
          <w:p w14:paraId="02C16F52" w14:textId="77777777" w:rsidR="00174C89" w:rsidRPr="000140C5" w:rsidRDefault="00174C89" w:rsidP="006A27E5">
            <w:pPr>
              <w:cnfStyle w:val="100000000000" w:firstRow="1" w:lastRow="0" w:firstColumn="0" w:lastColumn="0" w:oddVBand="0" w:evenVBand="0" w:oddHBand="0" w:evenHBand="0" w:firstRowFirstColumn="0" w:firstRowLastColumn="0" w:lastRowFirstColumn="0" w:lastRowLastColumn="0"/>
              <w:rPr>
                <w:color w:val="000000" w:themeColor="text1"/>
              </w:rPr>
            </w:pPr>
            <w:r w:rsidRPr="000140C5">
              <w:rPr>
                <w:color w:val="000000" w:themeColor="text1"/>
              </w:rPr>
              <w:t>Homework</w:t>
            </w:r>
          </w:p>
        </w:tc>
        <w:tc>
          <w:tcPr>
            <w:tcW w:w="1742" w:type="dxa"/>
          </w:tcPr>
          <w:p w14:paraId="51D83D4F" w14:textId="77777777" w:rsidR="00174C89" w:rsidRPr="000140C5" w:rsidRDefault="00174C89" w:rsidP="006A27E5">
            <w:pPr>
              <w:cnfStyle w:val="100000000000" w:firstRow="1" w:lastRow="0" w:firstColumn="0" w:lastColumn="0" w:oddVBand="0" w:evenVBand="0" w:oddHBand="0" w:evenHBand="0" w:firstRowFirstColumn="0" w:firstRowLastColumn="0" w:lastRowFirstColumn="0" w:lastRowLastColumn="0"/>
              <w:rPr>
                <w:color w:val="000000" w:themeColor="text1"/>
              </w:rPr>
            </w:pPr>
            <w:r w:rsidRPr="000140C5">
              <w:rPr>
                <w:color w:val="000000" w:themeColor="text1"/>
              </w:rPr>
              <w:t>Assignments Due</w:t>
            </w:r>
          </w:p>
        </w:tc>
      </w:tr>
      <w:tr w:rsidR="00AD031F" w:rsidRPr="009F4AB9" w14:paraId="0238ED17" w14:textId="77777777" w:rsidTr="00AD031F">
        <w:trPr>
          <w:trHeight w:val="1304"/>
        </w:trPr>
        <w:tc>
          <w:tcPr>
            <w:cnfStyle w:val="001000000000" w:firstRow="0" w:lastRow="0" w:firstColumn="1" w:lastColumn="0" w:oddVBand="0" w:evenVBand="0" w:oddHBand="0" w:evenHBand="0" w:firstRowFirstColumn="0" w:firstRowLastColumn="0" w:lastRowFirstColumn="0" w:lastRowLastColumn="0"/>
            <w:tcW w:w="949" w:type="dxa"/>
          </w:tcPr>
          <w:p w14:paraId="071336EF" w14:textId="631449A8" w:rsidR="00AD031F" w:rsidRPr="009F4AB9" w:rsidRDefault="00AD031F" w:rsidP="00554611">
            <w:pPr>
              <w:spacing w:after="0"/>
              <w:rPr>
                <w:b w:val="0"/>
                <w:color w:val="404040" w:themeColor="text1" w:themeTint="BF"/>
                <w:sz w:val="20"/>
                <w:szCs w:val="20"/>
                <w:lang w:eastAsia="en-US"/>
              </w:rPr>
            </w:pPr>
            <w:r w:rsidRPr="009F4AB9">
              <w:rPr>
                <w:b w:val="0"/>
                <w:color w:val="404040" w:themeColor="text1" w:themeTint="BF"/>
                <w:sz w:val="20"/>
                <w:szCs w:val="20"/>
                <w:lang w:eastAsia="en-US"/>
              </w:rPr>
              <w:t>1</w:t>
            </w:r>
          </w:p>
        </w:tc>
        <w:tc>
          <w:tcPr>
            <w:tcW w:w="1742" w:type="dxa"/>
          </w:tcPr>
          <w:p w14:paraId="072F2201" w14:textId="0D66735C"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i/>
                <w:iCs/>
                <w:sz w:val="20"/>
                <w:szCs w:val="20"/>
                <w:lang w:eastAsia="en-US"/>
              </w:rPr>
            </w:pPr>
            <w:r w:rsidRPr="009F4AB9">
              <w:rPr>
                <w:i/>
                <w:iCs/>
                <w:sz w:val="20"/>
                <w:szCs w:val="20"/>
                <w:lang w:eastAsia="en-US"/>
              </w:rPr>
              <w:t>See project documentation</w:t>
            </w:r>
          </w:p>
        </w:tc>
        <w:tc>
          <w:tcPr>
            <w:tcW w:w="3559" w:type="dxa"/>
          </w:tcPr>
          <w:p w14:paraId="3638362A" w14:textId="349EDC9D"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 xml:space="preserve">PHASE 1: </w:t>
            </w:r>
            <w:r w:rsidRPr="009F4AB9">
              <w:rPr>
                <w:sz w:val="20"/>
                <w:szCs w:val="20"/>
                <w:lang w:eastAsia="en-US"/>
              </w:rPr>
              <w:br/>
              <w:t xml:space="preserve">Launch: Service safari, Intro to touchpoints, intro to brand, key tools, project brief </w:t>
            </w:r>
          </w:p>
        </w:tc>
        <w:tc>
          <w:tcPr>
            <w:tcW w:w="1742" w:type="dxa"/>
          </w:tcPr>
          <w:p w14:paraId="2582ACC5" w14:textId="5A39C172"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i/>
                <w:iCs/>
                <w:sz w:val="20"/>
                <w:szCs w:val="20"/>
                <w:lang w:eastAsia="en-US"/>
              </w:rPr>
            </w:pPr>
            <w:r w:rsidRPr="009F4AB9">
              <w:rPr>
                <w:i/>
                <w:iCs/>
                <w:sz w:val="20"/>
                <w:szCs w:val="20"/>
                <w:lang w:eastAsia="en-US"/>
              </w:rPr>
              <w:t>See project documentation</w:t>
            </w:r>
          </w:p>
        </w:tc>
        <w:tc>
          <w:tcPr>
            <w:tcW w:w="1742" w:type="dxa"/>
          </w:tcPr>
          <w:p w14:paraId="212ACE4C" w14:textId="74BF1C6F"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i/>
                <w:iCs/>
                <w:sz w:val="20"/>
                <w:szCs w:val="20"/>
                <w:lang w:eastAsia="en-US"/>
              </w:rPr>
            </w:pPr>
            <w:r w:rsidRPr="009F4AB9">
              <w:rPr>
                <w:i/>
                <w:iCs/>
                <w:sz w:val="20"/>
                <w:szCs w:val="20"/>
                <w:lang w:eastAsia="en-US"/>
              </w:rPr>
              <w:t>See project documentation</w:t>
            </w:r>
          </w:p>
        </w:tc>
      </w:tr>
      <w:tr w:rsidR="00AD031F" w:rsidRPr="009F4AB9" w14:paraId="3B3CA789"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5CEC36AA" w14:textId="5DDC2052" w:rsidR="00AD031F" w:rsidRPr="009F4AB9" w:rsidRDefault="00AD031F" w:rsidP="00554611">
            <w:pPr>
              <w:spacing w:after="0"/>
              <w:rPr>
                <w:b w:val="0"/>
                <w:color w:val="404040" w:themeColor="text1" w:themeTint="BF"/>
                <w:sz w:val="20"/>
                <w:szCs w:val="20"/>
                <w:lang w:eastAsia="en-US"/>
              </w:rPr>
            </w:pPr>
            <w:r w:rsidRPr="009F4AB9">
              <w:rPr>
                <w:b w:val="0"/>
                <w:color w:val="404040" w:themeColor="text1" w:themeTint="BF"/>
                <w:sz w:val="20"/>
                <w:szCs w:val="20"/>
                <w:lang w:eastAsia="en-US"/>
              </w:rPr>
              <w:t>2</w:t>
            </w:r>
          </w:p>
        </w:tc>
        <w:tc>
          <w:tcPr>
            <w:tcW w:w="1742" w:type="dxa"/>
          </w:tcPr>
          <w:p w14:paraId="6CF9F126"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637BF703" w14:textId="7AEC0189" w:rsidR="00AD031F" w:rsidRPr="009F4AB9" w:rsidRDefault="00AD031F" w:rsidP="0055461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Brand</w:t>
            </w:r>
            <w:r w:rsidR="002F31EA" w:rsidRPr="009F4AB9">
              <w:rPr>
                <w:sz w:val="20"/>
                <w:szCs w:val="20"/>
                <w:lang w:eastAsia="en-US"/>
              </w:rPr>
              <w:t>,</w:t>
            </w:r>
            <w:r w:rsidRPr="009F4AB9">
              <w:rPr>
                <w:sz w:val="20"/>
                <w:szCs w:val="20"/>
                <w:lang w:eastAsia="en-US"/>
              </w:rPr>
              <w:t xml:space="preserve"> </w:t>
            </w:r>
            <w:r w:rsidR="00A60A1C" w:rsidRPr="009F4AB9">
              <w:rPr>
                <w:sz w:val="20"/>
                <w:szCs w:val="20"/>
                <w:lang w:eastAsia="en-US"/>
              </w:rPr>
              <w:t>corporate</w:t>
            </w:r>
            <w:r w:rsidR="00695BB3" w:rsidRPr="009F4AB9">
              <w:rPr>
                <w:sz w:val="20"/>
                <w:szCs w:val="20"/>
                <w:lang w:eastAsia="en-US"/>
              </w:rPr>
              <w:t xml:space="preserve"> Identity</w:t>
            </w:r>
            <w:r w:rsidR="002F31EA" w:rsidRPr="009F4AB9">
              <w:rPr>
                <w:sz w:val="20"/>
                <w:szCs w:val="20"/>
                <w:lang w:eastAsia="en-US"/>
              </w:rPr>
              <w:t xml:space="preserve">, value creation (case studies) </w:t>
            </w:r>
          </w:p>
          <w:p w14:paraId="4BA52408"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19643009"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339376AD"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250C1B94"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60D0DDC7"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3</w:t>
            </w:r>
          </w:p>
          <w:p w14:paraId="6E5D78E8"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12F44A81"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40628DD4" w14:textId="7DAF1BC6" w:rsidR="00AD031F" w:rsidRPr="009F4AB9" w:rsidRDefault="00AD031F" w:rsidP="0055461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 xml:space="preserve">Journey </w:t>
            </w:r>
            <w:r w:rsidR="00A60A1C" w:rsidRPr="009F4AB9">
              <w:rPr>
                <w:sz w:val="20"/>
                <w:szCs w:val="20"/>
                <w:lang w:eastAsia="en-US"/>
              </w:rPr>
              <w:t>m</w:t>
            </w:r>
            <w:r w:rsidRPr="009F4AB9">
              <w:rPr>
                <w:sz w:val="20"/>
                <w:szCs w:val="20"/>
                <w:lang w:eastAsia="en-US"/>
              </w:rPr>
              <w:t>aps, opportunity statements and design briefs</w:t>
            </w:r>
            <w:r w:rsidR="00A60A1C" w:rsidRPr="009F4AB9">
              <w:rPr>
                <w:sz w:val="20"/>
                <w:szCs w:val="20"/>
                <w:lang w:eastAsia="en-US"/>
              </w:rPr>
              <w:t xml:space="preserve">, white space </w:t>
            </w:r>
          </w:p>
          <w:p w14:paraId="40DAF1D5"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2A7C5059"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7E23233F"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016AC66F"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47D8FC06"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4</w:t>
            </w:r>
          </w:p>
          <w:p w14:paraId="07FF48B3"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6794C248"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50EE3A64" w14:textId="7A88899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Presentation, next steps. Facilitation I</w:t>
            </w:r>
          </w:p>
        </w:tc>
        <w:tc>
          <w:tcPr>
            <w:tcW w:w="1742" w:type="dxa"/>
          </w:tcPr>
          <w:p w14:paraId="5E43004B"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4B6F21A6"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2671DCD3"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6A495F20"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5</w:t>
            </w:r>
          </w:p>
          <w:p w14:paraId="284A13D7"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3CE7E0E5"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26AB771A" w14:textId="4981F8A2" w:rsidR="00AD031F" w:rsidRPr="009F4AB9" w:rsidRDefault="001F3643" w:rsidP="001F3643">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PHASE 2:</w:t>
            </w:r>
            <w:r w:rsidR="00AD031F" w:rsidRPr="009F4AB9">
              <w:rPr>
                <w:sz w:val="20"/>
                <w:szCs w:val="20"/>
                <w:lang w:eastAsia="en-US"/>
              </w:rPr>
              <w:br/>
            </w:r>
            <w:r w:rsidR="00A60A1C" w:rsidRPr="009F4AB9">
              <w:rPr>
                <w:sz w:val="20"/>
                <w:szCs w:val="20"/>
                <w:lang w:eastAsia="en-US"/>
              </w:rPr>
              <w:t xml:space="preserve">Outside-In innovation, system, process, stakeholder maps </w:t>
            </w:r>
          </w:p>
        </w:tc>
        <w:tc>
          <w:tcPr>
            <w:tcW w:w="1742" w:type="dxa"/>
          </w:tcPr>
          <w:p w14:paraId="1B04E5FB"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25F7973E"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175187C6"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1BD32C83"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6</w:t>
            </w:r>
          </w:p>
          <w:p w14:paraId="1DA9EB04"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1AA9BDC4"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69E69127" w14:textId="54578594" w:rsidR="00A60A1C" w:rsidRPr="009F4AB9" w:rsidRDefault="00A60A1C" w:rsidP="00A60A1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0"/>
                <w:szCs w:val="20"/>
                <w:lang w:eastAsia="zh-CN" w:bidi="th-TH"/>
              </w:rPr>
            </w:pPr>
            <w:r w:rsidRPr="009F4AB9">
              <w:rPr>
                <w:color w:val="auto"/>
                <w:sz w:val="20"/>
                <w:szCs w:val="20"/>
                <w:lang w:eastAsia="zh-CN" w:bidi="th-TH"/>
              </w:rPr>
              <w:t xml:space="preserve">Business &amp; </w:t>
            </w:r>
            <w:r w:rsidR="001F3643" w:rsidRPr="009F4AB9">
              <w:rPr>
                <w:color w:val="auto"/>
                <w:sz w:val="20"/>
                <w:szCs w:val="20"/>
                <w:lang w:eastAsia="zh-CN" w:bidi="th-TH"/>
              </w:rPr>
              <w:t>value c</w:t>
            </w:r>
            <w:r w:rsidRPr="009F4AB9">
              <w:rPr>
                <w:color w:val="auto"/>
                <w:sz w:val="20"/>
                <w:szCs w:val="20"/>
                <w:lang w:eastAsia="zh-CN" w:bidi="th-TH"/>
              </w:rPr>
              <w:t>reation</w:t>
            </w:r>
            <w:r w:rsidR="001F3643" w:rsidRPr="009F4AB9">
              <w:rPr>
                <w:color w:val="auto"/>
                <w:sz w:val="20"/>
                <w:szCs w:val="20"/>
                <w:lang w:eastAsia="zh-CN" w:bidi="th-TH"/>
              </w:rPr>
              <w:t xml:space="preserve"> (business model canvas) </w:t>
            </w:r>
          </w:p>
          <w:p w14:paraId="7CE1BC5A"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7B03B2B7"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57EC1795"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7FBBDC01"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0F5F67EC"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7</w:t>
            </w:r>
          </w:p>
          <w:p w14:paraId="499EE5FE"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6FEA22FA"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63B940AA" w14:textId="77777777" w:rsidR="00AD031F" w:rsidRPr="009F4AB9" w:rsidRDefault="00AD031F" w:rsidP="0055461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 xml:space="preserve">User interviews and various research. Documentation of findings. </w:t>
            </w:r>
          </w:p>
          <w:p w14:paraId="044CCBA2"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112CAE3E"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7A253053"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267A4ABD"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5A228367"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8</w:t>
            </w:r>
          </w:p>
          <w:p w14:paraId="4B135252"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3F49E948"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118752AA" w14:textId="7033FBB0" w:rsidR="00AD031F"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rFonts w:cs="Times New Roman"/>
                <w:sz w:val="20"/>
                <w:szCs w:val="20"/>
              </w:rPr>
              <w:t>Language of design and stakeholders</w:t>
            </w:r>
            <w:r w:rsidRPr="009F4AB9">
              <w:rPr>
                <w:sz w:val="20"/>
                <w:szCs w:val="20"/>
                <w:lang w:eastAsia="en-US"/>
              </w:rPr>
              <w:br/>
            </w:r>
          </w:p>
        </w:tc>
        <w:tc>
          <w:tcPr>
            <w:tcW w:w="1742" w:type="dxa"/>
          </w:tcPr>
          <w:p w14:paraId="0F7AFFA1"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7CAD7BFB"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390BE2B0"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7917E8DF"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9</w:t>
            </w:r>
          </w:p>
          <w:p w14:paraId="13E1AD6D"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53C6E25F"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4C3F91BB" w14:textId="154B87A6"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Presentation: transformative, brand-focused service innovation</w:t>
            </w:r>
          </w:p>
          <w:p w14:paraId="0FE7440F"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362ABC5B"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2088BEC9"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59BDCDDA"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254DA6C7" w14:textId="3DC696D0"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10</w:t>
            </w:r>
          </w:p>
          <w:p w14:paraId="6EE371A7"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268BFE5E"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2F516E9B" w14:textId="77777777" w:rsidR="001F3643" w:rsidRPr="009F4AB9" w:rsidRDefault="001F3643" w:rsidP="001F3643">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PHASE 3:</w:t>
            </w:r>
          </w:p>
          <w:p w14:paraId="63AA28CC" w14:textId="620CF5EA" w:rsidR="00AD031F" w:rsidRPr="009F4AB9" w:rsidRDefault="001F3643" w:rsidP="001F3643">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Experience planning (service blueprint) modelling (business model canvas) and prototyping (low-fi/ hi-fi prototypes)</w:t>
            </w:r>
          </w:p>
        </w:tc>
        <w:tc>
          <w:tcPr>
            <w:tcW w:w="1742" w:type="dxa"/>
          </w:tcPr>
          <w:p w14:paraId="11EC1359"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28AEECC3"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0532C0EB"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2F03EC32"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11</w:t>
            </w:r>
          </w:p>
          <w:p w14:paraId="65CB559D"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44A04565"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539319F8" w14:textId="2C93D665" w:rsidR="00AD031F"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 xml:space="preserve">Branded touchpoints – testing and iterations </w:t>
            </w:r>
          </w:p>
        </w:tc>
        <w:tc>
          <w:tcPr>
            <w:tcW w:w="1742" w:type="dxa"/>
          </w:tcPr>
          <w:p w14:paraId="4D58169C"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47683E81"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AD031F" w:rsidRPr="009F4AB9" w14:paraId="56289414"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44891414" w14:textId="77777777" w:rsidR="00AD031F" w:rsidRPr="009F4AB9" w:rsidRDefault="00AD031F"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12</w:t>
            </w:r>
          </w:p>
          <w:p w14:paraId="10534701" w14:textId="77777777" w:rsidR="00AD031F" w:rsidRPr="009F4AB9" w:rsidRDefault="00AD031F" w:rsidP="00554611">
            <w:pPr>
              <w:spacing w:after="0"/>
              <w:rPr>
                <w:b w:val="0"/>
                <w:color w:val="404040" w:themeColor="text1" w:themeTint="BF"/>
                <w:sz w:val="20"/>
                <w:szCs w:val="20"/>
                <w:lang w:eastAsia="en-US"/>
              </w:rPr>
            </w:pPr>
          </w:p>
        </w:tc>
        <w:tc>
          <w:tcPr>
            <w:tcW w:w="1742" w:type="dxa"/>
          </w:tcPr>
          <w:p w14:paraId="65D7A6A3"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1D209AAD" w14:textId="3E949E0F" w:rsidR="00AD031F"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Storytelling</w:t>
            </w:r>
          </w:p>
        </w:tc>
        <w:tc>
          <w:tcPr>
            <w:tcW w:w="1742" w:type="dxa"/>
          </w:tcPr>
          <w:p w14:paraId="06DAA210"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0C87F0AB" w14:textId="77777777" w:rsidR="00AD031F" w:rsidRPr="009F4AB9" w:rsidRDefault="00AD031F"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1F3643" w:rsidRPr="009F4AB9" w14:paraId="39826E0F"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59D41BE8" w14:textId="77777777" w:rsidR="001F3643" w:rsidRPr="009F4AB9" w:rsidRDefault="001F3643"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13</w:t>
            </w:r>
          </w:p>
          <w:p w14:paraId="00D26D00" w14:textId="77777777" w:rsidR="001F3643" w:rsidRPr="009F4AB9" w:rsidRDefault="001F3643" w:rsidP="00554611">
            <w:pPr>
              <w:spacing w:after="0"/>
              <w:rPr>
                <w:b w:val="0"/>
                <w:color w:val="404040" w:themeColor="text1" w:themeTint="BF"/>
                <w:sz w:val="20"/>
                <w:szCs w:val="20"/>
                <w:lang w:eastAsia="en-US"/>
              </w:rPr>
            </w:pPr>
          </w:p>
        </w:tc>
        <w:tc>
          <w:tcPr>
            <w:tcW w:w="1742" w:type="dxa"/>
          </w:tcPr>
          <w:p w14:paraId="23AC3912"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2116377E" w14:textId="7AFACA70"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 xml:space="preserve">Individual feedback and career advice </w:t>
            </w:r>
          </w:p>
        </w:tc>
        <w:tc>
          <w:tcPr>
            <w:tcW w:w="1742" w:type="dxa"/>
          </w:tcPr>
          <w:p w14:paraId="6C5B947B"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105C219E"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1F3643" w:rsidRPr="009F4AB9" w14:paraId="32364148"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393F688D" w14:textId="77777777" w:rsidR="001F3643" w:rsidRPr="009F4AB9" w:rsidRDefault="001F3643"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14</w:t>
            </w:r>
          </w:p>
          <w:p w14:paraId="54B9345A" w14:textId="77777777" w:rsidR="001F3643" w:rsidRPr="009F4AB9" w:rsidRDefault="001F3643" w:rsidP="00554611">
            <w:pPr>
              <w:spacing w:after="0"/>
              <w:rPr>
                <w:b w:val="0"/>
                <w:color w:val="404040" w:themeColor="text1" w:themeTint="BF"/>
                <w:sz w:val="20"/>
                <w:szCs w:val="20"/>
                <w:lang w:eastAsia="en-US"/>
              </w:rPr>
            </w:pPr>
          </w:p>
        </w:tc>
        <w:tc>
          <w:tcPr>
            <w:tcW w:w="1742" w:type="dxa"/>
          </w:tcPr>
          <w:p w14:paraId="601A520F"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02351D55" w14:textId="77777777" w:rsidR="001F3643" w:rsidRPr="009F4AB9" w:rsidRDefault="001F3643" w:rsidP="00856BB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Time-based media for service design presentations</w:t>
            </w:r>
          </w:p>
          <w:p w14:paraId="6CCB02D5"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4338891C"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6AF0C804"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1F3643" w:rsidRPr="009F4AB9" w14:paraId="3F1E9123"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509AB7D2" w14:textId="77777777" w:rsidR="001F3643" w:rsidRPr="009F4AB9" w:rsidRDefault="001F3643"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15</w:t>
            </w:r>
          </w:p>
          <w:p w14:paraId="3C6E0074" w14:textId="77777777" w:rsidR="001F3643" w:rsidRPr="009F4AB9" w:rsidRDefault="001F3643" w:rsidP="00554611">
            <w:pPr>
              <w:spacing w:after="0"/>
              <w:rPr>
                <w:b w:val="0"/>
                <w:color w:val="404040" w:themeColor="text1" w:themeTint="BF"/>
                <w:sz w:val="20"/>
                <w:szCs w:val="20"/>
                <w:lang w:eastAsia="en-US"/>
              </w:rPr>
            </w:pPr>
          </w:p>
        </w:tc>
        <w:tc>
          <w:tcPr>
            <w:tcW w:w="1742" w:type="dxa"/>
          </w:tcPr>
          <w:p w14:paraId="631441F9"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4AB2F60F" w14:textId="77777777" w:rsidR="001F3643" w:rsidRPr="009F4AB9" w:rsidRDefault="001F3643" w:rsidP="00856BB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Presentation prep</w:t>
            </w:r>
          </w:p>
          <w:p w14:paraId="1B33D383"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2E460B34"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50288FB9"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1F3643" w:rsidRPr="009F4AB9" w14:paraId="3A37CBFE"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5A8AE1E2" w14:textId="77777777" w:rsidR="001F3643" w:rsidRPr="009F4AB9" w:rsidRDefault="001F3643" w:rsidP="00856BB1">
            <w:pPr>
              <w:spacing w:after="0"/>
              <w:rPr>
                <w:b w:val="0"/>
                <w:color w:val="404040" w:themeColor="text1" w:themeTint="BF"/>
                <w:sz w:val="20"/>
                <w:szCs w:val="20"/>
                <w:lang w:eastAsia="en-US"/>
              </w:rPr>
            </w:pPr>
            <w:r w:rsidRPr="009F4AB9">
              <w:rPr>
                <w:b w:val="0"/>
                <w:color w:val="404040" w:themeColor="text1" w:themeTint="BF"/>
                <w:sz w:val="20"/>
                <w:szCs w:val="20"/>
                <w:lang w:eastAsia="en-US"/>
              </w:rPr>
              <w:t>16</w:t>
            </w:r>
          </w:p>
          <w:p w14:paraId="12260141" w14:textId="77777777" w:rsidR="001F3643" w:rsidRPr="009F4AB9" w:rsidRDefault="001F3643" w:rsidP="00554611">
            <w:pPr>
              <w:spacing w:after="0"/>
              <w:rPr>
                <w:b w:val="0"/>
                <w:color w:val="404040" w:themeColor="text1" w:themeTint="BF"/>
                <w:sz w:val="20"/>
                <w:szCs w:val="20"/>
                <w:lang w:eastAsia="en-US"/>
              </w:rPr>
            </w:pPr>
          </w:p>
        </w:tc>
        <w:tc>
          <w:tcPr>
            <w:tcW w:w="1742" w:type="dxa"/>
          </w:tcPr>
          <w:p w14:paraId="570AC612"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4E966F6C" w14:textId="77777777" w:rsidR="001F3643" w:rsidRPr="009F4AB9" w:rsidRDefault="001F3643" w:rsidP="00856BB1">
            <w:pPr>
              <w:spacing w:after="0"/>
              <w:cnfStyle w:val="000000000000" w:firstRow="0" w:lastRow="0" w:firstColumn="0" w:lastColumn="0" w:oddVBand="0" w:evenVBand="0" w:oddHBand="0" w:evenHBand="0" w:firstRowFirstColumn="0" w:firstRowLastColumn="0" w:lastRowFirstColumn="0" w:lastRowLastColumn="0"/>
              <w:rPr>
                <w:sz w:val="20"/>
                <w:szCs w:val="20"/>
                <w:lang w:eastAsia="en-US"/>
              </w:rPr>
            </w:pPr>
            <w:r w:rsidRPr="009F4AB9">
              <w:rPr>
                <w:sz w:val="20"/>
                <w:szCs w:val="20"/>
                <w:lang w:eastAsia="en-US"/>
              </w:rPr>
              <w:t>Presentation</w:t>
            </w:r>
          </w:p>
          <w:p w14:paraId="535D87DD"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463215A2"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0A74B45B"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r w:rsidR="001F3643" w:rsidRPr="009F4AB9" w14:paraId="5FA3A713" w14:textId="77777777" w:rsidTr="00AD031F">
        <w:tc>
          <w:tcPr>
            <w:cnfStyle w:val="001000000000" w:firstRow="0" w:lastRow="0" w:firstColumn="1" w:lastColumn="0" w:oddVBand="0" w:evenVBand="0" w:oddHBand="0" w:evenHBand="0" w:firstRowFirstColumn="0" w:firstRowLastColumn="0" w:lastRowFirstColumn="0" w:lastRowLastColumn="0"/>
            <w:tcW w:w="949" w:type="dxa"/>
          </w:tcPr>
          <w:p w14:paraId="3DE3739D" w14:textId="77777777" w:rsidR="001F3643" w:rsidRPr="009F4AB9" w:rsidRDefault="001F3643" w:rsidP="00554611">
            <w:pPr>
              <w:spacing w:after="0"/>
              <w:rPr>
                <w:b w:val="0"/>
                <w:color w:val="404040" w:themeColor="text1" w:themeTint="BF"/>
                <w:sz w:val="20"/>
                <w:szCs w:val="20"/>
                <w:lang w:eastAsia="en-US"/>
              </w:rPr>
            </w:pPr>
          </w:p>
        </w:tc>
        <w:tc>
          <w:tcPr>
            <w:tcW w:w="1742" w:type="dxa"/>
          </w:tcPr>
          <w:p w14:paraId="59D724BA"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3559" w:type="dxa"/>
          </w:tcPr>
          <w:p w14:paraId="2DA8D37B"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40C5DC57"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c>
          <w:tcPr>
            <w:tcW w:w="1742" w:type="dxa"/>
          </w:tcPr>
          <w:p w14:paraId="01A2DA77" w14:textId="77777777" w:rsidR="001F3643" w:rsidRPr="009F4AB9" w:rsidRDefault="001F3643" w:rsidP="006A27E5">
            <w:pPr>
              <w:cnfStyle w:val="000000000000" w:firstRow="0" w:lastRow="0" w:firstColumn="0" w:lastColumn="0" w:oddVBand="0" w:evenVBand="0" w:oddHBand="0" w:evenHBand="0" w:firstRowFirstColumn="0" w:firstRowLastColumn="0" w:lastRowFirstColumn="0" w:lastRowLastColumn="0"/>
              <w:rPr>
                <w:sz w:val="20"/>
                <w:szCs w:val="20"/>
                <w:lang w:eastAsia="en-US"/>
              </w:rPr>
            </w:pPr>
          </w:p>
        </w:tc>
      </w:tr>
    </w:tbl>
    <w:p w14:paraId="20F400B2" w14:textId="77777777" w:rsidR="00174C89" w:rsidRPr="009F4AB9" w:rsidRDefault="00174C89" w:rsidP="00174C89">
      <w:pPr>
        <w:rPr>
          <w:color w:val="54A738" w:themeColor="accent5" w:themeShade="BF"/>
          <w:sz w:val="20"/>
          <w:szCs w:val="20"/>
        </w:rPr>
      </w:pPr>
    </w:p>
    <w:p w14:paraId="322B8FF1" w14:textId="77777777" w:rsidR="00174C89" w:rsidRDefault="00174C89"/>
    <w:sectPr w:rsidR="00174C89">
      <w:footerReference w:type="default" r:id="rId13"/>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042F1" w14:textId="77777777" w:rsidR="00E4533B" w:rsidRDefault="00E4533B">
      <w:pPr>
        <w:spacing w:after="0"/>
      </w:pPr>
      <w:r>
        <w:separator/>
      </w:r>
    </w:p>
  </w:endnote>
  <w:endnote w:type="continuationSeparator" w:id="0">
    <w:p w14:paraId="5805C8F3" w14:textId="77777777" w:rsidR="00E4533B" w:rsidRDefault="00E45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roxima Nova Cn Lt">
    <w:altName w:val="Candara"/>
    <w:panose1 w:val="00000000000000000000"/>
    <w:charset w:val="00"/>
    <w:family w:val="modern"/>
    <w:notTrueType/>
    <w:pitch w:val="variable"/>
    <w:sig w:usb0="A00002EF" w:usb1="5000E0F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36CB6127" w:rsidR="001C5E8D" w:rsidRDefault="00463815">
          <w:pPr>
            <w:pStyle w:val="Footer"/>
            <w:rPr>
              <w:noProof/>
            </w:rPr>
          </w:pPr>
          <w:r>
            <w:t xml:space="preserve">Page </w:t>
          </w:r>
          <w:r>
            <w:fldChar w:fldCharType="begin"/>
          </w:r>
          <w:r>
            <w:instrText xml:space="preserve"> PAGE   \* MERGEFORMAT </w:instrText>
          </w:r>
          <w:r>
            <w:fldChar w:fldCharType="separate"/>
          </w:r>
          <w:r w:rsidR="007349CB">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D1292" w14:textId="77777777" w:rsidR="00E4533B" w:rsidRDefault="00E4533B">
      <w:pPr>
        <w:spacing w:after="0"/>
      </w:pPr>
      <w:r>
        <w:separator/>
      </w:r>
    </w:p>
  </w:footnote>
  <w:footnote w:type="continuationSeparator" w:id="0">
    <w:p w14:paraId="2F303A5D" w14:textId="77777777" w:rsidR="00E4533B" w:rsidRDefault="00E4533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51C61"/>
    <w:multiLevelType w:val="hybridMultilevel"/>
    <w:tmpl w:val="F976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5485629"/>
    <w:multiLevelType w:val="hybridMultilevel"/>
    <w:tmpl w:val="5E22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2" w15:restartNumberingAfterBreak="0">
    <w:nsid w:val="25C7772D"/>
    <w:multiLevelType w:val="hybridMultilevel"/>
    <w:tmpl w:val="81BA2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3" w15:restartNumberingAfterBreak="0">
    <w:nsid w:val="2A3614D4"/>
    <w:multiLevelType w:val="hybridMultilevel"/>
    <w:tmpl w:val="35AC95D0"/>
    <w:lvl w:ilvl="0" w:tplc="482E9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82AF6"/>
    <w:multiLevelType w:val="hybridMultilevel"/>
    <w:tmpl w:val="BB4E5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C608DA"/>
    <w:multiLevelType w:val="hybridMultilevel"/>
    <w:tmpl w:val="70E212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7" w15:restartNumberingAfterBreak="0">
    <w:nsid w:val="760C79F8"/>
    <w:multiLevelType w:val="hybridMultilevel"/>
    <w:tmpl w:val="05D4F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num w:numId="1">
    <w:abstractNumId w:val="9"/>
  </w:num>
  <w:num w:numId="2">
    <w:abstractNumId w:val="1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2"/>
  </w:num>
  <w:num w:numId="15">
    <w:abstractNumId w:val="11"/>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152F"/>
    <w:rsid w:val="000140C5"/>
    <w:rsid w:val="00040FC3"/>
    <w:rsid w:val="000E3DC3"/>
    <w:rsid w:val="000F16D8"/>
    <w:rsid w:val="00127CA1"/>
    <w:rsid w:val="00156524"/>
    <w:rsid w:val="00174C89"/>
    <w:rsid w:val="00177FF3"/>
    <w:rsid w:val="001807F8"/>
    <w:rsid w:val="001C5E8D"/>
    <w:rsid w:val="001D7BA3"/>
    <w:rsid w:val="001F3643"/>
    <w:rsid w:val="002001DA"/>
    <w:rsid w:val="00260062"/>
    <w:rsid w:val="00270222"/>
    <w:rsid w:val="002A12C7"/>
    <w:rsid w:val="002C7849"/>
    <w:rsid w:val="002C7B60"/>
    <w:rsid w:val="002D3F95"/>
    <w:rsid w:val="002D42BC"/>
    <w:rsid w:val="002F31EA"/>
    <w:rsid w:val="00302C9D"/>
    <w:rsid w:val="00355EE0"/>
    <w:rsid w:val="00365253"/>
    <w:rsid w:val="003B2F6B"/>
    <w:rsid w:val="003E0FF8"/>
    <w:rsid w:val="00410F63"/>
    <w:rsid w:val="00416F16"/>
    <w:rsid w:val="00425E17"/>
    <w:rsid w:val="004334F0"/>
    <w:rsid w:val="00444C32"/>
    <w:rsid w:val="00463815"/>
    <w:rsid w:val="00477503"/>
    <w:rsid w:val="004B2A40"/>
    <w:rsid w:val="004D578A"/>
    <w:rsid w:val="004E2AFB"/>
    <w:rsid w:val="00554611"/>
    <w:rsid w:val="005567CC"/>
    <w:rsid w:val="00557C3F"/>
    <w:rsid w:val="005729F5"/>
    <w:rsid w:val="005C3649"/>
    <w:rsid w:val="005E60ED"/>
    <w:rsid w:val="005E631E"/>
    <w:rsid w:val="005F34B4"/>
    <w:rsid w:val="00610EFD"/>
    <w:rsid w:val="00617D32"/>
    <w:rsid w:val="00695BB3"/>
    <w:rsid w:val="006A27E5"/>
    <w:rsid w:val="006F0396"/>
    <w:rsid w:val="007349CB"/>
    <w:rsid w:val="00756311"/>
    <w:rsid w:val="00764E33"/>
    <w:rsid w:val="0079739C"/>
    <w:rsid w:val="007A7848"/>
    <w:rsid w:val="007B195B"/>
    <w:rsid w:val="00806AD6"/>
    <w:rsid w:val="0080716A"/>
    <w:rsid w:val="0083161C"/>
    <w:rsid w:val="00850A5C"/>
    <w:rsid w:val="00856BB1"/>
    <w:rsid w:val="0086301F"/>
    <w:rsid w:val="008C16C9"/>
    <w:rsid w:val="008D4E37"/>
    <w:rsid w:val="008D6E8D"/>
    <w:rsid w:val="008E0D1F"/>
    <w:rsid w:val="00932DE5"/>
    <w:rsid w:val="0094046B"/>
    <w:rsid w:val="00975D12"/>
    <w:rsid w:val="009857A8"/>
    <w:rsid w:val="009E3F85"/>
    <w:rsid w:val="009F0EFA"/>
    <w:rsid w:val="009F3845"/>
    <w:rsid w:val="009F4AB9"/>
    <w:rsid w:val="009F5A13"/>
    <w:rsid w:val="009F5ADA"/>
    <w:rsid w:val="00A01FEF"/>
    <w:rsid w:val="00A11086"/>
    <w:rsid w:val="00A43719"/>
    <w:rsid w:val="00A53CE5"/>
    <w:rsid w:val="00A60A1C"/>
    <w:rsid w:val="00A633C6"/>
    <w:rsid w:val="00A649D3"/>
    <w:rsid w:val="00A7522D"/>
    <w:rsid w:val="00A97BEB"/>
    <w:rsid w:val="00AD031F"/>
    <w:rsid w:val="00AE7776"/>
    <w:rsid w:val="00B322B0"/>
    <w:rsid w:val="00B60D68"/>
    <w:rsid w:val="00B757CE"/>
    <w:rsid w:val="00B76089"/>
    <w:rsid w:val="00BE1105"/>
    <w:rsid w:val="00BF4B1F"/>
    <w:rsid w:val="00C771C8"/>
    <w:rsid w:val="00CC78E9"/>
    <w:rsid w:val="00CE1D0C"/>
    <w:rsid w:val="00CE4028"/>
    <w:rsid w:val="00D04491"/>
    <w:rsid w:val="00D2397D"/>
    <w:rsid w:val="00D51688"/>
    <w:rsid w:val="00D877FA"/>
    <w:rsid w:val="00DD3DDB"/>
    <w:rsid w:val="00DE6F88"/>
    <w:rsid w:val="00DE7977"/>
    <w:rsid w:val="00E0569B"/>
    <w:rsid w:val="00E16050"/>
    <w:rsid w:val="00E30F56"/>
    <w:rsid w:val="00E4533B"/>
    <w:rsid w:val="00ED6FB0"/>
    <w:rsid w:val="00F26154"/>
    <w:rsid w:val="00F672E0"/>
    <w:rsid w:val="00F90466"/>
    <w:rsid w:val="00FC02FE"/>
    <w:rsid w:val="00FE4E1C"/>
    <w:rsid w:val="00FF4D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4"/>
        <w:szCs w:val="30"/>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paragraph" w:styleId="ListParagraph">
    <w:name w:val="List Paragraph"/>
    <w:basedOn w:val="Normal"/>
    <w:uiPriority w:val="34"/>
    <w:qFormat/>
    <w:rsid w:val="002A12C7"/>
    <w:pPr>
      <w:ind w:left="720"/>
      <w:contextualSpacing/>
    </w:pPr>
  </w:style>
  <w:style w:type="character" w:styleId="CommentReference">
    <w:name w:val="annotation reference"/>
    <w:basedOn w:val="DefaultParagraphFont"/>
    <w:uiPriority w:val="99"/>
    <w:semiHidden/>
    <w:unhideWhenUsed/>
    <w:rsid w:val="006F0396"/>
    <w:rPr>
      <w:sz w:val="18"/>
      <w:szCs w:val="18"/>
    </w:rPr>
  </w:style>
  <w:style w:type="paragraph" w:styleId="CommentText">
    <w:name w:val="annotation text"/>
    <w:basedOn w:val="Normal"/>
    <w:link w:val="CommentTextChar"/>
    <w:uiPriority w:val="99"/>
    <w:semiHidden/>
    <w:unhideWhenUsed/>
    <w:rsid w:val="006F0396"/>
    <w:rPr>
      <w:szCs w:val="24"/>
    </w:rPr>
  </w:style>
  <w:style w:type="character" w:customStyle="1" w:styleId="CommentTextChar">
    <w:name w:val="Comment Text Char"/>
    <w:basedOn w:val="DefaultParagraphFont"/>
    <w:link w:val="CommentText"/>
    <w:uiPriority w:val="99"/>
    <w:semiHidden/>
    <w:rsid w:val="006F0396"/>
    <w:rPr>
      <w:szCs w:val="24"/>
    </w:rPr>
  </w:style>
  <w:style w:type="paragraph" w:styleId="CommentSubject">
    <w:name w:val="annotation subject"/>
    <w:basedOn w:val="CommentText"/>
    <w:next w:val="CommentText"/>
    <w:link w:val="CommentSubjectChar"/>
    <w:uiPriority w:val="99"/>
    <w:semiHidden/>
    <w:unhideWhenUsed/>
    <w:rsid w:val="006F0396"/>
    <w:rPr>
      <w:b/>
      <w:bCs/>
      <w:sz w:val="20"/>
      <w:szCs w:val="20"/>
    </w:rPr>
  </w:style>
  <w:style w:type="character" w:customStyle="1" w:styleId="CommentSubjectChar">
    <w:name w:val="Comment Subject Char"/>
    <w:basedOn w:val="CommentTextChar"/>
    <w:link w:val="CommentSubject"/>
    <w:uiPriority w:val="99"/>
    <w:semiHidden/>
    <w:rsid w:val="006F03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7734">
      <w:bodyDiv w:val="1"/>
      <w:marLeft w:val="0"/>
      <w:marRight w:val="0"/>
      <w:marTop w:val="0"/>
      <w:marBottom w:val="0"/>
      <w:divBdr>
        <w:top w:val="none" w:sz="0" w:space="0" w:color="auto"/>
        <w:left w:val="none" w:sz="0" w:space="0" w:color="auto"/>
        <w:bottom w:val="none" w:sz="0" w:space="0" w:color="auto"/>
        <w:right w:val="none" w:sz="0" w:space="0" w:color="auto"/>
      </w:divBdr>
    </w:div>
    <w:div w:id="89400628">
      <w:bodyDiv w:val="1"/>
      <w:marLeft w:val="0"/>
      <w:marRight w:val="0"/>
      <w:marTop w:val="0"/>
      <w:marBottom w:val="0"/>
      <w:divBdr>
        <w:top w:val="none" w:sz="0" w:space="0" w:color="auto"/>
        <w:left w:val="none" w:sz="0" w:space="0" w:color="auto"/>
        <w:bottom w:val="none" w:sz="0" w:space="0" w:color="auto"/>
        <w:right w:val="none" w:sz="0" w:space="0" w:color="auto"/>
      </w:divBdr>
    </w:div>
    <w:div w:id="101265914">
      <w:bodyDiv w:val="1"/>
      <w:marLeft w:val="0"/>
      <w:marRight w:val="0"/>
      <w:marTop w:val="0"/>
      <w:marBottom w:val="0"/>
      <w:divBdr>
        <w:top w:val="none" w:sz="0" w:space="0" w:color="auto"/>
        <w:left w:val="none" w:sz="0" w:space="0" w:color="auto"/>
        <w:bottom w:val="none" w:sz="0" w:space="0" w:color="auto"/>
        <w:right w:val="none" w:sz="0" w:space="0" w:color="auto"/>
      </w:divBdr>
    </w:div>
    <w:div w:id="276571319">
      <w:bodyDiv w:val="1"/>
      <w:marLeft w:val="0"/>
      <w:marRight w:val="0"/>
      <w:marTop w:val="0"/>
      <w:marBottom w:val="0"/>
      <w:divBdr>
        <w:top w:val="none" w:sz="0" w:space="0" w:color="auto"/>
        <w:left w:val="none" w:sz="0" w:space="0" w:color="auto"/>
        <w:bottom w:val="none" w:sz="0" w:space="0" w:color="auto"/>
        <w:right w:val="none" w:sz="0" w:space="0" w:color="auto"/>
      </w:divBdr>
    </w:div>
    <w:div w:id="287785806">
      <w:bodyDiv w:val="1"/>
      <w:marLeft w:val="0"/>
      <w:marRight w:val="0"/>
      <w:marTop w:val="0"/>
      <w:marBottom w:val="0"/>
      <w:divBdr>
        <w:top w:val="none" w:sz="0" w:space="0" w:color="auto"/>
        <w:left w:val="none" w:sz="0" w:space="0" w:color="auto"/>
        <w:bottom w:val="none" w:sz="0" w:space="0" w:color="auto"/>
        <w:right w:val="none" w:sz="0" w:space="0" w:color="auto"/>
      </w:divBdr>
    </w:div>
    <w:div w:id="298726184">
      <w:bodyDiv w:val="1"/>
      <w:marLeft w:val="0"/>
      <w:marRight w:val="0"/>
      <w:marTop w:val="0"/>
      <w:marBottom w:val="0"/>
      <w:divBdr>
        <w:top w:val="none" w:sz="0" w:space="0" w:color="auto"/>
        <w:left w:val="none" w:sz="0" w:space="0" w:color="auto"/>
        <w:bottom w:val="none" w:sz="0" w:space="0" w:color="auto"/>
        <w:right w:val="none" w:sz="0" w:space="0" w:color="auto"/>
      </w:divBdr>
    </w:div>
    <w:div w:id="300506135">
      <w:bodyDiv w:val="1"/>
      <w:marLeft w:val="0"/>
      <w:marRight w:val="0"/>
      <w:marTop w:val="0"/>
      <w:marBottom w:val="0"/>
      <w:divBdr>
        <w:top w:val="none" w:sz="0" w:space="0" w:color="auto"/>
        <w:left w:val="none" w:sz="0" w:space="0" w:color="auto"/>
        <w:bottom w:val="none" w:sz="0" w:space="0" w:color="auto"/>
        <w:right w:val="none" w:sz="0" w:space="0" w:color="auto"/>
      </w:divBdr>
    </w:div>
    <w:div w:id="467480693">
      <w:bodyDiv w:val="1"/>
      <w:marLeft w:val="0"/>
      <w:marRight w:val="0"/>
      <w:marTop w:val="0"/>
      <w:marBottom w:val="0"/>
      <w:divBdr>
        <w:top w:val="none" w:sz="0" w:space="0" w:color="auto"/>
        <w:left w:val="none" w:sz="0" w:space="0" w:color="auto"/>
        <w:bottom w:val="none" w:sz="0" w:space="0" w:color="auto"/>
        <w:right w:val="none" w:sz="0" w:space="0" w:color="auto"/>
      </w:divBdr>
    </w:div>
    <w:div w:id="520707511">
      <w:bodyDiv w:val="1"/>
      <w:marLeft w:val="0"/>
      <w:marRight w:val="0"/>
      <w:marTop w:val="0"/>
      <w:marBottom w:val="0"/>
      <w:divBdr>
        <w:top w:val="none" w:sz="0" w:space="0" w:color="auto"/>
        <w:left w:val="none" w:sz="0" w:space="0" w:color="auto"/>
        <w:bottom w:val="none" w:sz="0" w:space="0" w:color="auto"/>
        <w:right w:val="none" w:sz="0" w:space="0" w:color="auto"/>
      </w:divBdr>
    </w:div>
    <w:div w:id="521288199">
      <w:bodyDiv w:val="1"/>
      <w:marLeft w:val="0"/>
      <w:marRight w:val="0"/>
      <w:marTop w:val="0"/>
      <w:marBottom w:val="0"/>
      <w:divBdr>
        <w:top w:val="none" w:sz="0" w:space="0" w:color="auto"/>
        <w:left w:val="none" w:sz="0" w:space="0" w:color="auto"/>
        <w:bottom w:val="none" w:sz="0" w:space="0" w:color="auto"/>
        <w:right w:val="none" w:sz="0" w:space="0" w:color="auto"/>
      </w:divBdr>
    </w:div>
    <w:div w:id="534276173">
      <w:bodyDiv w:val="1"/>
      <w:marLeft w:val="0"/>
      <w:marRight w:val="0"/>
      <w:marTop w:val="0"/>
      <w:marBottom w:val="0"/>
      <w:divBdr>
        <w:top w:val="none" w:sz="0" w:space="0" w:color="auto"/>
        <w:left w:val="none" w:sz="0" w:space="0" w:color="auto"/>
        <w:bottom w:val="none" w:sz="0" w:space="0" w:color="auto"/>
        <w:right w:val="none" w:sz="0" w:space="0" w:color="auto"/>
      </w:divBdr>
    </w:div>
    <w:div w:id="544223380">
      <w:bodyDiv w:val="1"/>
      <w:marLeft w:val="0"/>
      <w:marRight w:val="0"/>
      <w:marTop w:val="0"/>
      <w:marBottom w:val="0"/>
      <w:divBdr>
        <w:top w:val="none" w:sz="0" w:space="0" w:color="auto"/>
        <w:left w:val="none" w:sz="0" w:space="0" w:color="auto"/>
        <w:bottom w:val="none" w:sz="0" w:space="0" w:color="auto"/>
        <w:right w:val="none" w:sz="0" w:space="0" w:color="auto"/>
      </w:divBdr>
    </w:div>
    <w:div w:id="611716663">
      <w:bodyDiv w:val="1"/>
      <w:marLeft w:val="0"/>
      <w:marRight w:val="0"/>
      <w:marTop w:val="0"/>
      <w:marBottom w:val="0"/>
      <w:divBdr>
        <w:top w:val="none" w:sz="0" w:space="0" w:color="auto"/>
        <w:left w:val="none" w:sz="0" w:space="0" w:color="auto"/>
        <w:bottom w:val="none" w:sz="0" w:space="0" w:color="auto"/>
        <w:right w:val="none" w:sz="0" w:space="0" w:color="auto"/>
      </w:divBdr>
    </w:div>
    <w:div w:id="739715684">
      <w:bodyDiv w:val="1"/>
      <w:marLeft w:val="0"/>
      <w:marRight w:val="0"/>
      <w:marTop w:val="0"/>
      <w:marBottom w:val="0"/>
      <w:divBdr>
        <w:top w:val="none" w:sz="0" w:space="0" w:color="auto"/>
        <w:left w:val="none" w:sz="0" w:space="0" w:color="auto"/>
        <w:bottom w:val="none" w:sz="0" w:space="0" w:color="auto"/>
        <w:right w:val="none" w:sz="0" w:space="0" w:color="auto"/>
      </w:divBdr>
    </w:div>
    <w:div w:id="745108453">
      <w:bodyDiv w:val="1"/>
      <w:marLeft w:val="0"/>
      <w:marRight w:val="0"/>
      <w:marTop w:val="0"/>
      <w:marBottom w:val="0"/>
      <w:divBdr>
        <w:top w:val="none" w:sz="0" w:space="0" w:color="auto"/>
        <w:left w:val="none" w:sz="0" w:space="0" w:color="auto"/>
        <w:bottom w:val="none" w:sz="0" w:space="0" w:color="auto"/>
        <w:right w:val="none" w:sz="0" w:space="0" w:color="auto"/>
      </w:divBdr>
    </w:div>
    <w:div w:id="791480026">
      <w:bodyDiv w:val="1"/>
      <w:marLeft w:val="0"/>
      <w:marRight w:val="0"/>
      <w:marTop w:val="0"/>
      <w:marBottom w:val="0"/>
      <w:divBdr>
        <w:top w:val="none" w:sz="0" w:space="0" w:color="auto"/>
        <w:left w:val="none" w:sz="0" w:space="0" w:color="auto"/>
        <w:bottom w:val="none" w:sz="0" w:space="0" w:color="auto"/>
        <w:right w:val="none" w:sz="0" w:space="0" w:color="auto"/>
      </w:divBdr>
    </w:div>
    <w:div w:id="808283980">
      <w:bodyDiv w:val="1"/>
      <w:marLeft w:val="0"/>
      <w:marRight w:val="0"/>
      <w:marTop w:val="0"/>
      <w:marBottom w:val="0"/>
      <w:divBdr>
        <w:top w:val="none" w:sz="0" w:space="0" w:color="auto"/>
        <w:left w:val="none" w:sz="0" w:space="0" w:color="auto"/>
        <w:bottom w:val="none" w:sz="0" w:space="0" w:color="auto"/>
        <w:right w:val="none" w:sz="0" w:space="0" w:color="auto"/>
      </w:divBdr>
    </w:div>
    <w:div w:id="863446334">
      <w:bodyDiv w:val="1"/>
      <w:marLeft w:val="0"/>
      <w:marRight w:val="0"/>
      <w:marTop w:val="0"/>
      <w:marBottom w:val="0"/>
      <w:divBdr>
        <w:top w:val="none" w:sz="0" w:space="0" w:color="auto"/>
        <w:left w:val="none" w:sz="0" w:space="0" w:color="auto"/>
        <w:bottom w:val="none" w:sz="0" w:space="0" w:color="auto"/>
        <w:right w:val="none" w:sz="0" w:space="0" w:color="auto"/>
      </w:divBdr>
    </w:div>
    <w:div w:id="927925850">
      <w:bodyDiv w:val="1"/>
      <w:marLeft w:val="0"/>
      <w:marRight w:val="0"/>
      <w:marTop w:val="0"/>
      <w:marBottom w:val="0"/>
      <w:divBdr>
        <w:top w:val="none" w:sz="0" w:space="0" w:color="auto"/>
        <w:left w:val="none" w:sz="0" w:space="0" w:color="auto"/>
        <w:bottom w:val="none" w:sz="0" w:space="0" w:color="auto"/>
        <w:right w:val="none" w:sz="0" w:space="0" w:color="auto"/>
      </w:divBdr>
    </w:div>
    <w:div w:id="1058237098">
      <w:bodyDiv w:val="1"/>
      <w:marLeft w:val="0"/>
      <w:marRight w:val="0"/>
      <w:marTop w:val="0"/>
      <w:marBottom w:val="0"/>
      <w:divBdr>
        <w:top w:val="none" w:sz="0" w:space="0" w:color="auto"/>
        <w:left w:val="none" w:sz="0" w:space="0" w:color="auto"/>
        <w:bottom w:val="none" w:sz="0" w:space="0" w:color="auto"/>
        <w:right w:val="none" w:sz="0" w:space="0" w:color="auto"/>
      </w:divBdr>
    </w:div>
    <w:div w:id="1334646608">
      <w:bodyDiv w:val="1"/>
      <w:marLeft w:val="0"/>
      <w:marRight w:val="0"/>
      <w:marTop w:val="0"/>
      <w:marBottom w:val="0"/>
      <w:divBdr>
        <w:top w:val="none" w:sz="0" w:space="0" w:color="auto"/>
        <w:left w:val="none" w:sz="0" w:space="0" w:color="auto"/>
        <w:bottom w:val="none" w:sz="0" w:space="0" w:color="auto"/>
        <w:right w:val="none" w:sz="0" w:space="0" w:color="auto"/>
      </w:divBdr>
    </w:div>
    <w:div w:id="1379012150">
      <w:bodyDiv w:val="1"/>
      <w:marLeft w:val="0"/>
      <w:marRight w:val="0"/>
      <w:marTop w:val="0"/>
      <w:marBottom w:val="0"/>
      <w:divBdr>
        <w:top w:val="none" w:sz="0" w:space="0" w:color="auto"/>
        <w:left w:val="none" w:sz="0" w:space="0" w:color="auto"/>
        <w:bottom w:val="none" w:sz="0" w:space="0" w:color="auto"/>
        <w:right w:val="none" w:sz="0" w:space="0" w:color="auto"/>
      </w:divBdr>
    </w:div>
    <w:div w:id="1389835834">
      <w:bodyDiv w:val="1"/>
      <w:marLeft w:val="0"/>
      <w:marRight w:val="0"/>
      <w:marTop w:val="0"/>
      <w:marBottom w:val="0"/>
      <w:divBdr>
        <w:top w:val="none" w:sz="0" w:space="0" w:color="auto"/>
        <w:left w:val="none" w:sz="0" w:space="0" w:color="auto"/>
        <w:bottom w:val="none" w:sz="0" w:space="0" w:color="auto"/>
        <w:right w:val="none" w:sz="0" w:space="0" w:color="auto"/>
      </w:divBdr>
    </w:div>
    <w:div w:id="1585458347">
      <w:bodyDiv w:val="1"/>
      <w:marLeft w:val="0"/>
      <w:marRight w:val="0"/>
      <w:marTop w:val="0"/>
      <w:marBottom w:val="0"/>
      <w:divBdr>
        <w:top w:val="none" w:sz="0" w:space="0" w:color="auto"/>
        <w:left w:val="none" w:sz="0" w:space="0" w:color="auto"/>
        <w:bottom w:val="none" w:sz="0" w:space="0" w:color="auto"/>
        <w:right w:val="none" w:sz="0" w:space="0" w:color="auto"/>
      </w:divBdr>
    </w:div>
    <w:div w:id="1605384858">
      <w:bodyDiv w:val="1"/>
      <w:marLeft w:val="0"/>
      <w:marRight w:val="0"/>
      <w:marTop w:val="0"/>
      <w:marBottom w:val="0"/>
      <w:divBdr>
        <w:top w:val="none" w:sz="0" w:space="0" w:color="auto"/>
        <w:left w:val="none" w:sz="0" w:space="0" w:color="auto"/>
        <w:bottom w:val="none" w:sz="0" w:space="0" w:color="auto"/>
        <w:right w:val="none" w:sz="0" w:space="0" w:color="auto"/>
      </w:divBdr>
    </w:div>
    <w:div w:id="1670206369">
      <w:bodyDiv w:val="1"/>
      <w:marLeft w:val="0"/>
      <w:marRight w:val="0"/>
      <w:marTop w:val="0"/>
      <w:marBottom w:val="0"/>
      <w:divBdr>
        <w:top w:val="none" w:sz="0" w:space="0" w:color="auto"/>
        <w:left w:val="none" w:sz="0" w:space="0" w:color="auto"/>
        <w:bottom w:val="none" w:sz="0" w:space="0" w:color="auto"/>
        <w:right w:val="none" w:sz="0" w:space="0" w:color="auto"/>
      </w:divBdr>
    </w:div>
    <w:div w:id="1673215338">
      <w:bodyDiv w:val="1"/>
      <w:marLeft w:val="0"/>
      <w:marRight w:val="0"/>
      <w:marTop w:val="0"/>
      <w:marBottom w:val="0"/>
      <w:divBdr>
        <w:top w:val="none" w:sz="0" w:space="0" w:color="auto"/>
        <w:left w:val="none" w:sz="0" w:space="0" w:color="auto"/>
        <w:bottom w:val="none" w:sz="0" w:space="0" w:color="auto"/>
        <w:right w:val="none" w:sz="0" w:space="0" w:color="auto"/>
      </w:divBdr>
    </w:div>
    <w:div w:id="1754353940">
      <w:bodyDiv w:val="1"/>
      <w:marLeft w:val="0"/>
      <w:marRight w:val="0"/>
      <w:marTop w:val="0"/>
      <w:marBottom w:val="0"/>
      <w:divBdr>
        <w:top w:val="none" w:sz="0" w:space="0" w:color="auto"/>
        <w:left w:val="none" w:sz="0" w:space="0" w:color="auto"/>
        <w:bottom w:val="none" w:sz="0" w:space="0" w:color="auto"/>
        <w:right w:val="none" w:sz="0" w:space="0" w:color="auto"/>
      </w:divBdr>
    </w:div>
    <w:div w:id="1937445259">
      <w:bodyDiv w:val="1"/>
      <w:marLeft w:val="0"/>
      <w:marRight w:val="0"/>
      <w:marTop w:val="0"/>
      <w:marBottom w:val="0"/>
      <w:divBdr>
        <w:top w:val="none" w:sz="0" w:space="0" w:color="auto"/>
        <w:left w:val="none" w:sz="0" w:space="0" w:color="auto"/>
        <w:bottom w:val="none" w:sz="0" w:space="0" w:color="auto"/>
        <w:right w:val="none" w:sz="0" w:space="0" w:color="auto"/>
      </w:divBdr>
    </w:div>
    <w:div w:id="1953241108">
      <w:bodyDiv w:val="1"/>
      <w:marLeft w:val="0"/>
      <w:marRight w:val="0"/>
      <w:marTop w:val="0"/>
      <w:marBottom w:val="0"/>
      <w:divBdr>
        <w:top w:val="none" w:sz="0" w:space="0" w:color="auto"/>
        <w:left w:val="none" w:sz="0" w:space="0" w:color="auto"/>
        <w:bottom w:val="none" w:sz="0" w:space="0" w:color="auto"/>
        <w:right w:val="none" w:sz="0" w:space="0" w:color="auto"/>
      </w:divBdr>
    </w:div>
    <w:div w:id="2006739872">
      <w:bodyDiv w:val="1"/>
      <w:marLeft w:val="0"/>
      <w:marRight w:val="0"/>
      <w:marTop w:val="0"/>
      <w:marBottom w:val="0"/>
      <w:divBdr>
        <w:top w:val="none" w:sz="0" w:space="0" w:color="auto"/>
        <w:left w:val="none" w:sz="0" w:space="0" w:color="auto"/>
        <w:bottom w:val="none" w:sz="0" w:space="0" w:color="auto"/>
        <w:right w:val="none" w:sz="0" w:space="0" w:color="auto"/>
      </w:divBdr>
    </w:div>
    <w:div w:id="2011134542">
      <w:bodyDiv w:val="1"/>
      <w:marLeft w:val="0"/>
      <w:marRight w:val="0"/>
      <w:marTop w:val="0"/>
      <w:marBottom w:val="0"/>
      <w:divBdr>
        <w:top w:val="none" w:sz="0" w:space="0" w:color="auto"/>
        <w:left w:val="none" w:sz="0" w:space="0" w:color="auto"/>
        <w:bottom w:val="none" w:sz="0" w:space="0" w:color="auto"/>
        <w:right w:val="none" w:sz="0" w:space="0" w:color="auto"/>
      </w:divBdr>
    </w:div>
    <w:div w:id="2059864303">
      <w:bodyDiv w:val="1"/>
      <w:marLeft w:val="0"/>
      <w:marRight w:val="0"/>
      <w:marTop w:val="0"/>
      <w:marBottom w:val="0"/>
      <w:divBdr>
        <w:top w:val="none" w:sz="0" w:space="0" w:color="auto"/>
        <w:left w:val="none" w:sz="0" w:space="0" w:color="auto"/>
        <w:bottom w:val="none" w:sz="0" w:space="0" w:color="auto"/>
        <w:right w:val="none" w:sz="0" w:space="0" w:color="auto"/>
      </w:divBdr>
    </w:div>
    <w:div w:id="20707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designtool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talog.gatech.edu/rules/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service-design-network.org" TargetMode="External"/><Relationship Id="rId14"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BD865-4E29-4AE0-AA11-F45DC54F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1229</Words>
  <Characters>7010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Victoria L</dc:creator>
  <cp:keywords/>
  <dc:description/>
  <cp:lastModifiedBy>Tucker, Melissa R</cp:lastModifiedBy>
  <cp:revision>2</cp:revision>
  <cp:lastPrinted>2017-10-27T13:15:00Z</cp:lastPrinted>
  <dcterms:created xsi:type="dcterms:W3CDTF">2018-03-05T17:07:00Z</dcterms:created>
  <dcterms:modified xsi:type="dcterms:W3CDTF">2018-03-05T17:07:00Z</dcterms:modified>
</cp:coreProperties>
</file>