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BFB0F" w14:textId="75BC51F1" w:rsidR="002579E5" w:rsidRDefault="00462755" w:rsidP="00786F76">
      <w:pPr>
        <w:jc w:val="center"/>
      </w:pPr>
      <w:proofErr w:type="gramStart"/>
      <w:r>
        <w:t>Alasdair Young</w:t>
      </w:r>
      <w:r w:rsidR="00786F76">
        <w:t xml:space="preserve"> •</w:t>
      </w:r>
      <w:r>
        <w:t xml:space="preserve"> </w:t>
      </w:r>
      <w:hyperlink r:id="rId6" w:history="1">
        <w:r w:rsidR="004C601F" w:rsidRPr="00FA6D03">
          <w:rPr>
            <w:rStyle w:val="Hyperlink"/>
          </w:rPr>
          <w:t>alasdair.young@gatech.edu</w:t>
        </w:r>
      </w:hyperlink>
      <w:r w:rsidR="004C601F">
        <w:t xml:space="preserve"> </w:t>
      </w:r>
      <w:r w:rsidR="00786F76">
        <w:t>•</w:t>
      </w:r>
      <w:r w:rsidR="004C601F">
        <w:t xml:space="preserve"> 212B Habersham Building (IAC Building, 781 Marietta St.)</w:t>
      </w:r>
      <w:proofErr w:type="gramEnd"/>
      <w:r w:rsidR="004C601F">
        <w:t xml:space="preserve"> </w:t>
      </w:r>
      <w:r w:rsidR="00786F76">
        <w:t>Office hours</w:t>
      </w:r>
      <w:r>
        <w:t>:</w:t>
      </w:r>
      <w:r w:rsidR="00786F76">
        <w:t xml:space="preserve"> </w:t>
      </w:r>
      <w:r>
        <w:t>TTR</w:t>
      </w:r>
      <w:r w:rsidR="004C601F">
        <w:t>:</w:t>
      </w:r>
      <w:r w:rsidR="00786F76">
        <w:t xml:space="preserve"> 2</w:t>
      </w:r>
      <w:r>
        <w:t>-3</w:t>
      </w:r>
      <w:r w:rsidR="00880605">
        <w:t xml:space="preserve"> </w:t>
      </w:r>
      <w:r w:rsidR="00786F76">
        <w:t>and by appointment</w:t>
      </w:r>
    </w:p>
    <w:p w14:paraId="3D1B6822" w14:textId="77777777" w:rsidR="00786F76" w:rsidRDefault="00786F76" w:rsidP="00786F76">
      <w:pPr>
        <w:jc w:val="center"/>
      </w:pPr>
    </w:p>
    <w:p w14:paraId="68BABC81" w14:textId="1CB1E2D8" w:rsidR="00786F76" w:rsidRPr="004874CB" w:rsidRDefault="00294EB5" w:rsidP="004874CB">
      <w:pPr>
        <w:tabs>
          <w:tab w:val="left" w:pos="1427"/>
          <w:tab w:val="center" w:pos="5400"/>
        </w:tabs>
        <w:jc w:val="center"/>
        <w:rPr>
          <w:rFonts w:ascii="Times" w:hAnsi="Times"/>
          <w:b/>
          <w:sz w:val="36"/>
          <w:szCs w:val="36"/>
          <w:u w:val="single"/>
        </w:rPr>
      </w:pPr>
      <w:r w:rsidRPr="004874CB">
        <w:rPr>
          <w:rFonts w:ascii="Times" w:hAnsi="Times" w:cs="Arial"/>
          <w:color w:val="260026"/>
          <w:sz w:val="36"/>
          <w:szCs w:val="36"/>
          <w:u w:color="260026"/>
        </w:rPr>
        <w:t xml:space="preserve">INTA </w:t>
      </w:r>
      <w:r w:rsidR="00462755">
        <w:rPr>
          <w:rFonts w:ascii="Times" w:hAnsi="Times" w:cs="Arial"/>
          <w:color w:val="260026"/>
          <w:sz w:val="36"/>
          <w:szCs w:val="36"/>
          <w:u w:color="260026"/>
        </w:rPr>
        <w:t>3</w:t>
      </w:r>
      <w:r w:rsidRPr="004874CB">
        <w:rPr>
          <w:rFonts w:ascii="Times" w:hAnsi="Times" w:cs="Arial"/>
          <w:color w:val="260026"/>
          <w:sz w:val="36"/>
          <w:szCs w:val="36"/>
          <w:u w:color="260026"/>
        </w:rPr>
        <w:t xml:space="preserve">XXX: </w:t>
      </w:r>
      <w:r w:rsidR="004E1340">
        <w:rPr>
          <w:rFonts w:ascii="Times" w:hAnsi="Times" w:cs="Arial"/>
          <w:color w:val="260026"/>
          <w:sz w:val="36"/>
          <w:szCs w:val="36"/>
          <w:u w:color="260026"/>
        </w:rPr>
        <w:t>Global Politics of Technology</w:t>
      </w:r>
    </w:p>
    <w:p w14:paraId="1CF5A4F0" w14:textId="5E5C530A" w:rsidR="00786F76" w:rsidRDefault="00786F76" w:rsidP="002F5CDB">
      <w:pPr>
        <w:jc w:val="center"/>
      </w:pPr>
      <w:r>
        <w:t>There are no prerequisites for this course</w:t>
      </w:r>
    </w:p>
    <w:p w14:paraId="16C54CC1" w14:textId="77777777" w:rsidR="00786F76" w:rsidRDefault="00786F76" w:rsidP="00786F76">
      <w:pPr>
        <w:jc w:val="center"/>
      </w:pPr>
      <w:r>
        <w:t xml:space="preserve">This course fulfills the Social Science and </w:t>
      </w:r>
      <w:r w:rsidR="00F62C44">
        <w:t xml:space="preserve">Global Perspective </w:t>
      </w:r>
      <w:r>
        <w:t>GEN ED requirements at Georgia Tech.</w:t>
      </w:r>
    </w:p>
    <w:p w14:paraId="2A1E391E" w14:textId="77777777" w:rsidR="00786F76" w:rsidRDefault="00786F76" w:rsidP="00786F76">
      <w:pPr>
        <w:jc w:val="center"/>
      </w:pPr>
    </w:p>
    <w:p w14:paraId="12EF1E8E" w14:textId="77777777" w:rsidR="00462755" w:rsidRDefault="00786F76" w:rsidP="00786F76">
      <w:r w:rsidRPr="00F62C44">
        <w:rPr>
          <w:b/>
        </w:rPr>
        <w:t>Course Description</w:t>
      </w:r>
      <w:r>
        <w:t xml:space="preserve">:  </w:t>
      </w:r>
    </w:p>
    <w:p w14:paraId="333E2EC9" w14:textId="06B6A7A5" w:rsidR="00786F76" w:rsidRDefault="004E1340" w:rsidP="00786F76">
      <w:pPr>
        <w:rPr>
          <w:i/>
        </w:rPr>
      </w:pPr>
      <w:r w:rsidRPr="004E1340">
        <w:t>The development and adoption of technological innovations are greatly influenced by the rules and regulations affecting their use.  This course examines the economic and political dynamics that influence how regulations governing technology are adopted around the world.  We focus on a broad range of technical areas -- including civil aviation; food safety; the Internet; and nuclear energy -- to explore how regulatory decisions are made and explain why different governments adopt different rules.  These differences are illustrated by comparing the regulatory processes of the world’s two largest markets and most influential regulators: the United States and the European Union.  We also explore how their regulatory choices influence the rest of the world through emulation, coercion, and cooperation.</w:t>
      </w:r>
      <w:r w:rsidR="00462755" w:rsidRPr="00B03D5E">
        <w:t xml:space="preserve">  </w:t>
      </w:r>
    </w:p>
    <w:p w14:paraId="7395AF88" w14:textId="77777777" w:rsidR="00F62C44" w:rsidRDefault="00F62C44" w:rsidP="00786F76">
      <w:pPr>
        <w:rPr>
          <w:i/>
        </w:rPr>
      </w:pPr>
    </w:p>
    <w:p w14:paraId="507BDE6E" w14:textId="77777777" w:rsidR="00F62C44" w:rsidRDefault="00F62C44" w:rsidP="00786F76">
      <w:pPr>
        <w:rPr>
          <w:b/>
        </w:rPr>
      </w:pPr>
      <w:r>
        <w:rPr>
          <w:b/>
        </w:rPr>
        <w:t xml:space="preserve">Learning Outcomes: </w:t>
      </w:r>
    </w:p>
    <w:p w14:paraId="30DABBFE" w14:textId="77777777" w:rsidR="005919F6" w:rsidRDefault="005919F6" w:rsidP="00786F76">
      <w:pPr>
        <w:rPr>
          <w:rFonts w:ascii="Times" w:eastAsia="Times New Roman" w:hAnsi="Times" w:cs="Times New Roman"/>
          <w:i/>
        </w:rPr>
      </w:pPr>
    </w:p>
    <w:p w14:paraId="67DBA1EC" w14:textId="75868CE8" w:rsidR="005919F6" w:rsidRPr="00A51998" w:rsidRDefault="005919F6" w:rsidP="005919F6">
      <w:pPr>
        <w:rPr>
          <w:rFonts w:cstheme="minorHAnsi"/>
        </w:rPr>
      </w:pPr>
      <w:r w:rsidRPr="00A51998">
        <w:rPr>
          <w:rFonts w:cstheme="minorHAnsi"/>
        </w:rPr>
        <w:t xml:space="preserve">By the end of this course, students </w:t>
      </w:r>
      <w:r>
        <w:rPr>
          <w:rFonts w:cstheme="minorHAnsi"/>
        </w:rPr>
        <w:t>will</w:t>
      </w:r>
      <w:r w:rsidRPr="00A51998">
        <w:rPr>
          <w:rFonts w:cstheme="minorHAnsi"/>
        </w:rPr>
        <w:t xml:space="preserve"> be able to:</w:t>
      </w:r>
    </w:p>
    <w:p w14:paraId="3B10FCB3" w14:textId="1C14BD40" w:rsidR="00F62C44" w:rsidRPr="005919F6" w:rsidRDefault="00F62C44" w:rsidP="005919F6">
      <w:pPr>
        <w:pStyle w:val="ListParagraph"/>
        <w:numPr>
          <w:ilvl w:val="0"/>
          <w:numId w:val="2"/>
        </w:numPr>
        <w:rPr>
          <w:rFonts w:ascii="Times" w:eastAsia="Times New Roman" w:hAnsi="Times" w:cs="Times New Roman"/>
          <w:i/>
        </w:rPr>
      </w:pPr>
      <w:r w:rsidRPr="005919F6">
        <w:rPr>
          <w:rFonts w:ascii="Times" w:eastAsia="Times New Roman" w:hAnsi="Times" w:cs="Times New Roman"/>
          <w:i/>
        </w:rPr>
        <w:t>demonstrate the ability to describe the social, political, and economic forces</w:t>
      </w:r>
      <w:r w:rsidR="006B2615">
        <w:rPr>
          <w:rFonts w:ascii="Times" w:eastAsia="Times New Roman" w:hAnsi="Times" w:cs="Times New Roman"/>
          <w:i/>
        </w:rPr>
        <w:t xml:space="preserve"> that influence social behavior;</w:t>
      </w:r>
    </w:p>
    <w:p w14:paraId="4A509085" w14:textId="04815A16" w:rsidR="00F62C44" w:rsidRPr="005919F6" w:rsidRDefault="00F62C44" w:rsidP="005919F6">
      <w:pPr>
        <w:pStyle w:val="ListParagraph"/>
        <w:numPr>
          <w:ilvl w:val="0"/>
          <w:numId w:val="2"/>
        </w:numPr>
        <w:rPr>
          <w:rFonts w:ascii="Times" w:eastAsia="Times New Roman" w:hAnsi="Times" w:cs="Times New Roman"/>
          <w:i/>
        </w:rPr>
      </w:pPr>
      <w:r w:rsidRPr="005919F6">
        <w:rPr>
          <w:rFonts w:ascii="Times" w:eastAsia="Times New Roman" w:hAnsi="Times" w:cs="Times New Roman"/>
          <w:i/>
        </w:rPr>
        <w:t>demonstrate the ability to describe the social, political, and economic forces that influenc</w:t>
      </w:r>
      <w:r w:rsidR="006B2615">
        <w:rPr>
          <w:rFonts w:ascii="Times" w:eastAsia="Times New Roman" w:hAnsi="Times" w:cs="Times New Roman"/>
          <w:i/>
        </w:rPr>
        <w:t>e the global system;</w:t>
      </w:r>
    </w:p>
    <w:p w14:paraId="1C20C0AB" w14:textId="7169B463" w:rsidR="00F62C44" w:rsidRPr="005919F6" w:rsidRDefault="00650DAF" w:rsidP="00650DAF">
      <w:pPr>
        <w:pStyle w:val="ListParagraph"/>
        <w:numPr>
          <w:ilvl w:val="0"/>
          <w:numId w:val="2"/>
        </w:numPr>
        <w:rPr>
          <w:rFonts w:ascii="Times" w:hAnsi="Times" w:cs="Calibri"/>
          <w:i/>
        </w:rPr>
      </w:pPr>
      <w:r w:rsidRPr="00650DAF">
        <w:rPr>
          <w:rFonts w:ascii="Times" w:hAnsi="Times"/>
          <w:i/>
        </w:rPr>
        <w:t xml:space="preserve">understand causal and determinant relationships between science and technology (S&amp;T) and international affairs </w:t>
      </w:r>
      <w:r>
        <w:rPr>
          <w:rFonts w:ascii="Times" w:hAnsi="Times"/>
          <w:i/>
        </w:rPr>
        <w:t>(</w:t>
      </w:r>
      <w:r w:rsidRPr="00650DAF">
        <w:rPr>
          <w:rFonts w:ascii="Times" w:hAnsi="Times"/>
          <w:i/>
        </w:rPr>
        <w:t>Science, Techno</w:t>
      </w:r>
      <w:r>
        <w:rPr>
          <w:rFonts w:ascii="Times" w:hAnsi="Times"/>
          <w:i/>
        </w:rPr>
        <w:t>logy and International Affairs</w:t>
      </w:r>
      <w:r w:rsidR="005919F6">
        <w:rPr>
          <w:rFonts w:ascii="Times" w:hAnsi="Times"/>
          <w:i/>
        </w:rPr>
        <w:t>)</w:t>
      </w:r>
      <w:r w:rsidR="006B2615">
        <w:rPr>
          <w:rFonts w:ascii="Times" w:hAnsi="Times"/>
          <w:i/>
        </w:rPr>
        <w:t>; and</w:t>
      </w:r>
    </w:p>
    <w:p w14:paraId="3045334D" w14:textId="7C18CC73" w:rsidR="00F62C44" w:rsidRPr="006B2615" w:rsidRDefault="006B2615" w:rsidP="005919F6">
      <w:pPr>
        <w:pStyle w:val="ListParagraph"/>
        <w:numPr>
          <w:ilvl w:val="0"/>
          <w:numId w:val="3"/>
        </w:numPr>
        <w:rPr>
          <w:i/>
        </w:rPr>
      </w:pPr>
      <w:proofErr w:type="gramStart"/>
      <w:r w:rsidRPr="006B2615">
        <w:rPr>
          <w:i/>
        </w:rPr>
        <w:t>interpret</w:t>
      </w:r>
      <w:proofErr w:type="gramEnd"/>
      <w:r w:rsidRPr="006B2615">
        <w:rPr>
          <w:i/>
        </w:rPr>
        <w:t>, analyze and explain developments in global technology governance</w:t>
      </w:r>
      <w:r w:rsidR="005919F6" w:rsidRPr="006B2615">
        <w:rPr>
          <w:rFonts w:cstheme="minorHAnsi"/>
          <w:i/>
        </w:rPr>
        <w:t>.</w:t>
      </w:r>
    </w:p>
    <w:p w14:paraId="46C685A5" w14:textId="77777777" w:rsidR="006A49F0" w:rsidRDefault="006A49F0" w:rsidP="00786F76">
      <w:pPr>
        <w:rPr>
          <w:b/>
        </w:rPr>
      </w:pPr>
    </w:p>
    <w:p w14:paraId="004E208B" w14:textId="77777777" w:rsidR="00072180" w:rsidRDefault="0042488D" w:rsidP="00786F76">
      <w:r>
        <w:rPr>
          <w:b/>
        </w:rPr>
        <w:t xml:space="preserve">Required Texts:  </w:t>
      </w:r>
    </w:p>
    <w:p w14:paraId="474812DF" w14:textId="1773218F" w:rsidR="00152A3B" w:rsidRDefault="00152A3B" w:rsidP="00152A3B">
      <w:pPr>
        <w:ind w:left="720" w:hanging="720"/>
      </w:pPr>
      <w:proofErr w:type="spellStart"/>
      <w:r>
        <w:t>Fischhoff</w:t>
      </w:r>
      <w:proofErr w:type="spellEnd"/>
      <w:r>
        <w:t xml:space="preserve">, B. and </w:t>
      </w:r>
      <w:proofErr w:type="spellStart"/>
      <w:r>
        <w:t>Kadvany</w:t>
      </w:r>
      <w:proofErr w:type="spellEnd"/>
      <w:r>
        <w:t xml:space="preserve">, J. (2011), </w:t>
      </w:r>
      <w:r>
        <w:rPr>
          <w:i/>
        </w:rPr>
        <w:t>Risk: A Very Short Introduction</w:t>
      </w:r>
      <w:r>
        <w:t>, Oxford University Press.</w:t>
      </w:r>
    </w:p>
    <w:p w14:paraId="34BB7B3A" w14:textId="4FDC4C83" w:rsidR="00152A3B" w:rsidRDefault="00152A3B" w:rsidP="00152A3B">
      <w:pPr>
        <w:ind w:left="720" w:hanging="720"/>
      </w:pPr>
      <w:r>
        <w:t xml:space="preserve">Vogel, D. (2012), </w:t>
      </w:r>
      <w:r>
        <w:rPr>
          <w:i/>
        </w:rPr>
        <w:t>The Politics of Precaution: Regulating Health, Safety and Environmental Risks in Europe and the United States</w:t>
      </w:r>
      <w:r>
        <w:t>, Princeton University Press.</w:t>
      </w:r>
    </w:p>
    <w:p w14:paraId="69CDDDEC" w14:textId="5043329C" w:rsidR="00F62C44" w:rsidRDefault="0042488D" w:rsidP="00786F76">
      <w:r>
        <w:t>Additional readings will be added to</w:t>
      </w:r>
      <w:r w:rsidR="00072180">
        <w:t xml:space="preserve"> </w:t>
      </w:r>
      <w:proofErr w:type="spellStart"/>
      <w:r w:rsidR="00072180">
        <w:t>t-square</w:t>
      </w:r>
      <w:proofErr w:type="spellEnd"/>
      <w:r>
        <w:t>.</w:t>
      </w:r>
    </w:p>
    <w:p w14:paraId="19C7957B" w14:textId="77777777" w:rsidR="0042488D" w:rsidRDefault="0042488D" w:rsidP="00786F76"/>
    <w:p w14:paraId="18BE54FF" w14:textId="77777777" w:rsidR="0042488D" w:rsidRDefault="0042488D" w:rsidP="00786F76">
      <w:pPr>
        <w:rPr>
          <w:b/>
        </w:rPr>
      </w:pPr>
      <w:r>
        <w:rPr>
          <w:b/>
        </w:rPr>
        <w:t>List of Graded Assignments:</w:t>
      </w:r>
    </w:p>
    <w:p w14:paraId="58CF6EC9" w14:textId="6BF90345" w:rsidR="0042488D" w:rsidRDefault="0042488D" w:rsidP="00786F76">
      <w:r>
        <w:t xml:space="preserve">Midterm:  </w:t>
      </w:r>
      <w:r w:rsidR="00072180">
        <w:t>25</w:t>
      </w:r>
      <w:r>
        <w:t>%</w:t>
      </w:r>
    </w:p>
    <w:p w14:paraId="4E1A23A9" w14:textId="30F1A2EF" w:rsidR="0042488D" w:rsidRDefault="00072180" w:rsidP="00786F76">
      <w:r>
        <w:t>Presentation: 15%</w:t>
      </w:r>
    </w:p>
    <w:p w14:paraId="71A9ABF7" w14:textId="4104730E" w:rsidR="00072180" w:rsidRDefault="00072180" w:rsidP="00786F76">
      <w:r>
        <w:t>Policy case study: 20%</w:t>
      </w:r>
    </w:p>
    <w:p w14:paraId="5BD6DBFD" w14:textId="22CED891" w:rsidR="0042488D" w:rsidRDefault="0042488D" w:rsidP="00786F76">
      <w:r>
        <w:t>Final Exam: 3</w:t>
      </w:r>
      <w:r w:rsidR="00072180">
        <w:t>0</w:t>
      </w:r>
      <w:r>
        <w:t>%</w:t>
      </w:r>
      <w:r w:rsidR="00A25FFE">
        <w:t xml:space="preserve"> (given at time as shown on GT calendar)</w:t>
      </w:r>
    </w:p>
    <w:p w14:paraId="772AF08B" w14:textId="455AF689" w:rsidR="00072180" w:rsidRDefault="00072180" w:rsidP="00786F76">
      <w:r>
        <w:t>Participation: 10%</w:t>
      </w:r>
    </w:p>
    <w:p w14:paraId="58E1027F" w14:textId="77777777" w:rsidR="00DF513C" w:rsidRDefault="00DF513C" w:rsidP="00786F76">
      <w:pPr>
        <w:rPr>
          <w:b/>
        </w:rPr>
      </w:pPr>
    </w:p>
    <w:p w14:paraId="2A908C03" w14:textId="77777777" w:rsidR="0042488D" w:rsidRDefault="0042488D" w:rsidP="00786F76">
      <w:pPr>
        <w:rPr>
          <w:b/>
        </w:rPr>
      </w:pPr>
      <w:r>
        <w:rPr>
          <w:b/>
        </w:rPr>
        <w:t>Attendance Policy</w:t>
      </w:r>
    </w:p>
    <w:p w14:paraId="06581A79" w14:textId="015D5C59" w:rsidR="0042488D" w:rsidRDefault="0042488D" w:rsidP="00786F76">
      <w:r>
        <w:t xml:space="preserve">Attendance is mandatory as is reading before class.  </w:t>
      </w:r>
    </w:p>
    <w:p w14:paraId="7CFC3D17" w14:textId="77777777" w:rsidR="0042488D" w:rsidRDefault="0042488D" w:rsidP="00786F76"/>
    <w:p w14:paraId="73C090D7" w14:textId="77777777" w:rsidR="0042488D" w:rsidRDefault="0042488D" w:rsidP="00786F76">
      <w:pPr>
        <w:rPr>
          <w:b/>
        </w:rPr>
      </w:pPr>
      <w:r>
        <w:rPr>
          <w:b/>
        </w:rPr>
        <w:t>ADAPTS</w:t>
      </w:r>
    </w:p>
    <w:p w14:paraId="3D81811D" w14:textId="77777777" w:rsidR="0042488D" w:rsidRDefault="0042488D" w:rsidP="00786F76">
      <w:r>
        <w:t xml:space="preserve">The professor will work with ADAPTS so that all students have an equal opportunity for success.  For information on ADAPTS, see </w:t>
      </w:r>
      <w:hyperlink r:id="rId7" w:history="1">
        <w:r w:rsidRPr="00DD62DB">
          <w:rPr>
            <w:rStyle w:val="Hyperlink"/>
          </w:rPr>
          <w:t>http://www.adapts.gatech.edu/</w:t>
        </w:r>
      </w:hyperlink>
    </w:p>
    <w:p w14:paraId="25B71045" w14:textId="77777777" w:rsidR="00BF086F" w:rsidRDefault="00BF086F" w:rsidP="00786F76">
      <w:pPr>
        <w:rPr>
          <w:b/>
        </w:rPr>
      </w:pPr>
    </w:p>
    <w:p w14:paraId="5336443D" w14:textId="77777777" w:rsidR="00955238" w:rsidRDefault="00955238">
      <w:pPr>
        <w:rPr>
          <w:b/>
        </w:rPr>
      </w:pPr>
      <w:r>
        <w:rPr>
          <w:b/>
        </w:rPr>
        <w:br w:type="page"/>
      </w:r>
    </w:p>
    <w:p w14:paraId="7AF7F391" w14:textId="61FA1CF8" w:rsidR="0042488D" w:rsidRDefault="0042488D" w:rsidP="00786F76">
      <w:pPr>
        <w:rPr>
          <w:b/>
        </w:rPr>
      </w:pPr>
      <w:r>
        <w:rPr>
          <w:b/>
        </w:rPr>
        <w:lastRenderedPageBreak/>
        <w:t xml:space="preserve">Honor Code Statement:  </w:t>
      </w:r>
    </w:p>
    <w:p w14:paraId="1547ECFA" w14:textId="77777777" w:rsidR="0042488D" w:rsidRDefault="0042488D" w:rsidP="00786F76">
      <w:pPr>
        <w:rPr>
          <w:rStyle w:val="Emphasis"/>
          <w:rFonts w:eastAsia="Times New Roman" w:cs="Times New Roman"/>
          <w:i w:val="0"/>
        </w:rPr>
      </w:pPr>
      <w:r>
        <w:rPr>
          <w:rStyle w:val="Emphasis"/>
          <w:rFonts w:eastAsia="Times New Roman" w:cs="Times New Roman"/>
        </w:rPr>
        <w:t>Plagiarizing is defined by Webster’s as “to steal and pass off (the ideas o</w:t>
      </w:r>
      <w:r w:rsidR="00BF086F">
        <w:rPr>
          <w:rStyle w:val="Emphasis"/>
          <w:rFonts w:eastAsia="Times New Roman" w:cs="Times New Roman"/>
        </w:rPr>
        <w:t>r words of another) as one's own</w:t>
      </w:r>
      <w:r>
        <w:rPr>
          <w:rStyle w:val="Emphasis"/>
          <w:rFonts w:eastAsia="Times New Roman" w:cs="Times New Roman"/>
        </w:rPr>
        <w:t>: use (another's production) without crediting the source.”</w:t>
      </w:r>
      <w:r>
        <w:rPr>
          <w:rFonts w:eastAsia="Times New Roman" w:cs="Times New Roman"/>
          <w:i/>
          <w:iCs/>
        </w:rPr>
        <w:br/>
      </w:r>
      <w:r w:rsidRPr="0042488D">
        <w:rPr>
          <w:rStyle w:val="Emphasis"/>
          <w:rFonts w:eastAsia="Times New Roman" w:cs="Times New Roman"/>
          <w:i w:val="0"/>
        </w:rPr>
        <w:t>If caught plagiarizing, you will be dealt with according to the GT Academic Honor Code.</w:t>
      </w:r>
    </w:p>
    <w:p w14:paraId="035AEA7F" w14:textId="77777777" w:rsidR="0042488D" w:rsidRDefault="0042488D" w:rsidP="00786F76">
      <w:pPr>
        <w:rPr>
          <w:rStyle w:val="Hyperlink"/>
        </w:rPr>
      </w:pPr>
      <w:r>
        <w:rPr>
          <w:rStyle w:val="Emphasis"/>
          <w:rFonts w:eastAsia="Times New Roman" w:cs="Times New Roman"/>
          <w:i w:val="0"/>
        </w:rPr>
        <w:t xml:space="preserve">For more information see: </w:t>
      </w:r>
      <w:hyperlink r:id="rId8" w:history="1">
        <w:r w:rsidRPr="00B7035E">
          <w:rPr>
            <w:rStyle w:val="Hyperlink"/>
          </w:rPr>
          <w:t>http://www.honor.gatech.edu/plugins/content/index.php?id=9</w:t>
        </w:r>
      </w:hyperlink>
    </w:p>
    <w:p w14:paraId="51E2BC0A" w14:textId="77777777" w:rsidR="0042488D" w:rsidRDefault="0042488D" w:rsidP="00786F76">
      <w:pPr>
        <w:rPr>
          <w:rStyle w:val="Hyperlink"/>
        </w:rPr>
      </w:pPr>
    </w:p>
    <w:p w14:paraId="0254A46D" w14:textId="77777777" w:rsidR="0042488D" w:rsidRDefault="0042488D" w:rsidP="00786F76">
      <w:pPr>
        <w:rPr>
          <w:rStyle w:val="Hyperlink"/>
          <w:b/>
          <w:color w:val="auto"/>
          <w:u w:val="none"/>
        </w:rPr>
      </w:pPr>
      <w:r>
        <w:rPr>
          <w:rStyle w:val="Hyperlink"/>
          <w:b/>
          <w:color w:val="auto"/>
          <w:u w:val="none"/>
        </w:rPr>
        <w:t>Week by week schedule</w:t>
      </w:r>
    </w:p>
    <w:p w14:paraId="68236E82" w14:textId="68EBBE81" w:rsidR="00582593" w:rsidRDefault="00582593" w:rsidP="00786F76"/>
    <w:tbl>
      <w:tblPr>
        <w:tblStyle w:val="TableGrid"/>
        <w:tblW w:w="0" w:type="auto"/>
        <w:tblLook w:val="04A0" w:firstRow="1" w:lastRow="0" w:firstColumn="1" w:lastColumn="0" w:noHBand="0" w:noVBand="1"/>
      </w:tblPr>
      <w:tblGrid>
        <w:gridCol w:w="828"/>
        <w:gridCol w:w="5220"/>
        <w:gridCol w:w="4968"/>
      </w:tblGrid>
      <w:tr w:rsidR="009C11DD" w14:paraId="3392BD76" w14:textId="77777777" w:rsidTr="006E59CE">
        <w:tc>
          <w:tcPr>
            <w:tcW w:w="828" w:type="dxa"/>
          </w:tcPr>
          <w:p w14:paraId="5418B1D4" w14:textId="77777777" w:rsidR="009C11DD" w:rsidRDefault="009C11DD" w:rsidP="004C601F">
            <w:pPr>
              <w:pStyle w:val="ListParagraph"/>
              <w:numPr>
                <w:ilvl w:val="0"/>
                <w:numId w:val="4"/>
              </w:numPr>
              <w:spacing w:after="120"/>
            </w:pPr>
          </w:p>
        </w:tc>
        <w:tc>
          <w:tcPr>
            <w:tcW w:w="5220" w:type="dxa"/>
          </w:tcPr>
          <w:p w14:paraId="526AE5EF" w14:textId="35B7E1BF" w:rsidR="009C11DD" w:rsidRDefault="00723B78" w:rsidP="004C601F">
            <w:pPr>
              <w:spacing w:after="120"/>
            </w:pPr>
            <w:r>
              <w:t>Introduction</w:t>
            </w:r>
          </w:p>
        </w:tc>
        <w:tc>
          <w:tcPr>
            <w:tcW w:w="4968" w:type="dxa"/>
          </w:tcPr>
          <w:p w14:paraId="6A03EC72" w14:textId="1BABFF8A" w:rsidR="009C11DD" w:rsidRPr="00723B78" w:rsidRDefault="00723B78" w:rsidP="004C601F">
            <w:pPr>
              <w:spacing w:after="120"/>
            </w:pPr>
            <w:r>
              <w:rPr>
                <w:i/>
              </w:rPr>
              <w:t>Risk</w:t>
            </w:r>
            <w:r>
              <w:t xml:space="preserve"> – 1&amp;2</w:t>
            </w:r>
          </w:p>
        </w:tc>
      </w:tr>
      <w:tr w:rsidR="00DC24CC" w14:paraId="6EB71BDA" w14:textId="77777777" w:rsidTr="006E59CE">
        <w:tc>
          <w:tcPr>
            <w:tcW w:w="828" w:type="dxa"/>
          </w:tcPr>
          <w:p w14:paraId="72181F30" w14:textId="77777777" w:rsidR="00DC24CC" w:rsidRDefault="00DC24CC" w:rsidP="004C601F">
            <w:pPr>
              <w:pStyle w:val="ListParagraph"/>
              <w:numPr>
                <w:ilvl w:val="0"/>
                <w:numId w:val="4"/>
              </w:numPr>
              <w:spacing w:after="120"/>
            </w:pPr>
          </w:p>
        </w:tc>
        <w:tc>
          <w:tcPr>
            <w:tcW w:w="5220" w:type="dxa"/>
          </w:tcPr>
          <w:p w14:paraId="22715E63" w14:textId="77876566" w:rsidR="00DC24CC" w:rsidRDefault="00DC24CC" w:rsidP="004C601F">
            <w:pPr>
              <w:spacing w:after="120"/>
            </w:pPr>
            <w:r>
              <w:t>Regulatory failures: false positives &amp; negatives</w:t>
            </w:r>
          </w:p>
        </w:tc>
        <w:tc>
          <w:tcPr>
            <w:tcW w:w="4968" w:type="dxa"/>
          </w:tcPr>
          <w:p w14:paraId="723ECFCF" w14:textId="2049E1C2" w:rsidR="00DC24CC" w:rsidRDefault="00DC24CC" w:rsidP="004C601F">
            <w:pPr>
              <w:spacing w:after="120"/>
              <w:rPr>
                <w:i/>
              </w:rPr>
            </w:pPr>
            <w:r>
              <w:t xml:space="preserve">Readings on </w:t>
            </w:r>
            <w:proofErr w:type="spellStart"/>
            <w:r>
              <w:t>t-square</w:t>
            </w:r>
            <w:proofErr w:type="spellEnd"/>
            <w:r>
              <w:t xml:space="preserve"> </w:t>
            </w:r>
          </w:p>
        </w:tc>
      </w:tr>
      <w:tr w:rsidR="00DC24CC" w14:paraId="2945B46F" w14:textId="77777777" w:rsidTr="006E59CE">
        <w:tc>
          <w:tcPr>
            <w:tcW w:w="828" w:type="dxa"/>
          </w:tcPr>
          <w:p w14:paraId="1F7B2EDC" w14:textId="77777777" w:rsidR="00DC24CC" w:rsidRDefault="00DC24CC" w:rsidP="004C601F">
            <w:pPr>
              <w:pStyle w:val="ListParagraph"/>
              <w:numPr>
                <w:ilvl w:val="0"/>
                <w:numId w:val="4"/>
              </w:numPr>
              <w:spacing w:after="120"/>
            </w:pPr>
          </w:p>
        </w:tc>
        <w:tc>
          <w:tcPr>
            <w:tcW w:w="5220" w:type="dxa"/>
          </w:tcPr>
          <w:p w14:paraId="53C18357" w14:textId="307705A9" w:rsidR="00DC24CC" w:rsidRDefault="00DC24CC" w:rsidP="004C601F">
            <w:pPr>
              <w:spacing w:after="120"/>
            </w:pPr>
            <w:r>
              <w:t>Analyzing and managing risk</w:t>
            </w:r>
          </w:p>
        </w:tc>
        <w:tc>
          <w:tcPr>
            <w:tcW w:w="4968" w:type="dxa"/>
          </w:tcPr>
          <w:p w14:paraId="41D87D24" w14:textId="3AB5D91A" w:rsidR="00DC24CC" w:rsidRDefault="00DC24CC" w:rsidP="004C601F">
            <w:pPr>
              <w:spacing w:after="120"/>
            </w:pPr>
            <w:r>
              <w:rPr>
                <w:i/>
              </w:rPr>
              <w:t>Risk</w:t>
            </w:r>
            <w:r>
              <w:t xml:space="preserve"> –3, 4, 5, 7</w:t>
            </w:r>
          </w:p>
        </w:tc>
      </w:tr>
      <w:tr w:rsidR="00DC24CC" w14:paraId="697566D2" w14:textId="77777777" w:rsidTr="006E59CE">
        <w:tc>
          <w:tcPr>
            <w:tcW w:w="828" w:type="dxa"/>
          </w:tcPr>
          <w:p w14:paraId="419B82CF" w14:textId="77777777" w:rsidR="00DC24CC" w:rsidRDefault="00DC24CC" w:rsidP="004C601F">
            <w:pPr>
              <w:pStyle w:val="ListParagraph"/>
              <w:numPr>
                <w:ilvl w:val="0"/>
                <w:numId w:val="4"/>
              </w:numPr>
              <w:spacing w:after="120"/>
            </w:pPr>
          </w:p>
        </w:tc>
        <w:tc>
          <w:tcPr>
            <w:tcW w:w="5220" w:type="dxa"/>
          </w:tcPr>
          <w:p w14:paraId="05F621E2" w14:textId="1F370820" w:rsidR="00DC24CC" w:rsidRDefault="00DC24CC" w:rsidP="004C601F">
            <w:pPr>
              <w:spacing w:after="120"/>
            </w:pPr>
            <w:r>
              <w:t>Comparing American and European approaches to analyzing and managing risk</w:t>
            </w:r>
          </w:p>
        </w:tc>
        <w:tc>
          <w:tcPr>
            <w:tcW w:w="4968" w:type="dxa"/>
          </w:tcPr>
          <w:p w14:paraId="4E7E970B" w14:textId="23C0B11C" w:rsidR="00DC24CC" w:rsidRDefault="00DC24CC" w:rsidP="004C601F">
            <w:pPr>
              <w:spacing w:after="120"/>
            </w:pPr>
            <w:r>
              <w:rPr>
                <w:i/>
              </w:rPr>
              <w:t xml:space="preserve">Politics </w:t>
            </w:r>
            <w:r>
              <w:t>– 1, 2, 7, 8</w:t>
            </w:r>
          </w:p>
        </w:tc>
      </w:tr>
      <w:tr w:rsidR="00DC24CC" w14:paraId="6AF62C72" w14:textId="77777777" w:rsidTr="006E59CE">
        <w:tc>
          <w:tcPr>
            <w:tcW w:w="828" w:type="dxa"/>
          </w:tcPr>
          <w:p w14:paraId="57F680B9" w14:textId="77777777" w:rsidR="00DC24CC" w:rsidRDefault="00DC24CC" w:rsidP="004C601F">
            <w:pPr>
              <w:pStyle w:val="ListParagraph"/>
              <w:numPr>
                <w:ilvl w:val="0"/>
                <w:numId w:val="4"/>
              </w:numPr>
              <w:spacing w:after="120"/>
            </w:pPr>
          </w:p>
        </w:tc>
        <w:tc>
          <w:tcPr>
            <w:tcW w:w="5220" w:type="dxa"/>
          </w:tcPr>
          <w:p w14:paraId="26B50B68" w14:textId="601B9BD0" w:rsidR="00DC24CC" w:rsidRDefault="00DC24CC" w:rsidP="00DA4801">
            <w:pPr>
              <w:spacing w:after="120"/>
            </w:pPr>
            <w:r>
              <w:t>Regulatory conflict</w:t>
            </w:r>
          </w:p>
        </w:tc>
        <w:tc>
          <w:tcPr>
            <w:tcW w:w="4968" w:type="dxa"/>
          </w:tcPr>
          <w:p w14:paraId="0A83523A" w14:textId="1E35687C" w:rsidR="00DC24CC" w:rsidRDefault="00DC24CC" w:rsidP="004C601F">
            <w:pPr>
              <w:spacing w:after="120"/>
            </w:pPr>
            <w:r>
              <w:t xml:space="preserve">Readings on </w:t>
            </w:r>
            <w:proofErr w:type="spellStart"/>
            <w:r>
              <w:t>t-square</w:t>
            </w:r>
            <w:proofErr w:type="spellEnd"/>
          </w:p>
        </w:tc>
      </w:tr>
      <w:tr w:rsidR="00DC24CC" w14:paraId="5A7FF3FB" w14:textId="77777777" w:rsidTr="006E59CE">
        <w:tc>
          <w:tcPr>
            <w:tcW w:w="828" w:type="dxa"/>
          </w:tcPr>
          <w:p w14:paraId="01140628" w14:textId="77777777" w:rsidR="00DC24CC" w:rsidRDefault="00DC24CC" w:rsidP="004C601F">
            <w:pPr>
              <w:pStyle w:val="ListParagraph"/>
              <w:numPr>
                <w:ilvl w:val="0"/>
                <w:numId w:val="4"/>
              </w:numPr>
              <w:spacing w:after="120"/>
            </w:pPr>
          </w:p>
        </w:tc>
        <w:tc>
          <w:tcPr>
            <w:tcW w:w="5220" w:type="dxa"/>
          </w:tcPr>
          <w:p w14:paraId="783CE001" w14:textId="48485EE3" w:rsidR="00DC24CC" w:rsidRDefault="00DC24CC" w:rsidP="004C601F">
            <w:pPr>
              <w:spacing w:after="120"/>
            </w:pPr>
            <w:r>
              <w:t>Regulatory diffusion</w:t>
            </w:r>
          </w:p>
        </w:tc>
        <w:tc>
          <w:tcPr>
            <w:tcW w:w="4968" w:type="dxa"/>
          </w:tcPr>
          <w:p w14:paraId="526A7E66" w14:textId="373E855B" w:rsidR="00DC24CC" w:rsidRDefault="00DC24CC" w:rsidP="004C601F">
            <w:pPr>
              <w:spacing w:after="120"/>
            </w:pPr>
            <w:r>
              <w:rPr>
                <w:i/>
              </w:rPr>
              <w:t xml:space="preserve">Politics </w:t>
            </w:r>
            <w:r>
              <w:t>– 9</w:t>
            </w:r>
          </w:p>
        </w:tc>
      </w:tr>
      <w:tr w:rsidR="00DC24CC" w14:paraId="5594F723" w14:textId="77777777" w:rsidTr="006E59CE">
        <w:tc>
          <w:tcPr>
            <w:tcW w:w="828" w:type="dxa"/>
          </w:tcPr>
          <w:p w14:paraId="79BFD7B8" w14:textId="77777777" w:rsidR="00DC24CC" w:rsidRDefault="00DC24CC" w:rsidP="004C601F">
            <w:pPr>
              <w:pStyle w:val="ListParagraph"/>
              <w:numPr>
                <w:ilvl w:val="0"/>
                <w:numId w:val="4"/>
              </w:numPr>
              <w:spacing w:after="120"/>
            </w:pPr>
          </w:p>
        </w:tc>
        <w:tc>
          <w:tcPr>
            <w:tcW w:w="5220" w:type="dxa"/>
          </w:tcPr>
          <w:p w14:paraId="4FC3B17E" w14:textId="3E3A0DCE" w:rsidR="00DC24CC" w:rsidRDefault="00DC24CC" w:rsidP="004C601F">
            <w:pPr>
              <w:spacing w:after="120"/>
            </w:pPr>
            <w:r>
              <w:t>Regulatory diplomacy</w:t>
            </w:r>
          </w:p>
        </w:tc>
        <w:tc>
          <w:tcPr>
            <w:tcW w:w="4968" w:type="dxa"/>
          </w:tcPr>
          <w:p w14:paraId="217D0E29" w14:textId="5430683C" w:rsidR="00DC24CC" w:rsidRDefault="00DC24CC" w:rsidP="004C601F">
            <w:pPr>
              <w:spacing w:after="120"/>
            </w:pPr>
            <w:r>
              <w:t xml:space="preserve">Readings on </w:t>
            </w:r>
            <w:proofErr w:type="spellStart"/>
            <w:r>
              <w:t>t-square</w:t>
            </w:r>
            <w:proofErr w:type="spellEnd"/>
          </w:p>
        </w:tc>
      </w:tr>
      <w:tr w:rsidR="00DC24CC" w14:paraId="55B5916E" w14:textId="77777777" w:rsidTr="006E59CE">
        <w:tc>
          <w:tcPr>
            <w:tcW w:w="828" w:type="dxa"/>
          </w:tcPr>
          <w:p w14:paraId="4ED9D50D" w14:textId="77777777" w:rsidR="00DC24CC" w:rsidRDefault="00DC24CC" w:rsidP="004C601F">
            <w:pPr>
              <w:pStyle w:val="ListParagraph"/>
              <w:numPr>
                <w:ilvl w:val="0"/>
                <w:numId w:val="4"/>
              </w:numPr>
              <w:spacing w:after="120"/>
            </w:pPr>
          </w:p>
        </w:tc>
        <w:tc>
          <w:tcPr>
            <w:tcW w:w="5220" w:type="dxa"/>
          </w:tcPr>
          <w:p w14:paraId="15CF3DAD" w14:textId="7A14D07F" w:rsidR="00DC24CC" w:rsidRDefault="00DC24CC" w:rsidP="004C601F">
            <w:pPr>
              <w:spacing w:after="120"/>
            </w:pPr>
            <w:r>
              <w:t>Food safety</w:t>
            </w:r>
          </w:p>
        </w:tc>
        <w:tc>
          <w:tcPr>
            <w:tcW w:w="4968" w:type="dxa"/>
          </w:tcPr>
          <w:p w14:paraId="4A7DC32E" w14:textId="6930114C" w:rsidR="00DC24CC" w:rsidRDefault="00DC24CC" w:rsidP="004C601F">
            <w:pPr>
              <w:spacing w:after="120"/>
            </w:pPr>
            <w:r>
              <w:rPr>
                <w:i/>
              </w:rPr>
              <w:t xml:space="preserve">Politics </w:t>
            </w:r>
            <w:r>
              <w:t>– 3 (part)</w:t>
            </w:r>
          </w:p>
        </w:tc>
      </w:tr>
      <w:tr w:rsidR="00DC24CC" w14:paraId="6C50DC84" w14:textId="77777777" w:rsidTr="006E59CE">
        <w:tc>
          <w:tcPr>
            <w:tcW w:w="828" w:type="dxa"/>
          </w:tcPr>
          <w:p w14:paraId="3198FB02" w14:textId="77777777" w:rsidR="00DC24CC" w:rsidRDefault="00DC24CC" w:rsidP="004C601F">
            <w:pPr>
              <w:pStyle w:val="ListParagraph"/>
              <w:numPr>
                <w:ilvl w:val="0"/>
                <w:numId w:val="4"/>
              </w:numPr>
              <w:spacing w:after="120"/>
            </w:pPr>
          </w:p>
        </w:tc>
        <w:tc>
          <w:tcPr>
            <w:tcW w:w="5220" w:type="dxa"/>
          </w:tcPr>
          <w:p w14:paraId="54E25198" w14:textId="3557A5C1" w:rsidR="00DC24CC" w:rsidRDefault="00DC24CC" w:rsidP="004C601F">
            <w:pPr>
              <w:spacing w:after="120"/>
            </w:pPr>
            <w:r>
              <w:t>Agricultural biotechnology</w:t>
            </w:r>
          </w:p>
        </w:tc>
        <w:tc>
          <w:tcPr>
            <w:tcW w:w="4968" w:type="dxa"/>
          </w:tcPr>
          <w:p w14:paraId="09611435" w14:textId="3EC2427D" w:rsidR="00DC24CC" w:rsidRPr="00955238" w:rsidRDefault="00DC24CC" w:rsidP="004C601F">
            <w:pPr>
              <w:spacing w:after="120"/>
            </w:pPr>
            <w:r>
              <w:rPr>
                <w:i/>
              </w:rPr>
              <w:t xml:space="preserve">Politics </w:t>
            </w:r>
            <w:r>
              <w:t>– 3 (part)</w:t>
            </w:r>
          </w:p>
        </w:tc>
      </w:tr>
      <w:tr w:rsidR="00DC24CC" w14:paraId="4EC5B4FB" w14:textId="77777777" w:rsidTr="006E59CE">
        <w:tc>
          <w:tcPr>
            <w:tcW w:w="828" w:type="dxa"/>
          </w:tcPr>
          <w:p w14:paraId="752894AF" w14:textId="77777777" w:rsidR="00DC24CC" w:rsidRDefault="00DC24CC" w:rsidP="004C601F">
            <w:pPr>
              <w:pStyle w:val="ListParagraph"/>
              <w:numPr>
                <w:ilvl w:val="0"/>
                <w:numId w:val="4"/>
              </w:numPr>
              <w:spacing w:after="120"/>
            </w:pPr>
          </w:p>
        </w:tc>
        <w:tc>
          <w:tcPr>
            <w:tcW w:w="5220" w:type="dxa"/>
          </w:tcPr>
          <w:p w14:paraId="30DCEA99" w14:textId="385639C8" w:rsidR="00DC24CC" w:rsidRDefault="00DC24CC" w:rsidP="004C601F">
            <w:pPr>
              <w:spacing w:after="120"/>
            </w:pPr>
            <w:r>
              <w:t>Chemicals</w:t>
            </w:r>
          </w:p>
        </w:tc>
        <w:tc>
          <w:tcPr>
            <w:tcW w:w="4968" w:type="dxa"/>
          </w:tcPr>
          <w:p w14:paraId="2620AE26" w14:textId="73A47503" w:rsidR="00DC24CC" w:rsidRDefault="00DC24CC" w:rsidP="004C601F">
            <w:pPr>
              <w:spacing w:after="120"/>
            </w:pPr>
            <w:r>
              <w:rPr>
                <w:i/>
              </w:rPr>
              <w:t xml:space="preserve">Politics </w:t>
            </w:r>
            <w:r>
              <w:t>– 5</w:t>
            </w:r>
          </w:p>
        </w:tc>
      </w:tr>
      <w:tr w:rsidR="00DC24CC" w14:paraId="1FA29C0C" w14:textId="77777777" w:rsidTr="006E59CE">
        <w:trPr>
          <w:trHeight w:val="197"/>
        </w:trPr>
        <w:tc>
          <w:tcPr>
            <w:tcW w:w="828" w:type="dxa"/>
          </w:tcPr>
          <w:p w14:paraId="11BCDE79" w14:textId="77777777" w:rsidR="00DC24CC" w:rsidRDefault="00DC24CC" w:rsidP="004C601F">
            <w:pPr>
              <w:pStyle w:val="ListParagraph"/>
              <w:numPr>
                <w:ilvl w:val="0"/>
                <w:numId w:val="4"/>
              </w:numPr>
              <w:spacing w:after="120"/>
            </w:pPr>
          </w:p>
        </w:tc>
        <w:tc>
          <w:tcPr>
            <w:tcW w:w="5220" w:type="dxa"/>
          </w:tcPr>
          <w:p w14:paraId="15AF80E8" w14:textId="53F8F933" w:rsidR="00DC24CC" w:rsidRDefault="00DC24CC" w:rsidP="004C601F">
            <w:pPr>
              <w:spacing w:after="120"/>
            </w:pPr>
            <w:r>
              <w:t>Pharmaceuticals</w:t>
            </w:r>
          </w:p>
        </w:tc>
        <w:tc>
          <w:tcPr>
            <w:tcW w:w="4968" w:type="dxa"/>
          </w:tcPr>
          <w:p w14:paraId="08F0F98F" w14:textId="45DC7FFA" w:rsidR="00DC24CC" w:rsidRDefault="00DC24CC" w:rsidP="004C601F">
            <w:pPr>
              <w:spacing w:after="120"/>
            </w:pPr>
            <w:r>
              <w:rPr>
                <w:i/>
              </w:rPr>
              <w:t xml:space="preserve">Politics </w:t>
            </w:r>
            <w:r>
              <w:t xml:space="preserve">– 6 (part) </w:t>
            </w:r>
          </w:p>
        </w:tc>
      </w:tr>
      <w:tr w:rsidR="00DC24CC" w14:paraId="0BD6115D" w14:textId="77777777" w:rsidTr="006E59CE">
        <w:tc>
          <w:tcPr>
            <w:tcW w:w="828" w:type="dxa"/>
          </w:tcPr>
          <w:p w14:paraId="3C493B92" w14:textId="77777777" w:rsidR="00DC24CC" w:rsidRDefault="00DC24CC" w:rsidP="004C601F">
            <w:pPr>
              <w:pStyle w:val="ListParagraph"/>
              <w:numPr>
                <w:ilvl w:val="0"/>
                <w:numId w:val="4"/>
              </w:numPr>
              <w:spacing w:after="120"/>
            </w:pPr>
          </w:p>
        </w:tc>
        <w:tc>
          <w:tcPr>
            <w:tcW w:w="5220" w:type="dxa"/>
          </w:tcPr>
          <w:p w14:paraId="607F2741" w14:textId="175AC518" w:rsidR="00DC24CC" w:rsidRDefault="00DC24CC" w:rsidP="004C601F">
            <w:pPr>
              <w:spacing w:after="120"/>
            </w:pPr>
            <w:r>
              <w:t>Aviation</w:t>
            </w:r>
          </w:p>
        </w:tc>
        <w:tc>
          <w:tcPr>
            <w:tcW w:w="4968" w:type="dxa"/>
          </w:tcPr>
          <w:p w14:paraId="0911D2F1" w14:textId="7F74CA37" w:rsidR="00DC24CC" w:rsidRDefault="00DC24CC" w:rsidP="004C601F">
            <w:pPr>
              <w:spacing w:after="120"/>
            </w:pPr>
            <w:r>
              <w:t xml:space="preserve">Readings on </w:t>
            </w:r>
            <w:proofErr w:type="spellStart"/>
            <w:r>
              <w:t>t-square</w:t>
            </w:r>
            <w:proofErr w:type="spellEnd"/>
          </w:p>
        </w:tc>
      </w:tr>
      <w:tr w:rsidR="00DC24CC" w14:paraId="2453A9E4" w14:textId="77777777" w:rsidTr="006E59CE">
        <w:tc>
          <w:tcPr>
            <w:tcW w:w="828" w:type="dxa"/>
          </w:tcPr>
          <w:p w14:paraId="2E64DDE6" w14:textId="77777777" w:rsidR="00DC24CC" w:rsidRDefault="00DC24CC" w:rsidP="004C601F">
            <w:pPr>
              <w:pStyle w:val="ListParagraph"/>
              <w:numPr>
                <w:ilvl w:val="0"/>
                <w:numId w:val="4"/>
              </w:numPr>
              <w:spacing w:after="120"/>
            </w:pPr>
          </w:p>
        </w:tc>
        <w:tc>
          <w:tcPr>
            <w:tcW w:w="5220" w:type="dxa"/>
          </w:tcPr>
          <w:p w14:paraId="6EA19479" w14:textId="1047E97C" w:rsidR="00DC24CC" w:rsidRDefault="00DC24CC" w:rsidP="004C601F">
            <w:pPr>
              <w:spacing w:after="120"/>
            </w:pPr>
            <w:r>
              <w:t>Automobiles</w:t>
            </w:r>
          </w:p>
        </w:tc>
        <w:tc>
          <w:tcPr>
            <w:tcW w:w="4968" w:type="dxa"/>
          </w:tcPr>
          <w:p w14:paraId="47C9D094" w14:textId="19475E52" w:rsidR="00DC24CC" w:rsidRDefault="00DC24CC" w:rsidP="00955238">
            <w:pPr>
              <w:spacing w:after="120"/>
            </w:pPr>
            <w:r>
              <w:rPr>
                <w:i/>
              </w:rPr>
              <w:t xml:space="preserve">Politics </w:t>
            </w:r>
            <w:r>
              <w:t>– 4 (part)</w:t>
            </w:r>
          </w:p>
        </w:tc>
      </w:tr>
      <w:tr w:rsidR="00DC24CC" w14:paraId="04BFB748" w14:textId="77777777" w:rsidTr="006E59CE">
        <w:tc>
          <w:tcPr>
            <w:tcW w:w="828" w:type="dxa"/>
          </w:tcPr>
          <w:p w14:paraId="38A9476D" w14:textId="77777777" w:rsidR="00DC24CC" w:rsidRDefault="00DC24CC" w:rsidP="004C601F">
            <w:pPr>
              <w:pStyle w:val="ListParagraph"/>
              <w:numPr>
                <w:ilvl w:val="0"/>
                <w:numId w:val="4"/>
              </w:numPr>
              <w:spacing w:after="120"/>
            </w:pPr>
          </w:p>
        </w:tc>
        <w:tc>
          <w:tcPr>
            <w:tcW w:w="5220" w:type="dxa"/>
          </w:tcPr>
          <w:p w14:paraId="5125F1E5" w14:textId="31D503A1" w:rsidR="00DC24CC" w:rsidRDefault="00DC24CC" w:rsidP="004C601F">
            <w:pPr>
              <w:spacing w:after="120"/>
            </w:pPr>
            <w:r>
              <w:t>The internet and privacy</w:t>
            </w:r>
          </w:p>
        </w:tc>
        <w:tc>
          <w:tcPr>
            <w:tcW w:w="4968" w:type="dxa"/>
          </w:tcPr>
          <w:p w14:paraId="37BDBB1A" w14:textId="3E7E96D1" w:rsidR="00DC24CC" w:rsidRDefault="00DC24CC" w:rsidP="004C601F">
            <w:pPr>
              <w:spacing w:after="120"/>
            </w:pPr>
            <w:r>
              <w:t xml:space="preserve">Readings on </w:t>
            </w:r>
            <w:proofErr w:type="spellStart"/>
            <w:r>
              <w:t>t-square</w:t>
            </w:r>
            <w:proofErr w:type="spellEnd"/>
          </w:p>
        </w:tc>
      </w:tr>
      <w:tr w:rsidR="00DC24CC" w14:paraId="00F5EB94" w14:textId="77777777" w:rsidTr="006E59CE">
        <w:tc>
          <w:tcPr>
            <w:tcW w:w="828" w:type="dxa"/>
          </w:tcPr>
          <w:p w14:paraId="49E6E8AC" w14:textId="77777777" w:rsidR="00DC24CC" w:rsidRDefault="00DC24CC" w:rsidP="004C601F">
            <w:pPr>
              <w:pStyle w:val="ListParagraph"/>
              <w:numPr>
                <w:ilvl w:val="0"/>
                <w:numId w:val="4"/>
              </w:numPr>
              <w:spacing w:after="120"/>
            </w:pPr>
          </w:p>
        </w:tc>
        <w:tc>
          <w:tcPr>
            <w:tcW w:w="5220" w:type="dxa"/>
          </w:tcPr>
          <w:p w14:paraId="3A78EC12" w14:textId="504BB40B" w:rsidR="00DC24CC" w:rsidRDefault="00DC24CC" w:rsidP="004C601F">
            <w:pPr>
              <w:spacing w:after="120"/>
            </w:pPr>
            <w:r>
              <w:t>Reflection and review</w:t>
            </w:r>
          </w:p>
        </w:tc>
        <w:tc>
          <w:tcPr>
            <w:tcW w:w="4968" w:type="dxa"/>
          </w:tcPr>
          <w:p w14:paraId="4C05435C" w14:textId="0A2A4925" w:rsidR="00DC24CC" w:rsidRDefault="00DC24CC" w:rsidP="004C601F">
            <w:pPr>
              <w:spacing w:after="120"/>
            </w:pPr>
          </w:p>
        </w:tc>
      </w:tr>
    </w:tbl>
    <w:p w14:paraId="7AB05243" w14:textId="77777777" w:rsidR="009C11DD" w:rsidRPr="00BF086F" w:rsidRDefault="009C11DD" w:rsidP="00786F76"/>
    <w:p w14:paraId="69220405" w14:textId="77777777" w:rsidR="00033848" w:rsidRPr="00BF086F" w:rsidRDefault="00033848">
      <w:bookmarkStart w:id="0" w:name="_GoBack"/>
      <w:bookmarkEnd w:id="0"/>
    </w:p>
    <w:sectPr w:rsidR="00033848" w:rsidRPr="00BF086F" w:rsidSect="00786F76">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6E41"/>
    <w:multiLevelType w:val="hybridMultilevel"/>
    <w:tmpl w:val="EA06A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0D464F"/>
    <w:multiLevelType w:val="hybridMultilevel"/>
    <w:tmpl w:val="6F8C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470BD"/>
    <w:multiLevelType w:val="hybridMultilevel"/>
    <w:tmpl w:val="86C8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75A6D"/>
    <w:multiLevelType w:val="hybridMultilevel"/>
    <w:tmpl w:val="D2940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5A49CC"/>
    <w:multiLevelType w:val="hybridMultilevel"/>
    <w:tmpl w:val="D2940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76"/>
    <w:rsid w:val="00033848"/>
    <w:rsid w:val="00062E62"/>
    <w:rsid w:val="00072180"/>
    <w:rsid w:val="000847F2"/>
    <w:rsid w:val="000C1E73"/>
    <w:rsid w:val="00152A3B"/>
    <w:rsid w:val="001C4DB8"/>
    <w:rsid w:val="001E7A00"/>
    <w:rsid w:val="00201D74"/>
    <w:rsid w:val="002579E5"/>
    <w:rsid w:val="00294EB5"/>
    <w:rsid w:val="002F5CDB"/>
    <w:rsid w:val="00363544"/>
    <w:rsid w:val="00365C66"/>
    <w:rsid w:val="0042488D"/>
    <w:rsid w:val="00462755"/>
    <w:rsid w:val="004874CB"/>
    <w:rsid w:val="004A6F5A"/>
    <w:rsid w:val="004C601F"/>
    <w:rsid w:val="004E1340"/>
    <w:rsid w:val="00543CCA"/>
    <w:rsid w:val="00582593"/>
    <w:rsid w:val="00583900"/>
    <w:rsid w:val="005919F6"/>
    <w:rsid w:val="006305BF"/>
    <w:rsid w:val="006410E9"/>
    <w:rsid w:val="00650DAF"/>
    <w:rsid w:val="0065641C"/>
    <w:rsid w:val="00696896"/>
    <w:rsid w:val="006A49F0"/>
    <w:rsid w:val="006B2615"/>
    <w:rsid w:val="006E59CE"/>
    <w:rsid w:val="00723B78"/>
    <w:rsid w:val="00783709"/>
    <w:rsid w:val="00786F76"/>
    <w:rsid w:val="0083309A"/>
    <w:rsid w:val="00880605"/>
    <w:rsid w:val="00955238"/>
    <w:rsid w:val="009C11DD"/>
    <w:rsid w:val="00A25FFE"/>
    <w:rsid w:val="00BE41E5"/>
    <w:rsid w:val="00BF086F"/>
    <w:rsid w:val="00D06796"/>
    <w:rsid w:val="00DA4801"/>
    <w:rsid w:val="00DC24CC"/>
    <w:rsid w:val="00DF513C"/>
    <w:rsid w:val="00EB557C"/>
    <w:rsid w:val="00F62C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2F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F76"/>
    <w:rPr>
      <w:color w:val="0000FF" w:themeColor="hyperlink"/>
      <w:u w:val="single"/>
    </w:rPr>
  </w:style>
  <w:style w:type="paragraph" w:styleId="ListParagraph">
    <w:name w:val="List Paragraph"/>
    <w:basedOn w:val="Normal"/>
    <w:uiPriority w:val="34"/>
    <w:qFormat/>
    <w:rsid w:val="00F62C44"/>
    <w:pPr>
      <w:ind w:left="720"/>
      <w:contextualSpacing/>
    </w:pPr>
  </w:style>
  <w:style w:type="character" w:styleId="Emphasis">
    <w:name w:val="Emphasis"/>
    <w:basedOn w:val="DefaultParagraphFont"/>
    <w:uiPriority w:val="20"/>
    <w:qFormat/>
    <w:rsid w:val="0042488D"/>
    <w:rPr>
      <w:i/>
      <w:iCs/>
    </w:rPr>
  </w:style>
  <w:style w:type="table" w:styleId="TableGrid">
    <w:name w:val="Table Grid"/>
    <w:basedOn w:val="TableNormal"/>
    <w:uiPriority w:val="59"/>
    <w:rsid w:val="009C11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C601F"/>
    <w:rPr>
      <w:sz w:val="16"/>
      <w:szCs w:val="16"/>
    </w:rPr>
  </w:style>
  <w:style w:type="paragraph" w:styleId="CommentText">
    <w:name w:val="annotation text"/>
    <w:basedOn w:val="Normal"/>
    <w:link w:val="CommentTextChar"/>
    <w:uiPriority w:val="99"/>
    <w:semiHidden/>
    <w:unhideWhenUsed/>
    <w:rsid w:val="004C601F"/>
    <w:rPr>
      <w:sz w:val="20"/>
      <w:szCs w:val="20"/>
    </w:rPr>
  </w:style>
  <w:style w:type="character" w:customStyle="1" w:styleId="CommentTextChar">
    <w:name w:val="Comment Text Char"/>
    <w:basedOn w:val="DefaultParagraphFont"/>
    <w:link w:val="CommentText"/>
    <w:uiPriority w:val="99"/>
    <w:semiHidden/>
    <w:rsid w:val="004C601F"/>
  </w:style>
  <w:style w:type="paragraph" w:styleId="CommentSubject">
    <w:name w:val="annotation subject"/>
    <w:basedOn w:val="CommentText"/>
    <w:next w:val="CommentText"/>
    <w:link w:val="CommentSubjectChar"/>
    <w:uiPriority w:val="99"/>
    <w:semiHidden/>
    <w:unhideWhenUsed/>
    <w:rsid w:val="004C601F"/>
    <w:rPr>
      <w:b/>
      <w:bCs/>
    </w:rPr>
  </w:style>
  <w:style w:type="character" w:customStyle="1" w:styleId="CommentSubjectChar">
    <w:name w:val="Comment Subject Char"/>
    <w:basedOn w:val="CommentTextChar"/>
    <w:link w:val="CommentSubject"/>
    <w:uiPriority w:val="99"/>
    <w:semiHidden/>
    <w:rsid w:val="004C601F"/>
    <w:rPr>
      <w:b/>
      <w:bCs/>
    </w:rPr>
  </w:style>
  <w:style w:type="paragraph" w:styleId="BalloonText">
    <w:name w:val="Balloon Text"/>
    <w:basedOn w:val="Normal"/>
    <w:link w:val="BalloonTextChar"/>
    <w:uiPriority w:val="99"/>
    <w:semiHidden/>
    <w:unhideWhenUsed/>
    <w:rsid w:val="004C601F"/>
    <w:rPr>
      <w:rFonts w:ascii="Tahoma" w:hAnsi="Tahoma" w:cs="Tahoma"/>
      <w:sz w:val="16"/>
      <w:szCs w:val="16"/>
    </w:rPr>
  </w:style>
  <w:style w:type="character" w:customStyle="1" w:styleId="BalloonTextChar">
    <w:name w:val="Balloon Text Char"/>
    <w:basedOn w:val="DefaultParagraphFont"/>
    <w:link w:val="BalloonText"/>
    <w:uiPriority w:val="99"/>
    <w:semiHidden/>
    <w:rsid w:val="004C60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F76"/>
    <w:rPr>
      <w:color w:val="0000FF" w:themeColor="hyperlink"/>
      <w:u w:val="single"/>
    </w:rPr>
  </w:style>
  <w:style w:type="paragraph" w:styleId="ListParagraph">
    <w:name w:val="List Paragraph"/>
    <w:basedOn w:val="Normal"/>
    <w:uiPriority w:val="34"/>
    <w:qFormat/>
    <w:rsid w:val="00F62C44"/>
    <w:pPr>
      <w:ind w:left="720"/>
      <w:contextualSpacing/>
    </w:pPr>
  </w:style>
  <w:style w:type="character" w:styleId="Emphasis">
    <w:name w:val="Emphasis"/>
    <w:basedOn w:val="DefaultParagraphFont"/>
    <w:uiPriority w:val="20"/>
    <w:qFormat/>
    <w:rsid w:val="0042488D"/>
    <w:rPr>
      <w:i/>
      <w:iCs/>
    </w:rPr>
  </w:style>
  <w:style w:type="table" w:styleId="TableGrid">
    <w:name w:val="Table Grid"/>
    <w:basedOn w:val="TableNormal"/>
    <w:uiPriority w:val="59"/>
    <w:rsid w:val="009C11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C601F"/>
    <w:rPr>
      <w:sz w:val="16"/>
      <w:szCs w:val="16"/>
    </w:rPr>
  </w:style>
  <w:style w:type="paragraph" w:styleId="CommentText">
    <w:name w:val="annotation text"/>
    <w:basedOn w:val="Normal"/>
    <w:link w:val="CommentTextChar"/>
    <w:uiPriority w:val="99"/>
    <w:semiHidden/>
    <w:unhideWhenUsed/>
    <w:rsid w:val="004C601F"/>
    <w:rPr>
      <w:sz w:val="20"/>
      <w:szCs w:val="20"/>
    </w:rPr>
  </w:style>
  <w:style w:type="character" w:customStyle="1" w:styleId="CommentTextChar">
    <w:name w:val="Comment Text Char"/>
    <w:basedOn w:val="DefaultParagraphFont"/>
    <w:link w:val="CommentText"/>
    <w:uiPriority w:val="99"/>
    <w:semiHidden/>
    <w:rsid w:val="004C601F"/>
  </w:style>
  <w:style w:type="paragraph" w:styleId="CommentSubject">
    <w:name w:val="annotation subject"/>
    <w:basedOn w:val="CommentText"/>
    <w:next w:val="CommentText"/>
    <w:link w:val="CommentSubjectChar"/>
    <w:uiPriority w:val="99"/>
    <w:semiHidden/>
    <w:unhideWhenUsed/>
    <w:rsid w:val="004C601F"/>
    <w:rPr>
      <w:b/>
      <w:bCs/>
    </w:rPr>
  </w:style>
  <w:style w:type="character" w:customStyle="1" w:styleId="CommentSubjectChar">
    <w:name w:val="Comment Subject Char"/>
    <w:basedOn w:val="CommentTextChar"/>
    <w:link w:val="CommentSubject"/>
    <w:uiPriority w:val="99"/>
    <w:semiHidden/>
    <w:rsid w:val="004C601F"/>
    <w:rPr>
      <w:b/>
      <w:bCs/>
    </w:rPr>
  </w:style>
  <w:style w:type="paragraph" w:styleId="BalloonText">
    <w:name w:val="Balloon Text"/>
    <w:basedOn w:val="Normal"/>
    <w:link w:val="BalloonTextChar"/>
    <w:uiPriority w:val="99"/>
    <w:semiHidden/>
    <w:unhideWhenUsed/>
    <w:rsid w:val="004C601F"/>
    <w:rPr>
      <w:rFonts w:ascii="Tahoma" w:hAnsi="Tahoma" w:cs="Tahoma"/>
      <w:sz w:val="16"/>
      <w:szCs w:val="16"/>
    </w:rPr>
  </w:style>
  <w:style w:type="character" w:customStyle="1" w:styleId="BalloonTextChar">
    <w:name w:val="Balloon Text Char"/>
    <w:basedOn w:val="DefaultParagraphFont"/>
    <w:link w:val="BalloonText"/>
    <w:uiPriority w:val="99"/>
    <w:semiHidden/>
    <w:rsid w:val="004C60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nor.gatech.edu/plugins/content/index.php?id=9" TargetMode="External"/><Relationship Id="rId3" Type="http://schemas.microsoft.com/office/2007/relationships/stylesWithEffects" Target="stylesWithEffects.xml"/><Relationship Id="rId7" Type="http://schemas.openxmlformats.org/officeDocument/2006/relationships/hyperlink" Target="http://www.adapts.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asdair.young@gate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Allen College</dc:creator>
  <cp:lastModifiedBy>Alasdair Young</cp:lastModifiedBy>
  <cp:revision>11</cp:revision>
  <dcterms:created xsi:type="dcterms:W3CDTF">2013-11-22T00:56:00Z</dcterms:created>
  <dcterms:modified xsi:type="dcterms:W3CDTF">2013-11-22T15:33:00Z</dcterms:modified>
</cp:coreProperties>
</file>