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BFB0F" w14:textId="75BC51F1" w:rsidR="002579E5" w:rsidRDefault="00462755" w:rsidP="00786F76">
      <w:pPr>
        <w:jc w:val="center"/>
      </w:pPr>
      <w:proofErr w:type="gramStart"/>
      <w:r>
        <w:t>Alasdair Young</w:t>
      </w:r>
      <w:r w:rsidR="00786F76">
        <w:t xml:space="preserve"> •</w:t>
      </w:r>
      <w:r>
        <w:t xml:space="preserve"> </w:t>
      </w:r>
      <w:hyperlink r:id="rId6" w:history="1">
        <w:r w:rsidR="004C601F" w:rsidRPr="00FA6D03">
          <w:rPr>
            <w:rStyle w:val="Hyperlink"/>
          </w:rPr>
          <w:t>alasdair.young@gatech.edu</w:t>
        </w:r>
      </w:hyperlink>
      <w:r w:rsidR="004C601F">
        <w:t xml:space="preserve"> </w:t>
      </w:r>
      <w:r w:rsidR="00786F76">
        <w:t>•</w:t>
      </w:r>
      <w:r w:rsidR="004C601F">
        <w:t xml:space="preserve"> 212B Habersham Building (IAC Building, 781 Marietta St.)</w:t>
      </w:r>
      <w:proofErr w:type="gramEnd"/>
      <w:r w:rsidR="004C601F">
        <w:t xml:space="preserve"> </w:t>
      </w:r>
      <w:r w:rsidR="00786F76">
        <w:t>Office hours</w:t>
      </w:r>
      <w:r>
        <w:t>:</w:t>
      </w:r>
      <w:r w:rsidR="00786F76">
        <w:t xml:space="preserve"> </w:t>
      </w:r>
      <w:r>
        <w:t>TTR</w:t>
      </w:r>
      <w:r w:rsidR="004C601F">
        <w:t>:</w:t>
      </w:r>
      <w:r w:rsidR="00786F76">
        <w:t xml:space="preserve"> 2</w:t>
      </w:r>
      <w:r>
        <w:t>-3</w:t>
      </w:r>
      <w:r w:rsidR="00880605">
        <w:t xml:space="preserve"> </w:t>
      </w:r>
      <w:r w:rsidR="00786F76">
        <w:t>and by appointment</w:t>
      </w:r>
    </w:p>
    <w:p w14:paraId="3D1B6822" w14:textId="77777777" w:rsidR="00786F76" w:rsidRDefault="00786F76" w:rsidP="00786F76">
      <w:pPr>
        <w:jc w:val="center"/>
      </w:pPr>
    </w:p>
    <w:p w14:paraId="68BABC81" w14:textId="6F8C65C9" w:rsidR="00786F76" w:rsidRPr="004874CB" w:rsidRDefault="00294EB5" w:rsidP="004874CB">
      <w:pPr>
        <w:tabs>
          <w:tab w:val="left" w:pos="1427"/>
          <w:tab w:val="center" w:pos="5400"/>
        </w:tabs>
        <w:jc w:val="center"/>
        <w:rPr>
          <w:rFonts w:ascii="Times" w:hAnsi="Times"/>
          <w:b/>
          <w:sz w:val="36"/>
          <w:szCs w:val="36"/>
          <w:u w:val="single"/>
        </w:rPr>
      </w:pPr>
      <w:r w:rsidRPr="004874CB">
        <w:rPr>
          <w:rFonts w:ascii="Times" w:hAnsi="Times" w:cs="Arial"/>
          <w:color w:val="260026"/>
          <w:sz w:val="36"/>
          <w:szCs w:val="36"/>
          <w:u w:color="260026"/>
        </w:rPr>
        <w:t xml:space="preserve">INTA </w:t>
      </w:r>
      <w:r w:rsidR="00462755">
        <w:rPr>
          <w:rFonts w:ascii="Times" w:hAnsi="Times" w:cs="Arial"/>
          <w:color w:val="260026"/>
          <w:sz w:val="36"/>
          <w:szCs w:val="36"/>
          <w:u w:color="260026"/>
        </w:rPr>
        <w:t>3</w:t>
      </w:r>
      <w:r w:rsidRPr="004874CB">
        <w:rPr>
          <w:rFonts w:ascii="Times" w:hAnsi="Times" w:cs="Arial"/>
          <w:color w:val="260026"/>
          <w:sz w:val="36"/>
          <w:szCs w:val="36"/>
          <w:u w:color="260026"/>
        </w:rPr>
        <w:t xml:space="preserve">XXX: </w:t>
      </w:r>
      <w:r w:rsidR="00462755">
        <w:rPr>
          <w:rFonts w:ascii="Times" w:hAnsi="Times" w:cs="Arial"/>
          <w:color w:val="260026"/>
          <w:sz w:val="36"/>
          <w:szCs w:val="36"/>
          <w:u w:color="260026"/>
        </w:rPr>
        <w:t>Transatlantic Relations</w:t>
      </w:r>
    </w:p>
    <w:p w14:paraId="1CF5A4F0" w14:textId="5E5C530A" w:rsidR="00786F76" w:rsidRDefault="00786F76" w:rsidP="002F5CDB">
      <w:pPr>
        <w:jc w:val="center"/>
      </w:pPr>
      <w:r>
        <w:t xml:space="preserve">There are no prerequisites </w:t>
      </w:r>
      <w:bookmarkStart w:id="0" w:name="_GoBack"/>
      <w:bookmarkEnd w:id="0"/>
      <w:r>
        <w:t>for this course</w:t>
      </w:r>
    </w:p>
    <w:p w14:paraId="16C54CC1" w14:textId="77777777" w:rsidR="00786F76" w:rsidRDefault="00786F76" w:rsidP="00786F76">
      <w:pPr>
        <w:jc w:val="center"/>
      </w:pPr>
      <w:r>
        <w:t xml:space="preserve">This course fulfills the Social Science and </w:t>
      </w:r>
      <w:r w:rsidR="00F62C44">
        <w:t xml:space="preserve">Global Perspective </w:t>
      </w:r>
      <w:r>
        <w:t>GEN ED requirements at Georgia Tech.</w:t>
      </w:r>
    </w:p>
    <w:p w14:paraId="2A1E391E" w14:textId="77777777" w:rsidR="00786F76" w:rsidRDefault="00786F76" w:rsidP="00786F76">
      <w:pPr>
        <w:jc w:val="center"/>
      </w:pPr>
    </w:p>
    <w:p w14:paraId="12EF1E8E" w14:textId="77777777" w:rsidR="00462755" w:rsidRDefault="00786F76" w:rsidP="00786F76">
      <w:r w:rsidRPr="00F62C44">
        <w:rPr>
          <w:b/>
        </w:rPr>
        <w:t>Course Description</w:t>
      </w:r>
      <w:r>
        <w:t xml:space="preserve">:  </w:t>
      </w:r>
    </w:p>
    <w:p w14:paraId="333E2EC9" w14:textId="4D07185D" w:rsidR="00786F76" w:rsidRDefault="00462755" w:rsidP="00786F76">
      <w:pPr>
        <w:rPr>
          <w:i/>
        </w:rPr>
      </w:pPr>
      <w:r w:rsidRPr="00B03D5E">
        <w:t>Despite the rapid rise of China and the ot</w:t>
      </w:r>
      <w:r>
        <w:t>her emerging economies, Europe</w:t>
      </w:r>
      <w:r w:rsidRPr="00B03D5E">
        <w:t xml:space="preserve"> is by far the United States’ most important economic partner. It is also a critical political partner, as underlined in the war in Afghanistan, the intervention in Libya, sanctions against Iran and intelligence cooperation in the</w:t>
      </w:r>
      <w:r>
        <w:t xml:space="preserve"> war</w:t>
      </w:r>
      <w:r w:rsidRPr="00B03D5E">
        <w:t xml:space="preserve"> on terror.  This course analyses the politics of governing this </w:t>
      </w:r>
      <w:r>
        <w:t>crucial</w:t>
      </w:r>
      <w:r w:rsidRPr="00B03D5E">
        <w:t xml:space="preserve"> relationship.  It aims to help students to understand why different aspects of the relationship between the United States and the European Union are characterized by cooperation, conflict and competition.  </w:t>
      </w:r>
    </w:p>
    <w:p w14:paraId="7395AF88" w14:textId="77777777" w:rsidR="00F62C44" w:rsidRDefault="00F62C44" w:rsidP="00786F76">
      <w:pPr>
        <w:rPr>
          <w:i/>
        </w:rPr>
      </w:pPr>
    </w:p>
    <w:p w14:paraId="507BDE6E" w14:textId="77777777" w:rsidR="00F62C44" w:rsidRDefault="00F62C44" w:rsidP="00786F76">
      <w:pPr>
        <w:rPr>
          <w:b/>
        </w:rPr>
      </w:pPr>
      <w:r>
        <w:rPr>
          <w:b/>
        </w:rPr>
        <w:t xml:space="preserve">Learning Outcomes: </w:t>
      </w:r>
    </w:p>
    <w:p w14:paraId="30DABBFE" w14:textId="77777777" w:rsidR="005919F6" w:rsidRDefault="005919F6" w:rsidP="00786F76">
      <w:pPr>
        <w:rPr>
          <w:rFonts w:ascii="Times" w:eastAsia="Times New Roman" w:hAnsi="Times" w:cs="Times New Roman"/>
          <w:i/>
        </w:rPr>
      </w:pPr>
    </w:p>
    <w:p w14:paraId="67DBA1EC" w14:textId="75868CE8" w:rsidR="005919F6" w:rsidRPr="00A51998" w:rsidRDefault="005919F6" w:rsidP="005919F6">
      <w:pPr>
        <w:rPr>
          <w:rFonts w:cstheme="minorHAnsi"/>
        </w:rPr>
      </w:pPr>
      <w:r w:rsidRPr="00A51998">
        <w:rPr>
          <w:rFonts w:cstheme="minorHAnsi"/>
        </w:rPr>
        <w:t xml:space="preserve">By the end of this course, students </w:t>
      </w:r>
      <w:r>
        <w:rPr>
          <w:rFonts w:cstheme="minorHAnsi"/>
        </w:rPr>
        <w:t>will</w:t>
      </w:r>
      <w:r w:rsidRPr="00A51998">
        <w:rPr>
          <w:rFonts w:cstheme="minorHAnsi"/>
        </w:rPr>
        <w:t xml:space="preserve"> be able to:</w:t>
      </w:r>
    </w:p>
    <w:p w14:paraId="3B10FCB3" w14:textId="45D88FB3" w:rsidR="00F62C44" w:rsidRPr="005919F6" w:rsidRDefault="00F62C44" w:rsidP="005919F6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i/>
        </w:rPr>
      </w:pPr>
      <w:proofErr w:type="gramStart"/>
      <w:r w:rsidRPr="005919F6">
        <w:rPr>
          <w:rFonts w:ascii="Times" w:eastAsia="Times New Roman" w:hAnsi="Times" w:cs="Times New Roman"/>
          <w:i/>
        </w:rPr>
        <w:t>demonstrate</w:t>
      </w:r>
      <w:proofErr w:type="gramEnd"/>
      <w:r w:rsidRPr="005919F6">
        <w:rPr>
          <w:rFonts w:ascii="Times" w:eastAsia="Times New Roman" w:hAnsi="Times" w:cs="Times New Roman"/>
          <w:i/>
        </w:rPr>
        <w:t xml:space="preserve"> the ability to describe the social, political, and economic forces that influence social behavior.</w:t>
      </w:r>
    </w:p>
    <w:p w14:paraId="4A509085" w14:textId="6E019429" w:rsidR="00F62C44" w:rsidRPr="005919F6" w:rsidRDefault="00F62C44" w:rsidP="005919F6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i/>
        </w:rPr>
      </w:pPr>
      <w:proofErr w:type="gramStart"/>
      <w:r w:rsidRPr="005919F6">
        <w:rPr>
          <w:rFonts w:ascii="Times" w:eastAsia="Times New Roman" w:hAnsi="Times" w:cs="Times New Roman"/>
          <w:i/>
        </w:rPr>
        <w:t>demonstrate</w:t>
      </w:r>
      <w:proofErr w:type="gramEnd"/>
      <w:r w:rsidRPr="005919F6">
        <w:rPr>
          <w:rFonts w:ascii="Times" w:eastAsia="Times New Roman" w:hAnsi="Times" w:cs="Times New Roman"/>
          <w:i/>
        </w:rPr>
        <w:t xml:space="preserve"> the ability to describe the social, political, and economic forces that influence the global system.</w:t>
      </w:r>
    </w:p>
    <w:p w14:paraId="1C20C0AB" w14:textId="176BEEC9" w:rsidR="00F62C44" w:rsidRPr="005919F6" w:rsidRDefault="005919F6" w:rsidP="005919F6">
      <w:pPr>
        <w:pStyle w:val="ListParagraph"/>
        <w:numPr>
          <w:ilvl w:val="0"/>
          <w:numId w:val="2"/>
        </w:numPr>
        <w:rPr>
          <w:rFonts w:ascii="Times" w:hAnsi="Times" w:cs="Calibri"/>
          <w:i/>
        </w:rPr>
      </w:pPr>
      <w:proofErr w:type="gramStart"/>
      <w:r>
        <w:rPr>
          <w:rFonts w:ascii="Times" w:hAnsi="Times"/>
          <w:i/>
        </w:rPr>
        <w:t>compare</w:t>
      </w:r>
      <w:proofErr w:type="gramEnd"/>
      <w:r>
        <w:rPr>
          <w:rFonts w:ascii="Times" w:hAnsi="Times"/>
          <w:i/>
        </w:rPr>
        <w:t xml:space="preserve"> and contrast</w:t>
      </w:r>
      <w:r w:rsidR="006A49F0" w:rsidRPr="005919F6">
        <w:rPr>
          <w:rFonts w:ascii="Times" w:hAnsi="Times"/>
          <w:i/>
        </w:rPr>
        <w:t xml:space="preserve"> </w:t>
      </w:r>
      <w:r>
        <w:rPr>
          <w:rFonts w:ascii="Times" w:hAnsi="Times"/>
          <w:i/>
        </w:rPr>
        <w:t>differences in European and American</w:t>
      </w:r>
      <w:r w:rsidR="006A49F0" w:rsidRPr="005919F6">
        <w:rPr>
          <w:rFonts w:ascii="Times" w:hAnsi="Times"/>
          <w:i/>
        </w:rPr>
        <w:t xml:space="preserve"> cultural and ethical systems </w:t>
      </w:r>
      <w:r>
        <w:rPr>
          <w:rFonts w:ascii="Times" w:hAnsi="Times"/>
          <w:i/>
        </w:rPr>
        <w:t>and be a</w:t>
      </w:r>
      <w:r w:rsidR="006A49F0" w:rsidRPr="005919F6">
        <w:rPr>
          <w:rFonts w:ascii="Times" w:hAnsi="Times"/>
          <w:i/>
        </w:rPr>
        <w:t>ble to understand key issues with respect for a range of different variables. </w:t>
      </w:r>
      <w:r>
        <w:rPr>
          <w:rFonts w:ascii="Times" w:hAnsi="Times"/>
        </w:rPr>
        <w:t>(</w:t>
      </w:r>
      <w:r w:rsidRPr="005919F6">
        <w:rPr>
          <w:rFonts w:ascii="Times" w:hAnsi="Times"/>
          <w:i/>
        </w:rPr>
        <w:t>Cultural and ethical awareness.</w:t>
      </w:r>
      <w:r>
        <w:rPr>
          <w:rFonts w:ascii="Times" w:hAnsi="Times"/>
          <w:i/>
        </w:rPr>
        <w:t>)</w:t>
      </w:r>
    </w:p>
    <w:p w14:paraId="3045334D" w14:textId="6584EEBB" w:rsidR="00F62C44" w:rsidRPr="00F62C44" w:rsidRDefault="00462755" w:rsidP="005919F6">
      <w:pPr>
        <w:pStyle w:val="ListParagraph"/>
        <w:numPr>
          <w:ilvl w:val="0"/>
          <w:numId w:val="3"/>
        </w:numPr>
      </w:pPr>
      <w:proofErr w:type="gramStart"/>
      <w:r w:rsidRPr="005919F6">
        <w:rPr>
          <w:rFonts w:cstheme="minorHAnsi"/>
        </w:rPr>
        <w:t>analyze</w:t>
      </w:r>
      <w:proofErr w:type="gramEnd"/>
      <w:r w:rsidRPr="005919F6">
        <w:rPr>
          <w:rFonts w:cstheme="minorHAnsi"/>
        </w:rPr>
        <w:t xml:space="preserve"> developments in the management of the transatlantic relationship</w:t>
      </w:r>
      <w:r w:rsidR="005919F6">
        <w:rPr>
          <w:rFonts w:cstheme="minorHAnsi"/>
        </w:rPr>
        <w:t>.</w:t>
      </w:r>
    </w:p>
    <w:p w14:paraId="46C685A5" w14:textId="77777777" w:rsidR="006A49F0" w:rsidRDefault="006A49F0" w:rsidP="00786F76">
      <w:pPr>
        <w:rPr>
          <w:b/>
        </w:rPr>
      </w:pPr>
    </w:p>
    <w:p w14:paraId="004E208B" w14:textId="77777777" w:rsidR="00072180" w:rsidRDefault="0042488D" w:rsidP="00786F76">
      <w:r>
        <w:rPr>
          <w:b/>
        </w:rPr>
        <w:t xml:space="preserve">Required Texts:  </w:t>
      </w:r>
    </w:p>
    <w:p w14:paraId="3CF97AC4" w14:textId="0316162D" w:rsidR="00072180" w:rsidRPr="00072180" w:rsidRDefault="00072180" w:rsidP="004C601F">
      <w:pPr>
        <w:ind w:left="720" w:hanging="720"/>
      </w:pPr>
      <w:r>
        <w:t xml:space="preserve">McGuire, S. and Smith, M. (2008),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European Union and the United States: Competition and Convergence in the Global Arena</w:t>
      </w:r>
      <w:r>
        <w:t>, Palgrave Macmillan.</w:t>
      </w:r>
    </w:p>
    <w:p w14:paraId="69CDDDEC" w14:textId="5043329C" w:rsidR="00F62C44" w:rsidRDefault="0042488D" w:rsidP="00786F76">
      <w:r>
        <w:t>Additional readings will be added to</w:t>
      </w:r>
      <w:r w:rsidR="00072180">
        <w:t xml:space="preserve"> </w:t>
      </w:r>
      <w:proofErr w:type="spellStart"/>
      <w:r w:rsidR="00072180">
        <w:t>t-square</w:t>
      </w:r>
      <w:proofErr w:type="spellEnd"/>
      <w:r>
        <w:t>.</w:t>
      </w:r>
    </w:p>
    <w:p w14:paraId="19C7957B" w14:textId="77777777" w:rsidR="0042488D" w:rsidRDefault="0042488D" w:rsidP="00786F76"/>
    <w:p w14:paraId="18BE54FF" w14:textId="77777777" w:rsidR="0042488D" w:rsidRDefault="0042488D" w:rsidP="00786F76">
      <w:pPr>
        <w:rPr>
          <w:b/>
        </w:rPr>
      </w:pPr>
      <w:r>
        <w:rPr>
          <w:b/>
        </w:rPr>
        <w:t>List of Graded Assignments:</w:t>
      </w:r>
    </w:p>
    <w:p w14:paraId="58CF6EC9" w14:textId="6BF90345" w:rsidR="0042488D" w:rsidRDefault="0042488D" w:rsidP="00786F76">
      <w:r>
        <w:t xml:space="preserve">Midterm:  </w:t>
      </w:r>
      <w:r w:rsidR="00072180">
        <w:t>25</w:t>
      </w:r>
      <w:r>
        <w:t>%</w:t>
      </w:r>
    </w:p>
    <w:p w14:paraId="4E1A23A9" w14:textId="30F1A2EF" w:rsidR="0042488D" w:rsidRDefault="00072180" w:rsidP="00786F76">
      <w:r>
        <w:t>Presentation: 15%</w:t>
      </w:r>
    </w:p>
    <w:p w14:paraId="71A9ABF7" w14:textId="4104730E" w:rsidR="00072180" w:rsidRDefault="00072180" w:rsidP="00786F76">
      <w:r>
        <w:t>Policy case study: 20%</w:t>
      </w:r>
    </w:p>
    <w:p w14:paraId="5BD6DBFD" w14:textId="22CED891" w:rsidR="0042488D" w:rsidRDefault="0042488D" w:rsidP="00786F76">
      <w:r>
        <w:t>Final Exam: 3</w:t>
      </w:r>
      <w:r w:rsidR="00072180">
        <w:t>0</w:t>
      </w:r>
      <w:r>
        <w:t>%</w:t>
      </w:r>
      <w:r w:rsidR="00A25FFE">
        <w:t xml:space="preserve"> (given at time as shown on GT calendar)</w:t>
      </w:r>
    </w:p>
    <w:p w14:paraId="772AF08B" w14:textId="455AF689" w:rsidR="00072180" w:rsidRDefault="00072180" w:rsidP="00786F76">
      <w:r>
        <w:t>Participation: 10%</w:t>
      </w:r>
    </w:p>
    <w:p w14:paraId="58E1027F" w14:textId="77777777" w:rsidR="00DF513C" w:rsidRDefault="00DF513C" w:rsidP="00786F76">
      <w:pPr>
        <w:rPr>
          <w:b/>
        </w:rPr>
      </w:pPr>
    </w:p>
    <w:p w14:paraId="2A908C03" w14:textId="77777777" w:rsidR="0042488D" w:rsidRDefault="0042488D" w:rsidP="00786F76">
      <w:pPr>
        <w:rPr>
          <w:b/>
        </w:rPr>
      </w:pPr>
      <w:r>
        <w:rPr>
          <w:b/>
        </w:rPr>
        <w:t>Attendance Policy</w:t>
      </w:r>
    </w:p>
    <w:p w14:paraId="06581A79" w14:textId="015D5C59" w:rsidR="0042488D" w:rsidRDefault="0042488D" w:rsidP="00786F76">
      <w:r>
        <w:t xml:space="preserve">Attendance is mandatory as is reading before class.  </w:t>
      </w:r>
    </w:p>
    <w:p w14:paraId="7CFC3D17" w14:textId="77777777" w:rsidR="0042488D" w:rsidRDefault="0042488D" w:rsidP="00786F76"/>
    <w:p w14:paraId="73C090D7" w14:textId="77777777" w:rsidR="0042488D" w:rsidRDefault="0042488D" w:rsidP="00786F76">
      <w:pPr>
        <w:rPr>
          <w:b/>
        </w:rPr>
      </w:pPr>
      <w:r>
        <w:rPr>
          <w:b/>
        </w:rPr>
        <w:t>ADAPTS</w:t>
      </w:r>
    </w:p>
    <w:p w14:paraId="3D81811D" w14:textId="77777777" w:rsidR="0042488D" w:rsidRDefault="0042488D" w:rsidP="00786F76">
      <w:r>
        <w:t xml:space="preserve">The professor will work with ADAPTS so that all students have an equal opportunity for success.  For information on ADAPTS, see </w:t>
      </w:r>
      <w:hyperlink r:id="rId7" w:history="1">
        <w:r w:rsidRPr="00DD62DB">
          <w:rPr>
            <w:rStyle w:val="Hyperlink"/>
          </w:rPr>
          <w:t>http://www.adapts.gatech.edu/</w:t>
        </w:r>
      </w:hyperlink>
    </w:p>
    <w:p w14:paraId="25B71045" w14:textId="77777777" w:rsidR="00BF086F" w:rsidRDefault="00BF086F" w:rsidP="00786F76">
      <w:pPr>
        <w:rPr>
          <w:b/>
        </w:rPr>
      </w:pPr>
    </w:p>
    <w:p w14:paraId="7AF7F391" w14:textId="77777777" w:rsidR="0042488D" w:rsidRDefault="0042488D" w:rsidP="00786F76">
      <w:pPr>
        <w:rPr>
          <w:b/>
        </w:rPr>
      </w:pPr>
      <w:r>
        <w:rPr>
          <w:b/>
        </w:rPr>
        <w:t xml:space="preserve">Honor Code Statement:  </w:t>
      </w:r>
    </w:p>
    <w:p w14:paraId="1547ECFA" w14:textId="77777777" w:rsidR="0042488D" w:rsidRDefault="0042488D" w:rsidP="00786F76">
      <w:pPr>
        <w:rPr>
          <w:rStyle w:val="Emphasis"/>
          <w:rFonts w:eastAsia="Times New Roman" w:cs="Times New Roman"/>
          <w:i w:val="0"/>
        </w:rPr>
      </w:pPr>
      <w:r>
        <w:rPr>
          <w:rStyle w:val="Emphasis"/>
          <w:rFonts w:eastAsia="Times New Roman" w:cs="Times New Roman"/>
        </w:rPr>
        <w:t>Plagiarizing is defined by Webster’s as “to steal and pass off (the ideas o</w:t>
      </w:r>
      <w:r w:rsidR="00BF086F">
        <w:rPr>
          <w:rStyle w:val="Emphasis"/>
          <w:rFonts w:eastAsia="Times New Roman" w:cs="Times New Roman"/>
        </w:rPr>
        <w:t>r words of another) as one's own</w:t>
      </w:r>
      <w:r>
        <w:rPr>
          <w:rStyle w:val="Emphasis"/>
          <w:rFonts w:eastAsia="Times New Roman" w:cs="Times New Roman"/>
        </w:rPr>
        <w:t>: use (another's production) without crediting the source.”</w:t>
      </w:r>
      <w:r>
        <w:rPr>
          <w:rFonts w:eastAsia="Times New Roman" w:cs="Times New Roman"/>
          <w:i/>
          <w:iCs/>
        </w:rPr>
        <w:br/>
      </w:r>
      <w:r w:rsidRPr="0042488D">
        <w:rPr>
          <w:rStyle w:val="Emphasis"/>
          <w:rFonts w:eastAsia="Times New Roman" w:cs="Times New Roman"/>
          <w:i w:val="0"/>
        </w:rPr>
        <w:t>If caught plagiarizing, you will be dealt with according to the GT Academic Honor Code.</w:t>
      </w:r>
    </w:p>
    <w:p w14:paraId="035AEA7F" w14:textId="77777777" w:rsidR="0042488D" w:rsidRDefault="0042488D" w:rsidP="00786F76">
      <w:pPr>
        <w:rPr>
          <w:rStyle w:val="Hyperlink"/>
        </w:rPr>
      </w:pPr>
      <w:r>
        <w:rPr>
          <w:rStyle w:val="Emphasis"/>
          <w:rFonts w:eastAsia="Times New Roman" w:cs="Times New Roman"/>
          <w:i w:val="0"/>
        </w:rPr>
        <w:t xml:space="preserve">For more information see: </w:t>
      </w:r>
      <w:hyperlink r:id="rId8" w:history="1">
        <w:r w:rsidRPr="00B7035E">
          <w:rPr>
            <w:rStyle w:val="Hyperlink"/>
          </w:rPr>
          <w:t>http://www.honor.gatech.edu/plugins/content/index.php?id=9</w:t>
        </w:r>
      </w:hyperlink>
    </w:p>
    <w:p w14:paraId="51E2BC0A" w14:textId="77777777" w:rsidR="0042488D" w:rsidRDefault="0042488D" w:rsidP="00786F76">
      <w:pPr>
        <w:rPr>
          <w:rStyle w:val="Hyperlink"/>
        </w:rPr>
      </w:pPr>
    </w:p>
    <w:p w14:paraId="0254A46D" w14:textId="77777777" w:rsidR="0042488D" w:rsidRDefault="0042488D" w:rsidP="00786F76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Week by week schedule</w:t>
      </w:r>
    </w:p>
    <w:p w14:paraId="68236E82" w14:textId="68EBBE81" w:rsidR="00582593" w:rsidRDefault="00582593" w:rsidP="00786F7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5220"/>
        <w:gridCol w:w="4968"/>
      </w:tblGrid>
      <w:tr w:rsidR="009C11DD" w14:paraId="3392BD76" w14:textId="77777777" w:rsidTr="004C601F">
        <w:tc>
          <w:tcPr>
            <w:tcW w:w="828" w:type="dxa"/>
          </w:tcPr>
          <w:p w14:paraId="5418B1D4" w14:textId="77777777" w:rsidR="009C11DD" w:rsidRDefault="009C11DD" w:rsidP="004C601F">
            <w:pPr>
              <w:pStyle w:val="ListParagraph"/>
              <w:numPr>
                <w:ilvl w:val="0"/>
                <w:numId w:val="4"/>
              </w:numPr>
              <w:spacing w:after="120"/>
            </w:pPr>
          </w:p>
        </w:tc>
        <w:tc>
          <w:tcPr>
            <w:tcW w:w="5220" w:type="dxa"/>
          </w:tcPr>
          <w:p w14:paraId="526AE5EF" w14:textId="46B3E212" w:rsidR="009C11DD" w:rsidRDefault="009C11DD" w:rsidP="004C601F">
            <w:pPr>
              <w:spacing w:after="120"/>
            </w:pPr>
            <w:r>
              <w:t>Introduction and overview of the relationship</w:t>
            </w:r>
          </w:p>
        </w:tc>
        <w:tc>
          <w:tcPr>
            <w:tcW w:w="4968" w:type="dxa"/>
          </w:tcPr>
          <w:p w14:paraId="6A03EC72" w14:textId="7DF4B37D" w:rsidR="009C11DD" w:rsidRDefault="009C11DD" w:rsidP="004C601F">
            <w:pPr>
              <w:spacing w:after="120"/>
            </w:pPr>
            <w:r>
              <w:t xml:space="preserve">McGuire&amp;Smith-2; reading on </w:t>
            </w:r>
            <w:proofErr w:type="spellStart"/>
            <w:r>
              <w:t>t-square</w:t>
            </w:r>
            <w:proofErr w:type="spellEnd"/>
          </w:p>
        </w:tc>
      </w:tr>
      <w:tr w:rsidR="009C11DD" w14:paraId="2945B46F" w14:textId="77777777" w:rsidTr="004C601F">
        <w:tc>
          <w:tcPr>
            <w:tcW w:w="828" w:type="dxa"/>
          </w:tcPr>
          <w:p w14:paraId="1F7B2EDC" w14:textId="77777777" w:rsidR="009C11DD" w:rsidRDefault="009C11DD" w:rsidP="004C601F">
            <w:pPr>
              <w:pStyle w:val="ListParagraph"/>
              <w:numPr>
                <w:ilvl w:val="0"/>
                <w:numId w:val="4"/>
              </w:numPr>
              <w:spacing w:after="120"/>
            </w:pPr>
          </w:p>
        </w:tc>
        <w:tc>
          <w:tcPr>
            <w:tcW w:w="5220" w:type="dxa"/>
          </w:tcPr>
          <w:p w14:paraId="53C18357" w14:textId="2F96B248" w:rsidR="009C11DD" w:rsidRDefault="009C11DD" w:rsidP="004C601F">
            <w:pPr>
              <w:spacing w:after="120"/>
            </w:pPr>
            <w:r>
              <w:t>History of transatlantic relations</w:t>
            </w:r>
          </w:p>
        </w:tc>
        <w:tc>
          <w:tcPr>
            <w:tcW w:w="4968" w:type="dxa"/>
          </w:tcPr>
          <w:p w14:paraId="41D87D24" w14:textId="18D92E48" w:rsidR="009C11DD" w:rsidRDefault="009C11DD" w:rsidP="004C601F">
            <w:pPr>
              <w:spacing w:after="120"/>
            </w:pPr>
            <w:r>
              <w:t xml:space="preserve">McGuire&amp;Smith-1; reading on </w:t>
            </w:r>
            <w:proofErr w:type="spellStart"/>
            <w:r>
              <w:t>t-square</w:t>
            </w:r>
            <w:proofErr w:type="spellEnd"/>
          </w:p>
        </w:tc>
      </w:tr>
      <w:tr w:rsidR="009C11DD" w14:paraId="268E7141" w14:textId="77777777" w:rsidTr="004C601F">
        <w:tc>
          <w:tcPr>
            <w:tcW w:w="828" w:type="dxa"/>
          </w:tcPr>
          <w:p w14:paraId="7227BE71" w14:textId="77777777" w:rsidR="009C11DD" w:rsidRDefault="009C11DD" w:rsidP="004C601F">
            <w:pPr>
              <w:pStyle w:val="ListParagraph"/>
              <w:numPr>
                <w:ilvl w:val="0"/>
                <w:numId w:val="4"/>
              </w:numPr>
              <w:spacing w:after="120"/>
            </w:pPr>
          </w:p>
        </w:tc>
        <w:tc>
          <w:tcPr>
            <w:tcW w:w="5220" w:type="dxa"/>
          </w:tcPr>
          <w:p w14:paraId="79C1F720" w14:textId="2724E9FC" w:rsidR="009C11DD" w:rsidRDefault="009C11DD" w:rsidP="004C601F">
            <w:pPr>
              <w:spacing w:after="120"/>
            </w:pPr>
            <w:r>
              <w:t>European and American policy-making in comparative perspective</w:t>
            </w:r>
          </w:p>
        </w:tc>
        <w:tc>
          <w:tcPr>
            <w:tcW w:w="4968" w:type="dxa"/>
          </w:tcPr>
          <w:p w14:paraId="21326D0E" w14:textId="1CEA062E" w:rsidR="009C11DD" w:rsidRDefault="009C11DD" w:rsidP="004C601F">
            <w:pPr>
              <w:spacing w:after="120"/>
            </w:pPr>
            <w:r>
              <w:t xml:space="preserve">McGuire&amp;Smith-3, 4, 9 (parts of each) ; reading on </w:t>
            </w:r>
            <w:proofErr w:type="spellStart"/>
            <w:r>
              <w:t>t-square</w:t>
            </w:r>
            <w:proofErr w:type="spellEnd"/>
          </w:p>
        </w:tc>
      </w:tr>
      <w:tr w:rsidR="009C11DD" w14:paraId="697566D2" w14:textId="77777777" w:rsidTr="004C601F">
        <w:tc>
          <w:tcPr>
            <w:tcW w:w="828" w:type="dxa"/>
          </w:tcPr>
          <w:p w14:paraId="419B82CF" w14:textId="77777777" w:rsidR="009C11DD" w:rsidRDefault="009C11DD" w:rsidP="004C601F">
            <w:pPr>
              <w:pStyle w:val="ListParagraph"/>
              <w:numPr>
                <w:ilvl w:val="0"/>
                <w:numId w:val="4"/>
              </w:numPr>
              <w:spacing w:after="120"/>
            </w:pPr>
          </w:p>
        </w:tc>
        <w:tc>
          <w:tcPr>
            <w:tcW w:w="5220" w:type="dxa"/>
          </w:tcPr>
          <w:p w14:paraId="05F621E2" w14:textId="20869E54" w:rsidR="009C11DD" w:rsidRDefault="00783709" w:rsidP="004C601F">
            <w:pPr>
              <w:spacing w:after="120"/>
            </w:pPr>
            <w:r>
              <w:t>European and American policies in comparative perspective</w:t>
            </w:r>
          </w:p>
        </w:tc>
        <w:tc>
          <w:tcPr>
            <w:tcW w:w="4968" w:type="dxa"/>
          </w:tcPr>
          <w:p w14:paraId="4E7E970B" w14:textId="5CD2D92A" w:rsidR="009C11DD" w:rsidRDefault="00783709" w:rsidP="004C601F">
            <w:pPr>
              <w:spacing w:after="120"/>
            </w:pPr>
            <w:r>
              <w:t xml:space="preserve">McGuire&amp;Smith-3, 4, 6, 9 (parts of each) ; reading on </w:t>
            </w:r>
            <w:proofErr w:type="spellStart"/>
            <w:r>
              <w:t>t-square</w:t>
            </w:r>
            <w:proofErr w:type="spellEnd"/>
          </w:p>
        </w:tc>
      </w:tr>
      <w:tr w:rsidR="00783709" w14:paraId="6AF62C72" w14:textId="77777777" w:rsidTr="004C601F">
        <w:tc>
          <w:tcPr>
            <w:tcW w:w="828" w:type="dxa"/>
          </w:tcPr>
          <w:p w14:paraId="57F680B9" w14:textId="77777777" w:rsidR="00783709" w:rsidRDefault="00783709" w:rsidP="004C601F">
            <w:pPr>
              <w:pStyle w:val="ListParagraph"/>
              <w:numPr>
                <w:ilvl w:val="0"/>
                <w:numId w:val="4"/>
              </w:numPr>
              <w:spacing w:after="120"/>
            </w:pPr>
          </w:p>
        </w:tc>
        <w:tc>
          <w:tcPr>
            <w:tcW w:w="5220" w:type="dxa"/>
          </w:tcPr>
          <w:p w14:paraId="26B50B68" w14:textId="097D7ADD" w:rsidR="00783709" w:rsidRDefault="00783709" w:rsidP="004C601F">
            <w:pPr>
              <w:spacing w:after="120"/>
            </w:pPr>
            <w:r>
              <w:t>Governing the global economy</w:t>
            </w:r>
          </w:p>
        </w:tc>
        <w:tc>
          <w:tcPr>
            <w:tcW w:w="4968" w:type="dxa"/>
          </w:tcPr>
          <w:p w14:paraId="0A83523A" w14:textId="2DDF1E5E" w:rsidR="00783709" w:rsidRDefault="00783709" w:rsidP="004C601F">
            <w:pPr>
              <w:spacing w:after="120"/>
            </w:pPr>
            <w:r>
              <w:t xml:space="preserve">McGuire&amp;Smith-3, 4 (parts of each) ; reading on </w:t>
            </w:r>
            <w:proofErr w:type="spellStart"/>
            <w:r>
              <w:t>t-square</w:t>
            </w:r>
            <w:proofErr w:type="spellEnd"/>
          </w:p>
        </w:tc>
      </w:tr>
      <w:tr w:rsidR="00783709" w14:paraId="5A7FF3FB" w14:textId="77777777" w:rsidTr="004C601F">
        <w:tc>
          <w:tcPr>
            <w:tcW w:w="828" w:type="dxa"/>
          </w:tcPr>
          <w:p w14:paraId="01140628" w14:textId="77777777" w:rsidR="00783709" w:rsidRDefault="00783709" w:rsidP="004C601F">
            <w:pPr>
              <w:pStyle w:val="ListParagraph"/>
              <w:numPr>
                <w:ilvl w:val="0"/>
                <w:numId w:val="4"/>
              </w:numPr>
              <w:spacing w:after="120"/>
            </w:pPr>
          </w:p>
        </w:tc>
        <w:tc>
          <w:tcPr>
            <w:tcW w:w="5220" w:type="dxa"/>
          </w:tcPr>
          <w:p w14:paraId="783CE001" w14:textId="639CCAD2" w:rsidR="00783709" w:rsidRDefault="00783709" w:rsidP="004C601F">
            <w:pPr>
              <w:spacing w:after="120"/>
            </w:pPr>
            <w:r>
              <w:t>Coping with the global financial crisis and its aftermath</w:t>
            </w:r>
          </w:p>
        </w:tc>
        <w:tc>
          <w:tcPr>
            <w:tcW w:w="4968" w:type="dxa"/>
          </w:tcPr>
          <w:p w14:paraId="526A7E66" w14:textId="111DCFDB" w:rsidR="00783709" w:rsidRDefault="00783709" w:rsidP="004C601F">
            <w:pPr>
              <w:spacing w:after="120"/>
            </w:pPr>
            <w:r>
              <w:t xml:space="preserve">Readings on </w:t>
            </w:r>
            <w:proofErr w:type="spellStart"/>
            <w:r>
              <w:t>t-square</w:t>
            </w:r>
            <w:proofErr w:type="spellEnd"/>
          </w:p>
        </w:tc>
      </w:tr>
      <w:tr w:rsidR="00783709" w14:paraId="5594F723" w14:textId="77777777" w:rsidTr="004C601F">
        <w:tc>
          <w:tcPr>
            <w:tcW w:w="828" w:type="dxa"/>
          </w:tcPr>
          <w:p w14:paraId="79BFD7B8" w14:textId="77777777" w:rsidR="00783709" w:rsidRDefault="00783709" w:rsidP="004C601F">
            <w:pPr>
              <w:pStyle w:val="ListParagraph"/>
              <w:numPr>
                <w:ilvl w:val="0"/>
                <w:numId w:val="4"/>
              </w:numPr>
              <w:spacing w:after="120"/>
            </w:pPr>
          </w:p>
        </w:tc>
        <w:tc>
          <w:tcPr>
            <w:tcW w:w="5220" w:type="dxa"/>
          </w:tcPr>
          <w:p w14:paraId="4FC3B17E" w14:textId="2511AB34" w:rsidR="00783709" w:rsidRDefault="00783709" w:rsidP="004C601F">
            <w:pPr>
              <w:spacing w:after="120"/>
            </w:pPr>
            <w:r>
              <w:t xml:space="preserve">Transatlantic economic </w:t>
            </w:r>
            <w:r w:rsidR="00033848">
              <w:t>performance</w:t>
            </w:r>
          </w:p>
        </w:tc>
        <w:tc>
          <w:tcPr>
            <w:tcW w:w="4968" w:type="dxa"/>
          </w:tcPr>
          <w:p w14:paraId="217D0E29" w14:textId="6725CB5E" w:rsidR="00783709" w:rsidRDefault="00783709" w:rsidP="004C601F">
            <w:pPr>
              <w:spacing w:after="120"/>
            </w:pPr>
            <w:r>
              <w:t>McGuire&amp;S</w:t>
            </w:r>
            <w:r w:rsidR="00033848">
              <w:t>mith-</w:t>
            </w:r>
            <w:r>
              <w:t xml:space="preserve">6; readings on </w:t>
            </w:r>
            <w:proofErr w:type="spellStart"/>
            <w:r>
              <w:t>t-square</w:t>
            </w:r>
            <w:proofErr w:type="spellEnd"/>
          </w:p>
        </w:tc>
      </w:tr>
      <w:tr w:rsidR="00783709" w14:paraId="55B5916E" w14:textId="77777777" w:rsidTr="004C601F">
        <w:tc>
          <w:tcPr>
            <w:tcW w:w="828" w:type="dxa"/>
          </w:tcPr>
          <w:p w14:paraId="4ED9D50D" w14:textId="77777777" w:rsidR="00783709" w:rsidRDefault="00783709" w:rsidP="004C601F">
            <w:pPr>
              <w:pStyle w:val="ListParagraph"/>
              <w:numPr>
                <w:ilvl w:val="0"/>
                <w:numId w:val="4"/>
              </w:numPr>
              <w:spacing w:after="120"/>
            </w:pPr>
          </w:p>
        </w:tc>
        <w:tc>
          <w:tcPr>
            <w:tcW w:w="5220" w:type="dxa"/>
          </w:tcPr>
          <w:p w14:paraId="15CF3DAD" w14:textId="6936CA0E" w:rsidR="00783709" w:rsidRDefault="00783709" w:rsidP="004C601F">
            <w:pPr>
              <w:spacing w:after="120"/>
            </w:pPr>
            <w:r>
              <w:t>Regulatory cooperation, conflict,  and competition 1</w:t>
            </w:r>
          </w:p>
        </w:tc>
        <w:tc>
          <w:tcPr>
            <w:tcW w:w="4968" w:type="dxa"/>
          </w:tcPr>
          <w:p w14:paraId="4A7DC32E" w14:textId="286B893B" w:rsidR="00783709" w:rsidRDefault="00783709" w:rsidP="004C601F">
            <w:pPr>
              <w:spacing w:after="120"/>
            </w:pPr>
            <w:r>
              <w:t>McGuire&amp;Smith-3&amp;5</w:t>
            </w:r>
            <w:r w:rsidRPr="00783709">
              <w:t xml:space="preserve"> </w:t>
            </w:r>
            <w:r>
              <w:t xml:space="preserve">(parts of each) ; reading on </w:t>
            </w:r>
            <w:proofErr w:type="spellStart"/>
            <w:r>
              <w:t>t-square</w:t>
            </w:r>
            <w:proofErr w:type="spellEnd"/>
          </w:p>
        </w:tc>
      </w:tr>
      <w:tr w:rsidR="00783709" w14:paraId="6C50DC84" w14:textId="77777777" w:rsidTr="004C601F">
        <w:tc>
          <w:tcPr>
            <w:tcW w:w="828" w:type="dxa"/>
          </w:tcPr>
          <w:p w14:paraId="3198FB02" w14:textId="77777777" w:rsidR="00783709" w:rsidRDefault="00783709" w:rsidP="004C601F">
            <w:pPr>
              <w:pStyle w:val="ListParagraph"/>
              <w:numPr>
                <w:ilvl w:val="0"/>
                <w:numId w:val="4"/>
              </w:numPr>
              <w:spacing w:after="120"/>
            </w:pPr>
          </w:p>
        </w:tc>
        <w:tc>
          <w:tcPr>
            <w:tcW w:w="5220" w:type="dxa"/>
          </w:tcPr>
          <w:p w14:paraId="54E25198" w14:textId="5C20C4EF" w:rsidR="00783709" w:rsidRDefault="00783709" w:rsidP="004C601F">
            <w:pPr>
              <w:spacing w:after="120"/>
            </w:pPr>
            <w:r>
              <w:t>Regulatory cooperation, conflict,  and competition 2</w:t>
            </w:r>
          </w:p>
        </w:tc>
        <w:tc>
          <w:tcPr>
            <w:tcW w:w="4968" w:type="dxa"/>
          </w:tcPr>
          <w:p w14:paraId="09611435" w14:textId="658618F0" w:rsidR="00783709" w:rsidRDefault="00783709" w:rsidP="004C601F">
            <w:pPr>
              <w:spacing w:after="120"/>
            </w:pPr>
            <w:r>
              <w:t xml:space="preserve">Readings on </w:t>
            </w:r>
            <w:proofErr w:type="spellStart"/>
            <w:r>
              <w:t>t-square</w:t>
            </w:r>
            <w:proofErr w:type="spellEnd"/>
          </w:p>
        </w:tc>
      </w:tr>
      <w:tr w:rsidR="00783709" w14:paraId="4EC5B4FB" w14:textId="77777777" w:rsidTr="004C601F">
        <w:tc>
          <w:tcPr>
            <w:tcW w:w="828" w:type="dxa"/>
          </w:tcPr>
          <w:p w14:paraId="752894AF" w14:textId="77777777" w:rsidR="00783709" w:rsidRDefault="00783709" w:rsidP="004C601F">
            <w:pPr>
              <w:pStyle w:val="ListParagraph"/>
              <w:numPr>
                <w:ilvl w:val="0"/>
                <w:numId w:val="4"/>
              </w:numPr>
              <w:spacing w:after="120"/>
            </w:pPr>
          </w:p>
        </w:tc>
        <w:tc>
          <w:tcPr>
            <w:tcW w:w="5220" w:type="dxa"/>
          </w:tcPr>
          <w:p w14:paraId="30DCEA99" w14:textId="06CD0F35" w:rsidR="00783709" w:rsidRDefault="00783709" w:rsidP="004C601F">
            <w:pPr>
              <w:spacing w:after="120"/>
            </w:pPr>
            <w:r>
              <w:t>Foreign policy: Partners or rivals 1</w:t>
            </w:r>
          </w:p>
        </w:tc>
        <w:tc>
          <w:tcPr>
            <w:tcW w:w="4968" w:type="dxa"/>
          </w:tcPr>
          <w:p w14:paraId="2620AE26" w14:textId="4DFC69AB" w:rsidR="00783709" w:rsidRDefault="00033848" w:rsidP="004C601F">
            <w:pPr>
              <w:spacing w:after="120"/>
            </w:pPr>
            <w:r>
              <w:t>McGuire&amp;Smith-7&amp;8 (parts)</w:t>
            </w:r>
          </w:p>
        </w:tc>
      </w:tr>
      <w:tr w:rsidR="00783709" w14:paraId="1FA29C0C" w14:textId="77777777" w:rsidTr="004C601F">
        <w:trPr>
          <w:trHeight w:val="197"/>
        </w:trPr>
        <w:tc>
          <w:tcPr>
            <w:tcW w:w="828" w:type="dxa"/>
          </w:tcPr>
          <w:p w14:paraId="11BCDE79" w14:textId="77777777" w:rsidR="00783709" w:rsidRDefault="00783709" w:rsidP="004C601F">
            <w:pPr>
              <w:pStyle w:val="ListParagraph"/>
              <w:numPr>
                <w:ilvl w:val="0"/>
                <w:numId w:val="4"/>
              </w:numPr>
              <w:spacing w:after="120"/>
            </w:pPr>
          </w:p>
        </w:tc>
        <w:tc>
          <w:tcPr>
            <w:tcW w:w="5220" w:type="dxa"/>
          </w:tcPr>
          <w:p w14:paraId="15AF80E8" w14:textId="0BDE6EE8" w:rsidR="00783709" w:rsidRDefault="00783709" w:rsidP="004C601F">
            <w:pPr>
              <w:spacing w:after="120"/>
            </w:pPr>
            <w:r>
              <w:t>Foreign policy: Partners or rivals 2</w:t>
            </w:r>
          </w:p>
        </w:tc>
        <w:tc>
          <w:tcPr>
            <w:tcW w:w="4968" w:type="dxa"/>
          </w:tcPr>
          <w:p w14:paraId="08F0F98F" w14:textId="442740FB" w:rsidR="00783709" w:rsidRDefault="00033848" w:rsidP="004C601F">
            <w:pPr>
              <w:spacing w:after="120"/>
            </w:pPr>
            <w:r>
              <w:t xml:space="preserve">Readings on </w:t>
            </w:r>
            <w:proofErr w:type="spellStart"/>
            <w:r>
              <w:t>t-square</w:t>
            </w:r>
            <w:proofErr w:type="spellEnd"/>
          </w:p>
        </w:tc>
      </w:tr>
      <w:tr w:rsidR="00783709" w14:paraId="0BD6115D" w14:textId="77777777" w:rsidTr="004C601F">
        <w:tc>
          <w:tcPr>
            <w:tcW w:w="828" w:type="dxa"/>
          </w:tcPr>
          <w:p w14:paraId="3C493B92" w14:textId="77777777" w:rsidR="00783709" w:rsidRDefault="00783709" w:rsidP="004C601F">
            <w:pPr>
              <w:pStyle w:val="ListParagraph"/>
              <w:numPr>
                <w:ilvl w:val="0"/>
                <w:numId w:val="4"/>
              </w:numPr>
              <w:spacing w:after="120"/>
            </w:pPr>
          </w:p>
        </w:tc>
        <w:tc>
          <w:tcPr>
            <w:tcW w:w="5220" w:type="dxa"/>
          </w:tcPr>
          <w:p w14:paraId="607F2741" w14:textId="2643612B" w:rsidR="00783709" w:rsidRDefault="00783709" w:rsidP="004C601F">
            <w:pPr>
              <w:spacing w:after="120"/>
            </w:pPr>
            <w:r>
              <w:t>Traditional security cooperation</w:t>
            </w:r>
          </w:p>
        </w:tc>
        <w:tc>
          <w:tcPr>
            <w:tcW w:w="4968" w:type="dxa"/>
          </w:tcPr>
          <w:p w14:paraId="0911D2F1" w14:textId="6A666447" w:rsidR="00783709" w:rsidRDefault="00033848" w:rsidP="004C601F">
            <w:pPr>
              <w:spacing w:after="120"/>
            </w:pPr>
            <w:r>
              <w:t>McGuire&amp;Smith-8 (parts)</w:t>
            </w:r>
          </w:p>
        </w:tc>
      </w:tr>
      <w:tr w:rsidR="00783709" w14:paraId="2453A9E4" w14:textId="77777777" w:rsidTr="004C601F">
        <w:tc>
          <w:tcPr>
            <w:tcW w:w="828" w:type="dxa"/>
          </w:tcPr>
          <w:p w14:paraId="2E64DDE6" w14:textId="77777777" w:rsidR="00783709" w:rsidRDefault="00783709" w:rsidP="004C601F">
            <w:pPr>
              <w:pStyle w:val="ListParagraph"/>
              <w:numPr>
                <w:ilvl w:val="0"/>
                <w:numId w:val="4"/>
              </w:numPr>
              <w:spacing w:after="120"/>
            </w:pPr>
          </w:p>
        </w:tc>
        <w:tc>
          <w:tcPr>
            <w:tcW w:w="5220" w:type="dxa"/>
          </w:tcPr>
          <w:p w14:paraId="6EA19479" w14:textId="01F370B6" w:rsidR="00783709" w:rsidRDefault="00783709" w:rsidP="004C601F">
            <w:pPr>
              <w:spacing w:after="120"/>
            </w:pPr>
            <w:r>
              <w:t>New security cooperation</w:t>
            </w:r>
          </w:p>
        </w:tc>
        <w:tc>
          <w:tcPr>
            <w:tcW w:w="4968" w:type="dxa"/>
          </w:tcPr>
          <w:p w14:paraId="47C9D094" w14:textId="12054AD9" w:rsidR="00783709" w:rsidRDefault="00033848" w:rsidP="004C601F">
            <w:pPr>
              <w:spacing w:after="120"/>
            </w:pPr>
            <w:r>
              <w:t xml:space="preserve">Readings on </w:t>
            </w:r>
            <w:proofErr w:type="spellStart"/>
            <w:r>
              <w:t>t-square</w:t>
            </w:r>
            <w:proofErr w:type="spellEnd"/>
          </w:p>
        </w:tc>
      </w:tr>
      <w:tr w:rsidR="00783709" w14:paraId="04BFB748" w14:textId="77777777" w:rsidTr="004C601F">
        <w:tc>
          <w:tcPr>
            <w:tcW w:w="828" w:type="dxa"/>
          </w:tcPr>
          <w:p w14:paraId="38A9476D" w14:textId="77777777" w:rsidR="00783709" w:rsidRDefault="00783709" w:rsidP="004C601F">
            <w:pPr>
              <w:pStyle w:val="ListParagraph"/>
              <w:numPr>
                <w:ilvl w:val="0"/>
                <w:numId w:val="4"/>
              </w:numPr>
              <w:spacing w:after="120"/>
            </w:pPr>
          </w:p>
        </w:tc>
        <w:tc>
          <w:tcPr>
            <w:tcW w:w="5220" w:type="dxa"/>
          </w:tcPr>
          <w:p w14:paraId="5125F1E5" w14:textId="46302C12" w:rsidR="00783709" w:rsidRDefault="00201E39" w:rsidP="00201E39">
            <w:pPr>
              <w:spacing w:after="120"/>
            </w:pPr>
            <w:r>
              <w:t>Implications of t</w:t>
            </w:r>
            <w:r w:rsidR="00783709">
              <w:t>he changing global balance of power</w:t>
            </w:r>
          </w:p>
        </w:tc>
        <w:tc>
          <w:tcPr>
            <w:tcW w:w="4968" w:type="dxa"/>
          </w:tcPr>
          <w:p w14:paraId="37BDBB1A" w14:textId="136CC358" w:rsidR="00783709" w:rsidRDefault="00783709" w:rsidP="004C601F">
            <w:pPr>
              <w:spacing w:after="120"/>
            </w:pPr>
            <w:r>
              <w:t xml:space="preserve">Readings on </w:t>
            </w:r>
            <w:proofErr w:type="spellStart"/>
            <w:r>
              <w:t>t-square</w:t>
            </w:r>
            <w:proofErr w:type="spellEnd"/>
          </w:p>
        </w:tc>
      </w:tr>
      <w:tr w:rsidR="00783709" w14:paraId="00F5EB94" w14:textId="77777777" w:rsidTr="004C601F">
        <w:tc>
          <w:tcPr>
            <w:tcW w:w="828" w:type="dxa"/>
          </w:tcPr>
          <w:p w14:paraId="49E6E8AC" w14:textId="77777777" w:rsidR="00783709" w:rsidRDefault="00783709" w:rsidP="004C601F">
            <w:pPr>
              <w:pStyle w:val="ListParagraph"/>
              <w:numPr>
                <w:ilvl w:val="0"/>
                <w:numId w:val="4"/>
              </w:numPr>
              <w:spacing w:after="120"/>
            </w:pPr>
          </w:p>
        </w:tc>
        <w:tc>
          <w:tcPr>
            <w:tcW w:w="5220" w:type="dxa"/>
          </w:tcPr>
          <w:p w14:paraId="3A78EC12" w14:textId="16F1B1DA" w:rsidR="00783709" w:rsidRDefault="00783709" w:rsidP="004C601F">
            <w:pPr>
              <w:spacing w:after="120"/>
            </w:pPr>
            <w:r>
              <w:t>Reflection, prospects and review</w:t>
            </w:r>
          </w:p>
        </w:tc>
        <w:tc>
          <w:tcPr>
            <w:tcW w:w="4968" w:type="dxa"/>
          </w:tcPr>
          <w:p w14:paraId="4C05435C" w14:textId="4BA1BD8D" w:rsidR="00783709" w:rsidRDefault="00783709" w:rsidP="004C601F">
            <w:pPr>
              <w:spacing w:after="120"/>
            </w:pPr>
            <w:r>
              <w:t>McGuire&amp;Smith-10</w:t>
            </w:r>
          </w:p>
        </w:tc>
      </w:tr>
    </w:tbl>
    <w:p w14:paraId="7AB05243" w14:textId="77777777" w:rsidR="009C11DD" w:rsidRPr="00BF086F" w:rsidRDefault="009C11DD" w:rsidP="00786F76"/>
    <w:p w14:paraId="69220405" w14:textId="77777777" w:rsidR="00033848" w:rsidRPr="00BF086F" w:rsidRDefault="00033848"/>
    <w:sectPr w:rsidR="00033848" w:rsidRPr="00BF086F" w:rsidSect="00786F76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6E41"/>
    <w:multiLevelType w:val="hybridMultilevel"/>
    <w:tmpl w:val="EA06A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0D464F"/>
    <w:multiLevelType w:val="hybridMultilevel"/>
    <w:tmpl w:val="6F8CE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470BD"/>
    <w:multiLevelType w:val="hybridMultilevel"/>
    <w:tmpl w:val="86C8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5A49CC"/>
    <w:multiLevelType w:val="hybridMultilevel"/>
    <w:tmpl w:val="D2940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76"/>
    <w:rsid w:val="00033848"/>
    <w:rsid w:val="00062E62"/>
    <w:rsid w:val="00072180"/>
    <w:rsid w:val="000847F2"/>
    <w:rsid w:val="000C1E73"/>
    <w:rsid w:val="001C4DB8"/>
    <w:rsid w:val="00201E39"/>
    <w:rsid w:val="002579E5"/>
    <w:rsid w:val="00294EB5"/>
    <w:rsid w:val="002F5CDB"/>
    <w:rsid w:val="00363544"/>
    <w:rsid w:val="00365C66"/>
    <w:rsid w:val="0042488D"/>
    <w:rsid w:val="00462755"/>
    <w:rsid w:val="004874CB"/>
    <w:rsid w:val="004A6F5A"/>
    <w:rsid w:val="004C601F"/>
    <w:rsid w:val="00543CCA"/>
    <w:rsid w:val="00582593"/>
    <w:rsid w:val="00583900"/>
    <w:rsid w:val="005919F6"/>
    <w:rsid w:val="005B70F8"/>
    <w:rsid w:val="006305BF"/>
    <w:rsid w:val="006410E9"/>
    <w:rsid w:val="0065641C"/>
    <w:rsid w:val="00696896"/>
    <w:rsid w:val="006A49F0"/>
    <w:rsid w:val="00783709"/>
    <w:rsid w:val="00786F76"/>
    <w:rsid w:val="0083309A"/>
    <w:rsid w:val="00880605"/>
    <w:rsid w:val="009C11DD"/>
    <w:rsid w:val="00A25FFE"/>
    <w:rsid w:val="00BE41E5"/>
    <w:rsid w:val="00BF086F"/>
    <w:rsid w:val="00DF513C"/>
    <w:rsid w:val="00EB557C"/>
    <w:rsid w:val="00F62C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22FF6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F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2C4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2488D"/>
    <w:rPr>
      <w:i/>
      <w:iCs/>
    </w:rPr>
  </w:style>
  <w:style w:type="table" w:styleId="TableGrid">
    <w:name w:val="Table Grid"/>
    <w:basedOn w:val="TableNormal"/>
    <w:uiPriority w:val="59"/>
    <w:rsid w:val="009C1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0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0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0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0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01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0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0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F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2C4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2488D"/>
    <w:rPr>
      <w:i/>
      <w:iCs/>
    </w:rPr>
  </w:style>
  <w:style w:type="table" w:styleId="TableGrid">
    <w:name w:val="Table Grid"/>
    <w:basedOn w:val="TableNormal"/>
    <w:uiPriority w:val="59"/>
    <w:rsid w:val="009C1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0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0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0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0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01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0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0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nor.gatech.edu/plugins/content/index.php?id=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dapts.gatech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asdair.young@gatech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Allen College</dc:creator>
  <cp:lastModifiedBy>Alasdair Young</cp:lastModifiedBy>
  <cp:revision>9</cp:revision>
  <cp:lastPrinted>2013-11-22T15:49:00Z</cp:lastPrinted>
  <dcterms:created xsi:type="dcterms:W3CDTF">2013-11-21T21:59:00Z</dcterms:created>
  <dcterms:modified xsi:type="dcterms:W3CDTF">2013-11-22T18:31:00Z</dcterms:modified>
</cp:coreProperties>
</file>