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534CC" w14:textId="22D1B4DC" w:rsidR="008077FF" w:rsidRDefault="001D05ED" w:rsidP="00B277A3">
      <w:pPr>
        <w:jc w:val="center"/>
        <w:rPr>
          <w:b/>
        </w:rPr>
      </w:pPr>
      <w:r w:rsidRPr="001D05ED">
        <w:rPr>
          <w:b/>
        </w:rPr>
        <w:t>ISyE 4501</w:t>
      </w:r>
      <w:r>
        <w:rPr>
          <w:b/>
        </w:rPr>
        <w:t xml:space="preserve"> </w:t>
      </w:r>
      <w:r w:rsidR="002660E6">
        <w:rPr>
          <w:b/>
        </w:rPr>
        <w:t xml:space="preserve">Energy, Efficiency and Sustainability </w:t>
      </w:r>
    </w:p>
    <w:p w14:paraId="2F651739" w14:textId="77777777" w:rsidR="00302E5F" w:rsidRDefault="00302E5F"/>
    <w:p w14:paraId="4B5AECA4" w14:textId="63DAB8CB" w:rsidR="00DF7070" w:rsidRPr="00DF7070" w:rsidRDefault="00DF7070">
      <w:r>
        <w:rPr>
          <w:b/>
        </w:rPr>
        <w:t xml:space="preserve">Category </w:t>
      </w:r>
      <w:proofErr w:type="gramStart"/>
      <w:r>
        <w:rPr>
          <w:b/>
        </w:rPr>
        <w:t>Toward</w:t>
      </w:r>
      <w:proofErr w:type="gramEnd"/>
      <w:r>
        <w:rPr>
          <w:b/>
        </w:rPr>
        <w:t xml:space="preserve"> Degree: </w:t>
      </w:r>
      <w:r w:rsidR="00E438A9">
        <w:t>ISyE Concentration Breadth E</w:t>
      </w:r>
      <w:r>
        <w:t>lective</w:t>
      </w:r>
    </w:p>
    <w:p w14:paraId="2E8E4A2C" w14:textId="1FC7CC17" w:rsidR="00DF7070" w:rsidRPr="007B5B57" w:rsidRDefault="00DF7070" w:rsidP="00DF7070"/>
    <w:p w14:paraId="23C03541" w14:textId="4EED6127" w:rsidR="00DF7070" w:rsidRDefault="00DF7070" w:rsidP="00DF7070">
      <w:r>
        <w:rPr>
          <w:b/>
        </w:rPr>
        <w:t>Credit</w:t>
      </w:r>
      <w:r w:rsidRPr="007B5B57">
        <w:t>: 3-0-3</w:t>
      </w:r>
    </w:p>
    <w:p w14:paraId="03B4E3FF" w14:textId="77777777" w:rsidR="00DF7070" w:rsidRPr="007B5B57" w:rsidRDefault="00DF7070" w:rsidP="00DF7070"/>
    <w:p w14:paraId="489B83D6" w14:textId="4C91D156" w:rsidR="002660E6" w:rsidRPr="00F12528" w:rsidRDefault="00F12528">
      <w:r w:rsidRPr="007B5B57">
        <w:rPr>
          <w:b/>
        </w:rPr>
        <w:t>Prerequisites</w:t>
      </w:r>
      <w:r w:rsidRPr="00F12528">
        <w:t xml:space="preserve">: </w:t>
      </w:r>
      <w:proofErr w:type="spellStart"/>
      <w:r w:rsidRPr="00F12528">
        <w:t>ISyE</w:t>
      </w:r>
      <w:proofErr w:type="spellEnd"/>
      <w:r w:rsidRPr="00F12528">
        <w:t xml:space="preserve"> 3025 </w:t>
      </w:r>
      <w:proofErr w:type="spellStart"/>
      <w:r w:rsidRPr="00F12528">
        <w:t>Eng</w:t>
      </w:r>
      <w:proofErr w:type="spellEnd"/>
      <w:r w:rsidRPr="00F12528">
        <w:t xml:space="preserve"> Economy, </w:t>
      </w:r>
      <w:proofErr w:type="spellStart"/>
      <w:r w:rsidRPr="00F12528">
        <w:t>ISyE</w:t>
      </w:r>
      <w:proofErr w:type="spellEnd"/>
      <w:r w:rsidRPr="00F12528">
        <w:t xml:space="preserve"> 3133 Engineering Optimization</w:t>
      </w:r>
      <w:r w:rsidR="00DF7070">
        <w:t xml:space="preserve"> (with concurrence)</w:t>
      </w:r>
      <w:r w:rsidRPr="00F12528">
        <w:t xml:space="preserve">, Physics 2211, </w:t>
      </w:r>
      <w:proofErr w:type="spellStart"/>
      <w:r w:rsidRPr="00F12528">
        <w:t>Chem</w:t>
      </w:r>
      <w:proofErr w:type="spellEnd"/>
      <w:r w:rsidRPr="00F12528">
        <w:t xml:space="preserve"> 1301 or </w:t>
      </w:r>
      <w:proofErr w:type="spellStart"/>
      <w:r w:rsidRPr="00F12528">
        <w:t>Chem</w:t>
      </w:r>
      <w:proofErr w:type="spellEnd"/>
      <w:r w:rsidRPr="00F12528">
        <w:t xml:space="preserve"> 1211 K</w:t>
      </w:r>
      <w:r w:rsidR="00DF7070">
        <w:t>.</w:t>
      </w:r>
    </w:p>
    <w:p w14:paraId="41590DD7" w14:textId="77777777" w:rsidR="00F12528" w:rsidRPr="00F12528" w:rsidRDefault="00F12528"/>
    <w:p w14:paraId="1BDD8680" w14:textId="3244BCCF" w:rsidR="00105CD7" w:rsidRDefault="007B5B57" w:rsidP="00105CD7">
      <w:r w:rsidRPr="007B5B57">
        <w:rPr>
          <w:b/>
        </w:rPr>
        <w:t>Catalog Description</w:t>
      </w:r>
      <w:r>
        <w:t xml:space="preserve">: </w:t>
      </w:r>
      <w:r w:rsidR="004F7B03">
        <w:t>Analysis and modeling</w:t>
      </w:r>
      <w:r w:rsidR="00105CD7">
        <w:t xml:space="preserve"> of energy</w:t>
      </w:r>
      <w:r w:rsidR="004F7B03">
        <w:t xml:space="preserve"> production and</w:t>
      </w:r>
      <w:r w:rsidR="00105CD7">
        <w:t xml:space="preserve"> use, material and energy efficiency, sustainability, and cost for systems, products, and services.</w:t>
      </w:r>
    </w:p>
    <w:p w14:paraId="3338B81C" w14:textId="21FBD7F3" w:rsidR="00DF7070" w:rsidRDefault="00DF7070" w:rsidP="00105CD7"/>
    <w:p w14:paraId="21D811C5" w14:textId="0D8CAE25" w:rsidR="00DF7070" w:rsidRDefault="00DF7070" w:rsidP="00DF7070">
      <w:r w:rsidRPr="00B83AC7">
        <w:rPr>
          <w:b/>
        </w:rPr>
        <w:t>Text and readings</w:t>
      </w:r>
      <w:r>
        <w:t xml:space="preserve">: Lecture notes will be posted, supplemented by articles. </w:t>
      </w:r>
    </w:p>
    <w:p w14:paraId="6901877F" w14:textId="7AB80CF8" w:rsidR="00DF7070" w:rsidRDefault="00DF7070" w:rsidP="00DF7070"/>
    <w:p w14:paraId="466C916B" w14:textId="77777777" w:rsidR="00DF7070" w:rsidRDefault="00DF7070" w:rsidP="00DF7070">
      <w:r>
        <w:rPr>
          <w:b/>
        </w:rPr>
        <w:t>Outcomes</w:t>
      </w:r>
      <w:r w:rsidRPr="00295352">
        <w:rPr>
          <w:b/>
        </w:rPr>
        <w:t>:</w:t>
      </w:r>
      <w:r>
        <w:t xml:space="preserve"> At the end of the course, students will be able to: </w:t>
      </w:r>
    </w:p>
    <w:p w14:paraId="4E139C86" w14:textId="77777777" w:rsidR="00DF7070" w:rsidRPr="0059758B" w:rsidRDefault="00DF7070" w:rsidP="00DF7070">
      <w:pPr>
        <w:numPr>
          <w:ilvl w:val="0"/>
          <w:numId w:val="2"/>
        </w:numPr>
      </w:pPr>
      <w:r w:rsidRPr="008077FF">
        <w:t>Evaluate lifecycle environmental i</w:t>
      </w:r>
      <w:r>
        <w:t>mpacts of a product or service (by exams)</w:t>
      </w:r>
    </w:p>
    <w:p w14:paraId="616894AC" w14:textId="77777777" w:rsidR="00DF7070" w:rsidRDefault="00DF7070" w:rsidP="00DF7070">
      <w:pPr>
        <w:numPr>
          <w:ilvl w:val="0"/>
          <w:numId w:val="2"/>
        </w:numPr>
      </w:pPr>
      <w:r w:rsidRPr="008077FF">
        <w:t xml:space="preserve">Use knowledge of </w:t>
      </w:r>
      <w:r>
        <w:t xml:space="preserve">industrial systems </w:t>
      </w:r>
      <w:r w:rsidRPr="008077FF">
        <w:t>to scope and develop environmental assessments</w:t>
      </w:r>
      <w:r>
        <w:t xml:space="preserve"> (by project)</w:t>
      </w:r>
    </w:p>
    <w:p w14:paraId="041C7C14" w14:textId="77777777" w:rsidR="00DF7070" w:rsidRPr="008077FF" w:rsidRDefault="00DF7070" w:rsidP="00DF7070">
      <w:pPr>
        <w:numPr>
          <w:ilvl w:val="0"/>
          <w:numId w:val="2"/>
        </w:numPr>
      </w:pPr>
      <w:r>
        <w:t>Evaluate monetary and environmental costs and benefits of technology choices (by exams)</w:t>
      </w:r>
    </w:p>
    <w:p w14:paraId="792E71E1" w14:textId="77777777" w:rsidR="00DF7070" w:rsidRDefault="00DF7070" w:rsidP="00DF7070">
      <w:pPr>
        <w:rPr>
          <w:b/>
        </w:rPr>
      </w:pPr>
    </w:p>
    <w:p w14:paraId="04C33C0E" w14:textId="6260A81C" w:rsidR="007B5B57" w:rsidRPr="007B5B57" w:rsidRDefault="007B5B57" w:rsidP="00B277A3">
      <w:r w:rsidRPr="007B5B57">
        <w:rPr>
          <w:b/>
        </w:rPr>
        <w:t>Content</w:t>
      </w:r>
      <w:r>
        <w:t>:</w:t>
      </w:r>
    </w:p>
    <w:p w14:paraId="6E87C78E" w14:textId="17282928" w:rsidR="00BC4703" w:rsidRPr="007B5B57" w:rsidRDefault="007B5B57" w:rsidP="00BC4703">
      <w:pPr>
        <w:rPr>
          <w:b/>
        </w:rPr>
      </w:pPr>
      <w:r w:rsidRPr="007B5B57">
        <w:rPr>
          <w:b/>
        </w:rPr>
        <w:t>Methods:</w:t>
      </w:r>
      <w:r w:rsidR="001563F3" w:rsidRPr="007B5B57">
        <w:rPr>
          <w:b/>
        </w:rPr>
        <w:t xml:space="preserve"> </w:t>
      </w:r>
    </w:p>
    <w:p w14:paraId="69FF7869" w14:textId="788D2C38" w:rsidR="00BC4703" w:rsidRPr="00AC2C89" w:rsidRDefault="00BC4703" w:rsidP="00BC4703">
      <w:r w:rsidRPr="00C953B5">
        <w:t>• </w:t>
      </w:r>
      <w:r w:rsidR="00C953B5">
        <w:rPr>
          <w:u w:val="single"/>
        </w:rPr>
        <w:t>Environmental lifecycle a</w:t>
      </w:r>
      <w:r w:rsidRPr="004E671D">
        <w:rPr>
          <w:u w:val="single"/>
        </w:rPr>
        <w:t>ssessment</w:t>
      </w:r>
      <w:r>
        <w:rPr>
          <w:u w:val="single"/>
        </w:rPr>
        <w:t xml:space="preserve"> (LCA)</w:t>
      </w:r>
      <w:r>
        <w:t xml:space="preserve"> – Green supply chains. Lifecycle environmental impact including production, distribution, use, and recycling or disposal. </w:t>
      </w:r>
    </w:p>
    <w:p w14:paraId="08BB4EA8" w14:textId="5F1B2D6B" w:rsidR="00BC4703" w:rsidRDefault="00BC4703" w:rsidP="00BC4703">
      <w:r w:rsidRPr="00C953B5">
        <w:t>• </w:t>
      </w:r>
      <w:r w:rsidR="00C953B5">
        <w:rPr>
          <w:u w:val="single"/>
        </w:rPr>
        <w:t>Economic approaches to environmental m</w:t>
      </w:r>
      <w:r>
        <w:rPr>
          <w:u w:val="single"/>
        </w:rPr>
        <w:t>anagement</w:t>
      </w:r>
      <w:r>
        <w:t xml:space="preserve"> </w:t>
      </w:r>
      <w:r w:rsidR="00C953B5">
        <w:t xml:space="preserve">- </w:t>
      </w:r>
      <w:r>
        <w:t xml:space="preserve">Cost-benefit analysis. Taxes and subsidies. Supply curves. Environmental externalities, tradable permits, markets. </w:t>
      </w:r>
    </w:p>
    <w:p w14:paraId="14C535D6" w14:textId="1D8F3FE4" w:rsidR="00BC4703" w:rsidRDefault="00BC4703" w:rsidP="00BC4703">
      <w:r w:rsidRPr="00642846">
        <w:t>• </w:t>
      </w:r>
      <w:r w:rsidRPr="00C953B5">
        <w:rPr>
          <w:u w:val="single"/>
        </w:rPr>
        <w:t>Material flow accounting and industrial ecology</w:t>
      </w:r>
      <w:r>
        <w:t xml:space="preserve"> – </w:t>
      </w:r>
      <w:r w:rsidR="001563F3">
        <w:t xml:space="preserve">Efficiency assessment. </w:t>
      </w:r>
      <w:r>
        <w:t xml:space="preserve"> </w:t>
      </w:r>
    </w:p>
    <w:p w14:paraId="6CAF0C0F" w14:textId="68F77488" w:rsidR="00BC4703" w:rsidRDefault="00BC4703" w:rsidP="00BC4703">
      <w:r w:rsidRPr="00642846">
        <w:t>• </w:t>
      </w:r>
      <w:r w:rsidRPr="00C953B5">
        <w:rPr>
          <w:u w:val="single"/>
        </w:rPr>
        <w:t>Resource constraints and availability</w:t>
      </w:r>
      <w:r>
        <w:t xml:space="preserve"> –</w:t>
      </w:r>
      <w:r w:rsidR="001563F3">
        <w:t xml:space="preserve"> </w:t>
      </w:r>
      <w:r w:rsidR="00C953B5">
        <w:t>C</w:t>
      </w:r>
      <w:r>
        <w:t xml:space="preserve">alculations with population, technology, consumption and emissions. </w:t>
      </w:r>
    </w:p>
    <w:p w14:paraId="126E99EE" w14:textId="77777777" w:rsidR="00BC4703" w:rsidRDefault="00BC4703" w:rsidP="00BC4703"/>
    <w:p w14:paraId="6BE12D3B" w14:textId="63756637" w:rsidR="00B277A3" w:rsidRPr="00FA3B87" w:rsidRDefault="007B5B57" w:rsidP="00B277A3">
      <w:pPr>
        <w:rPr>
          <w:b/>
        </w:rPr>
      </w:pPr>
      <w:r>
        <w:rPr>
          <w:b/>
        </w:rPr>
        <w:t>Topics:</w:t>
      </w:r>
      <w:r w:rsidR="00CC6C46">
        <w:rPr>
          <w:b/>
        </w:rPr>
        <w:t xml:space="preserve"> (At least 4 topics below)</w:t>
      </w:r>
    </w:p>
    <w:p w14:paraId="31FD01C7" w14:textId="187131FA" w:rsidR="00B277A3" w:rsidRDefault="00AC2C89" w:rsidP="00B277A3">
      <w:r w:rsidRPr="00C953B5">
        <w:t>• </w:t>
      </w:r>
      <w:r w:rsidR="00B277A3" w:rsidRPr="004E671D">
        <w:rPr>
          <w:u w:val="single"/>
        </w:rPr>
        <w:t>Energy</w:t>
      </w:r>
      <w:r w:rsidR="00C953B5">
        <w:t xml:space="preserve"> -</w:t>
      </w:r>
      <w:r w:rsidR="00B277A3">
        <w:t xml:space="preserve"> Energy calculatio</w:t>
      </w:r>
      <w:r w:rsidR="004F7B03">
        <w:t>ns for mass, fuel energy value</w:t>
      </w:r>
      <w:r w:rsidR="00B277A3">
        <w:t xml:space="preserve">, energy efficiency, and applying energy knowledge to calculate energy resources and constraints. </w:t>
      </w:r>
    </w:p>
    <w:p w14:paraId="523A0A41" w14:textId="6D7D1004" w:rsidR="00B277A3" w:rsidRDefault="00AC2C89" w:rsidP="00B277A3">
      <w:r w:rsidRPr="00C953B5">
        <w:t>• </w:t>
      </w:r>
      <w:r w:rsidR="00B277A3" w:rsidRPr="004E671D">
        <w:rPr>
          <w:u w:val="single"/>
        </w:rPr>
        <w:t>Water</w:t>
      </w:r>
      <w:r w:rsidR="00C953B5">
        <w:t xml:space="preserve"> -</w:t>
      </w:r>
      <w:r w:rsidR="00B277A3">
        <w:t xml:space="preserve"> Water mass balances, water needed for electricity generation; combined energy/water analysis for industrial systems. </w:t>
      </w:r>
    </w:p>
    <w:p w14:paraId="2EA206EE" w14:textId="241B6DE8" w:rsidR="00B277A3" w:rsidRDefault="00AC2C89" w:rsidP="00B277A3">
      <w:r>
        <w:t>• </w:t>
      </w:r>
      <w:r w:rsidR="00B277A3" w:rsidRPr="004E671D">
        <w:rPr>
          <w:u w:val="single"/>
        </w:rPr>
        <w:t xml:space="preserve">Greenhouse </w:t>
      </w:r>
      <w:r w:rsidR="00C953B5">
        <w:rPr>
          <w:u w:val="single"/>
        </w:rPr>
        <w:t>g</w:t>
      </w:r>
      <w:r w:rsidR="00B277A3" w:rsidRPr="004E671D">
        <w:rPr>
          <w:u w:val="single"/>
        </w:rPr>
        <w:t xml:space="preserve">as </w:t>
      </w:r>
      <w:r w:rsidR="00C953B5">
        <w:rPr>
          <w:u w:val="single"/>
        </w:rPr>
        <w:t>e</w:t>
      </w:r>
      <w:r w:rsidR="00B277A3" w:rsidRPr="004E671D">
        <w:rPr>
          <w:u w:val="single"/>
        </w:rPr>
        <w:t>missions</w:t>
      </w:r>
      <w:r w:rsidR="00C953B5">
        <w:t xml:space="preserve"> -</w:t>
      </w:r>
      <w:r w:rsidR="00B277A3">
        <w:t xml:space="preserve"> Greenhouse gas accounting, global warming potential calculations, and greenhouse gas emission inventories. </w:t>
      </w:r>
    </w:p>
    <w:p w14:paraId="640F0FFD" w14:textId="7455A5A9" w:rsidR="00B277A3" w:rsidRDefault="00AC2C89" w:rsidP="00B277A3">
      <w:r>
        <w:t>• </w:t>
      </w:r>
      <w:r w:rsidR="00C953B5">
        <w:rPr>
          <w:u w:val="single"/>
        </w:rPr>
        <w:t>Transportation e</w:t>
      </w:r>
      <w:r w:rsidR="00B277A3" w:rsidRPr="0043743F">
        <w:rPr>
          <w:u w:val="single"/>
        </w:rPr>
        <w:t>nergy</w:t>
      </w:r>
      <w:r w:rsidR="00C953B5">
        <w:t xml:space="preserve"> -</w:t>
      </w:r>
      <w:r w:rsidR="00B277A3">
        <w:t xml:space="preserve"> Energy use by transport mode. Supply chain energy use and environmental impacts. </w:t>
      </w:r>
    </w:p>
    <w:p w14:paraId="5ADECCAF" w14:textId="7FCC128A" w:rsidR="007B5B57" w:rsidRDefault="007B5B57" w:rsidP="00B277A3">
      <w:r>
        <w:t>• </w:t>
      </w:r>
      <w:r w:rsidRPr="00D961F4">
        <w:rPr>
          <w:u w:val="single"/>
        </w:rPr>
        <w:t>Electricity</w:t>
      </w:r>
      <w:r>
        <w:t xml:space="preserve"> </w:t>
      </w:r>
      <w:r w:rsidR="004F7B03">
        <w:t>–</w:t>
      </w:r>
      <w:r>
        <w:t xml:space="preserve"> </w:t>
      </w:r>
      <w:r w:rsidR="004F7B03">
        <w:t>Generation, transmissions, distribution.</w:t>
      </w:r>
    </w:p>
    <w:p w14:paraId="67CACEE1" w14:textId="4010C9AE" w:rsidR="006D4473" w:rsidRDefault="00AC2C89" w:rsidP="00B277A3">
      <w:r>
        <w:t>• </w:t>
      </w:r>
      <w:r w:rsidR="00562DC3">
        <w:rPr>
          <w:u w:val="single"/>
        </w:rPr>
        <w:t>Air Pollution</w:t>
      </w:r>
      <w:r w:rsidR="00C953B5">
        <w:t xml:space="preserve"> </w:t>
      </w:r>
      <w:r w:rsidR="00562DC3">
        <w:t>–</w:t>
      </w:r>
      <w:r w:rsidR="007B35D6" w:rsidRPr="00C953B5">
        <w:t xml:space="preserve"> </w:t>
      </w:r>
      <w:r w:rsidR="00562DC3" w:rsidRPr="00562DC3">
        <w:t>Human health impacts, monetization</w:t>
      </w:r>
      <w:r w:rsidR="006D4473">
        <w:t xml:space="preserve">. </w:t>
      </w:r>
    </w:p>
    <w:p w14:paraId="6A6F8D0A" w14:textId="77777777" w:rsidR="00B277A3" w:rsidRDefault="00B277A3" w:rsidP="00B277A3"/>
    <w:p w14:paraId="59DB6C9A" w14:textId="77777777" w:rsidR="00DF7070" w:rsidRPr="00E31DAB" w:rsidRDefault="00DF7070" w:rsidP="00DF7070">
      <w:pPr>
        <w:rPr>
          <w:b/>
        </w:rPr>
      </w:pPr>
      <w:r>
        <w:rPr>
          <w:b/>
        </w:rPr>
        <w:t>Grading</w:t>
      </w:r>
      <w:r w:rsidRPr="00E31DAB">
        <w:rPr>
          <w:b/>
        </w:rPr>
        <w:t>:</w:t>
      </w:r>
    </w:p>
    <w:p w14:paraId="51E23180" w14:textId="77777777" w:rsidR="00DF7070" w:rsidRDefault="00DF7070" w:rsidP="00DF7070">
      <w:r>
        <w:t xml:space="preserve">Homework – 10%. </w:t>
      </w:r>
      <w:r>
        <w:tab/>
        <w:t xml:space="preserve">Midterm 1 – 20%. </w:t>
      </w:r>
      <w:r>
        <w:tab/>
        <w:t xml:space="preserve">Midterm 2 – 20%. </w:t>
      </w:r>
      <w:r>
        <w:tab/>
        <w:t xml:space="preserve">Projects – 25%. </w:t>
      </w:r>
    </w:p>
    <w:p w14:paraId="6D91E85E" w14:textId="77777777" w:rsidR="00DF7070" w:rsidRPr="00C4454D" w:rsidRDefault="00DF7070" w:rsidP="00DF7070">
      <w:r>
        <w:t>Final Exam – 25%</w:t>
      </w:r>
    </w:p>
    <w:p w14:paraId="4B88D621" w14:textId="1118A37E" w:rsidR="00100897" w:rsidRDefault="00144EAF" w:rsidP="00BE781D">
      <w:pPr>
        <w:rPr>
          <w:b/>
        </w:rPr>
      </w:pPr>
      <w:r>
        <w:rPr>
          <w:b/>
        </w:rPr>
        <w:lastRenderedPageBreak/>
        <w:t xml:space="preserve">Sample </w:t>
      </w:r>
      <w:r w:rsidR="00100897">
        <w:rPr>
          <w:b/>
        </w:rPr>
        <w:t>Schedule</w:t>
      </w:r>
    </w:p>
    <w:tbl>
      <w:tblPr>
        <w:tblStyle w:val="TableGrid"/>
        <w:tblW w:w="0" w:type="auto"/>
        <w:tblLook w:val="04A0" w:firstRow="1" w:lastRow="0" w:firstColumn="1" w:lastColumn="0" w:noHBand="0" w:noVBand="1"/>
      </w:tblPr>
      <w:tblGrid>
        <w:gridCol w:w="2390"/>
        <w:gridCol w:w="6240"/>
      </w:tblGrid>
      <w:tr w:rsidR="00D961F4" w14:paraId="6162DDF9" w14:textId="77777777" w:rsidTr="00D961F4">
        <w:tc>
          <w:tcPr>
            <w:tcW w:w="2448" w:type="dxa"/>
          </w:tcPr>
          <w:p w14:paraId="75837BC5" w14:textId="77777777" w:rsidR="00D961F4" w:rsidRPr="00D961F4" w:rsidRDefault="00D961F4" w:rsidP="00BE781D"/>
        </w:tc>
        <w:tc>
          <w:tcPr>
            <w:tcW w:w="6408" w:type="dxa"/>
          </w:tcPr>
          <w:p w14:paraId="503020B0" w14:textId="77777777" w:rsidR="00D961F4" w:rsidRPr="00D961F4" w:rsidRDefault="00D961F4" w:rsidP="00BE781D"/>
        </w:tc>
      </w:tr>
      <w:tr w:rsidR="00D961F4" w14:paraId="02F57FD9" w14:textId="77777777" w:rsidTr="00D961F4">
        <w:tc>
          <w:tcPr>
            <w:tcW w:w="2448" w:type="dxa"/>
          </w:tcPr>
          <w:p w14:paraId="28EA71B9" w14:textId="21EE96D2" w:rsidR="00D961F4" w:rsidRPr="00D961F4" w:rsidRDefault="00D961F4" w:rsidP="00BE781D">
            <w:r w:rsidRPr="00D961F4">
              <w:t>Week 1</w:t>
            </w:r>
          </w:p>
        </w:tc>
        <w:tc>
          <w:tcPr>
            <w:tcW w:w="6408" w:type="dxa"/>
          </w:tcPr>
          <w:p w14:paraId="45199EFF" w14:textId="5C900396" w:rsidR="00D961F4" w:rsidRPr="00D961F4" w:rsidRDefault="00144EAF" w:rsidP="00BE781D">
            <w:r>
              <w:t>Efficiency</w:t>
            </w:r>
          </w:p>
        </w:tc>
      </w:tr>
      <w:tr w:rsidR="00D961F4" w14:paraId="24591C55" w14:textId="77777777" w:rsidTr="00D961F4">
        <w:trPr>
          <w:trHeight w:val="287"/>
        </w:trPr>
        <w:tc>
          <w:tcPr>
            <w:tcW w:w="2448" w:type="dxa"/>
          </w:tcPr>
          <w:p w14:paraId="1F3647D4" w14:textId="591CAD0F" w:rsidR="00D961F4" w:rsidRPr="00D961F4" w:rsidRDefault="00D961F4" w:rsidP="00BE781D">
            <w:r>
              <w:t>Week 2</w:t>
            </w:r>
          </w:p>
        </w:tc>
        <w:tc>
          <w:tcPr>
            <w:tcW w:w="6408" w:type="dxa"/>
          </w:tcPr>
          <w:p w14:paraId="006E5901" w14:textId="4A6A321D" w:rsidR="00D961F4" w:rsidRPr="00D961F4" w:rsidRDefault="00D961F4" w:rsidP="00BE781D">
            <w:r>
              <w:t>Energy</w:t>
            </w:r>
          </w:p>
        </w:tc>
      </w:tr>
      <w:tr w:rsidR="00D961F4" w14:paraId="3ACFF7DD" w14:textId="77777777" w:rsidTr="00D961F4">
        <w:tc>
          <w:tcPr>
            <w:tcW w:w="2448" w:type="dxa"/>
          </w:tcPr>
          <w:p w14:paraId="09A0BFBA" w14:textId="67116597" w:rsidR="00D961F4" w:rsidRPr="00D961F4" w:rsidRDefault="00D961F4" w:rsidP="00BE781D">
            <w:r>
              <w:t>Week 3</w:t>
            </w:r>
          </w:p>
        </w:tc>
        <w:tc>
          <w:tcPr>
            <w:tcW w:w="6408" w:type="dxa"/>
          </w:tcPr>
          <w:p w14:paraId="76E7EF30" w14:textId="217330A4" w:rsidR="00D961F4" w:rsidRPr="00D961F4" w:rsidRDefault="00D961F4" w:rsidP="00BE781D">
            <w:r>
              <w:t>Life Cycle Assessment</w:t>
            </w:r>
          </w:p>
        </w:tc>
      </w:tr>
      <w:tr w:rsidR="00D961F4" w14:paraId="361FA712" w14:textId="77777777" w:rsidTr="00D961F4">
        <w:tc>
          <w:tcPr>
            <w:tcW w:w="2448" w:type="dxa"/>
          </w:tcPr>
          <w:p w14:paraId="5764BF69" w14:textId="5B1DD4CD" w:rsidR="00D961F4" w:rsidRPr="00D961F4" w:rsidRDefault="00D961F4" w:rsidP="00BE781D">
            <w:r>
              <w:t>Week 4</w:t>
            </w:r>
          </w:p>
        </w:tc>
        <w:tc>
          <w:tcPr>
            <w:tcW w:w="6408" w:type="dxa"/>
          </w:tcPr>
          <w:p w14:paraId="4F100F16" w14:textId="2279926B" w:rsidR="00D961F4" w:rsidRPr="00D961F4" w:rsidRDefault="00D961F4" w:rsidP="00BE781D">
            <w:r>
              <w:t>Cost-Benefit Analysis</w:t>
            </w:r>
          </w:p>
        </w:tc>
      </w:tr>
      <w:tr w:rsidR="00D961F4" w14:paraId="7A64265C" w14:textId="77777777" w:rsidTr="00D961F4">
        <w:tc>
          <w:tcPr>
            <w:tcW w:w="2448" w:type="dxa"/>
          </w:tcPr>
          <w:p w14:paraId="77591C7A" w14:textId="2CF2D376" w:rsidR="00D961F4" w:rsidRPr="00D961F4" w:rsidRDefault="00D961F4" w:rsidP="00BE781D">
            <w:r>
              <w:t>Week 5</w:t>
            </w:r>
          </w:p>
        </w:tc>
        <w:tc>
          <w:tcPr>
            <w:tcW w:w="6408" w:type="dxa"/>
          </w:tcPr>
          <w:p w14:paraId="30A66457" w14:textId="2D23884A" w:rsidR="00D961F4" w:rsidRPr="00D961F4" w:rsidRDefault="00144EAF" w:rsidP="00144EAF">
            <w:r>
              <w:t xml:space="preserve">Material analysis; </w:t>
            </w:r>
            <w:r w:rsidR="00D961F4">
              <w:t>Midterm 1</w:t>
            </w:r>
          </w:p>
        </w:tc>
      </w:tr>
      <w:tr w:rsidR="00D961F4" w14:paraId="2077B26A" w14:textId="77777777" w:rsidTr="00D961F4">
        <w:tc>
          <w:tcPr>
            <w:tcW w:w="2448" w:type="dxa"/>
          </w:tcPr>
          <w:p w14:paraId="6F207F92" w14:textId="786B609E" w:rsidR="00D961F4" w:rsidRPr="00D961F4" w:rsidRDefault="00D961F4" w:rsidP="00BE781D">
            <w:r>
              <w:t>Week 6</w:t>
            </w:r>
          </w:p>
        </w:tc>
        <w:tc>
          <w:tcPr>
            <w:tcW w:w="6408" w:type="dxa"/>
          </w:tcPr>
          <w:p w14:paraId="4CCAF076" w14:textId="4A6676D2" w:rsidR="00D961F4" w:rsidRPr="00D961F4" w:rsidRDefault="00D961F4" w:rsidP="00BE781D">
            <w:r>
              <w:t>Greenhouse Gas Accounting</w:t>
            </w:r>
          </w:p>
        </w:tc>
      </w:tr>
      <w:tr w:rsidR="00D961F4" w14:paraId="24F5EE1B" w14:textId="77777777" w:rsidTr="00D961F4">
        <w:tc>
          <w:tcPr>
            <w:tcW w:w="2448" w:type="dxa"/>
          </w:tcPr>
          <w:p w14:paraId="2B04544A" w14:textId="57E94602" w:rsidR="00D961F4" w:rsidRPr="00D961F4" w:rsidRDefault="00D961F4" w:rsidP="00BE781D">
            <w:r>
              <w:t xml:space="preserve">Week 7 </w:t>
            </w:r>
          </w:p>
        </w:tc>
        <w:tc>
          <w:tcPr>
            <w:tcW w:w="6408" w:type="dxa"/>
          </w:tcPr>
          <w:p w14:paraId="6022752B" w14:textId="1EE1DF86" w:rsidR="00D961F4" w:rsidRPr="00D961F4" w:rsidRDefault="00D961F4" w:rsidP="00BE781D">
            <w:r>
              <w:t>Economic</w:t>
            </w:r>
            <w:r w:rsidR="00144EAF">
              <w:t xml:space="preserve"> Input Output Life Cycle Assessment</w:t>
            </w:r>
          </w:p>
        </w:tc>
      </w:tr>
      <w:tr w:rsidR="00D961F4" w14:paraId="6CD114F2" w14:textId="77777777" w:rsidTr="00D961F4">
        <w:tc>
          <w:tcPr>
            <w:tcW w:w="2448" w:type="dxa"/>
          </w:tcPr>
          <w:p w14:paraId="09BC427A" w14:textId="5A637BDB" w:rsidR="00D961F4" w:rsidRPr="00D961F4" w:rsidRDefault="00D961F4" w:rsidP="00BE781D">
            <w:r>
              <w:t>Week 8</w:t>
            </w:r>
          </w:p>
        </w:tc>
        <w:tc>
          <w:tcPr>
            <w:tcW w:w="6408" w:type="dxa"/>
          </w:tcPr>
          <w:p w14:paraId="164EEC6F" w14:textId="4D4B40AB" w:rsidR="00D961F4" w:rsidRPr="00D961F4" w:rsidRDefault="00D961F4" w:rsidP="00D961F4">
            <w:r>
              <w:t>Energy, Efficiency and Sustainability in Freight Transport</w:t>
            </w:r>
          </w:p>
        </w:tc>
      </w:tr>
      <w:tr w:rsidR="00D961F4" w14:paraId="1EA6E51F" w14:textId="77777777" w:rsidTr="00D961F4">
        <w:tc>
          <w:tcPr>
            <w:tcW w:w="2448" w:type="dxa"/>
          </w:tcPr>
          <w:p w14:paraId="2C1D71B7" w14:textId="3C4C1194" w:rsidR="00D961F4" w:rsidRPr="00D961F4" w:rsidRDefault="00D961F4" w:rsidP="00BE781D">
            <w:r>
              <w:t>Week 9</w:t>
            </w:r>
          </w:p>
        </w:tc>
        <w:tc>
          <w:tcPr>
            <w:tcW w:w="6408" w:type="dxa"/>
          </w:tcPr>
          <w:p w14:paraId="00A03F3E" w14:textId="04CEFD06" w:rsidR="00D961F4" w:rsidRPr="00D961F4" w:rsidRDefault="00144EAF" w:rsidP="00BE781D">
            <w:r>
              <w:t xml:space="preserve">Electricity; </w:t>
            </w:r>
            <w:r w:rsidR="00D961F4">
              <w:t>Water</w:t>
            </w:r>
          </w:p>
        </w:tc>
      </w:tr>
      <w:tr w:rsidR="00D961F4" w14:paraId="795617E6" w14:textId="77777777" w:rsidTr="00D961F4">
        <w:tc>
          <w:tcPr>
            <w:tcW w:w="2448" w:type="dxa"/>
          </w:tcPr>
          <w:p w14:paraId="03B0A790" w14:textId="2CA4E1F9" w:rsidR="00D961F4" w:rsidRPr="00D961F4" w:rsidRDefault="00D961F4" w:rsidP="00BE781D">
            <w:r>
              <w:t>Week 10</w:t>
            </w:r>
          </w:p>
        </w:tc>
        <w:tc>
          <w:tcPr>
            <w:tcW w:w="6408" w:type="dxa"/>
          </w:tcPr>
          <w:p w14:paraId="2B19015D" w14:textId="6009275B" w:rsidR="00D961F4" w:rsidRPr="00D961F4" w:rsidRDefault="00D961F4" w:rsidP="00BE781D">
            <w:proofErr w:type="spellStart"/>
            <w:r>
              <w:t>Levelized</w:t>
            </w:r>
            <w:proofErr w:type="spellEnd"/>
            <w:r>
              <w:t xml:space="preserve"> Costs, Midterm 2</w:t>
            </w:r>
          </w:p>
        </w:tc>
      </w:tr>
      <w:tr w:rsidR="00D961F4" w14:paraId="10D6DCE5" w14:textId="77777777" w:rsidTr="00D961F4">
        <w:tc>
          <w:tcPr>
            <w:tcW w:w="2448" w:type="dxa"/>
          </w:tcPr>
          <w:p w14:paraId="76DFC335" w14:textId="137CF441" w:rsidR="00D961F4" w:rsidRPr="00D961F4" w:rsidRDefault="00D961F4" w:rsidP="00BE781D">
            <w:r>
              <w:t>Week 11</w:t>
            </w:r>
          </w:p>
        </w:tc>
        <w:tc>
          <w:tcPr>
            <w:tcW w:w="6408" w:type="dxa"/>
          </w:tcPr>
          <w:p w14:paraId="0150B906" w14:textId="55F3CB66" w:rsidR="00D961F4" w:rsidRPr="00D961F4" w:rsidRDefault="00D961F4" w:rsidP="00BE781D">
            <w:r>
              <w:t>Metrics of Impact</w:t>
            </w:r>
            <w:r w:rsidR="00144EAF">
              <w:t>; Impact Assessment</w:t>
            </w:r>
          </w:p>
        </w:tc>
      </w:tr>
      <w:tr w:rsidR="00D961F4" w14:paraId="24A7478F" w14:textId="77777777" w:rsidTr="00D961F4">
        <w:tc>
          <w:tcPr>
            <w:tcW w:w="2448" w:type="dxa"/>
          </w:tcPr>
          <w:p w14:paraId="1DE4FC22" w14:textId="2141EB7D" w:rsidR="00D961F4" w:rsidRPr="00D961F4" w:rsidRDefault="00144EAF" w:rsidP="00BE781D">
            <w:r>
              <w:t>Week 12</w:t>
            </w:r>
          </w:p>
        </w:tc>
        <w:tc>
          <w:tcPr>
            <w:tcW w:w="6408" w:type="dxa"/>
          </w:tcPr>
          <w:p w14:paraId="74A97981" w14:textId="1B1DBBEA" w:rsidR="00D961F4" w:rsidRPr="00D961F4" w:rsidRDefault="00144EAF" w:rsidP="00144EAF">
            <w:r>
              <w:t>Box Models</w:t>
            </w:r>
          </w:p>
        </w:tc>
      </w:tr>
      <w:tr w:rsidR="00D961F4" w14:paraId="1FF8AC16" w14:textId="77777777" w:rsidTr="00D961F4">
        <w:tc>
          <w:tcPr>
            <w:tcW w:w="2448" w:type="dxa"/>
          </w:tcPr>
          <w:p w14:paraId="4070F438" w14:textId="7362F3CC" w:rsidR="00D961F4" w:rsidRPr="00D961F4" w:rsidRDefault="00144EAF" w:rsidP="00BE781D">
            <w:r>
              <w:t>Week 13</w:t>
            </w:r>
          </w:p>
        </w:tc>
        <w:tc>
          <w:tcPr>
            <w:tcW w:w="6408" w:type="dxa"/>
          </w:tcPr>
          <w:p w14:paraId="4855D5D2" w14:textId="4E40476B" w:rsidR="00D961F4" w:rsidRPr="00D961F4" w:rsidRDefault="00144EAF" w:rsidP="00BE781D">
            <w:r>
              <w:t>Air Pollution; Monetization of Impacts</w:t>
            </w:r>
          </w:p>
        </w:tc>
      </w:tr>
      <w:tr w:rsidR="00144EAF" w14:paraId="68EF7AFD" w14:textId="77777777" w:rsidTr="00D961F4">
        <w:tc>
          <w:tcPr>
            <w:tcW w:w="2448" w:type="dxa"/>
          </w:tcPr>
          <w:p w14:paraId="50D82598" w14:textId="5EBEBC2C" w:rsidR="00144EAF" w:rsidRPr="00D961F4" w:rsidRDefault="00144EAF" w:rsidP="00BE781D">
            <w:r>
              <w:t>Week 14</w:t>
            </w:r>
          </w:p>
        </w:tc>
        <w:tc>
          <w:tcPr>
            <w:tcW w:w="6408" w:type="dxa"/>
          </w:tcPr>
          <w:p w14:paraId="0F271223" w14:textId="4D290AD8" w:rsidR="00144EAF" w:rsidRPr="00D961F4" w:rsidRDefault="00144EAF" w:rsidP="00144EAF">
            <w:r>
              <w:t>Sustainability in Product Supply Chains</w:t>
            </w:r>
          </w:p>
        </w:tc>
      </w:tr>
      <w:tr w:rsidR="00144EAF" w14:paraId="6F7EED4F" w14:textId="77777777" w:rsidTr="00D961F4">
        <w:tc>
          <w:tcPr>
            <w:tcW w:w="2448" w:type="dxa"/>
          </w:tcPr>
          <w:p w14:paraId="464E378B" w14:textId="0D170DC0" w:rsidR="00144EAF" w:rsidRPr="00D961F4" w:rsidRDefault="00144EAF" w:rsidP="00BE781D">
            <w:r>
              <w:t>Week 15</w:t>
            </w:r>
          </w:p>
        </w:tc>
        <w:tc>
          <w:tcPr>
            <w:tcW w:w="6408" w:type="dxa"/>
          </w:tcPr>
          <w:p w14:paraId="41B59E19" w14:textId="4877457B" w:rsidR="00144EAF" w:rsidRPr="00D961F4" w:rsidRDefault="00144EAF" w:rsidP="00BE781D">
            <w:r>
              <w:t>Project Presentations</w:t>
            </w:r>
          </w:p>
        </w:tc>
      </w:tr>
      <w:tr w:rsidR="00144EAF" w14:paraId="0F716AB3" w14:textId="77777777" w:rsidTr="00D961F4">
        <w:tc>
          <w:tcPr>
            <w:tcW w:w="2448" w:type="dxa"/>
          </w:tcPr>
          <w:p w14:paraId="0C75C52E" w14:textId="22B16B82" w:rsidR="00144EAF" w:rsidRPr="00D961F4" w:rsidRDefault="00144EAF" w:rsidP="00BE781D">
            <w:r>
              <w:t>Week 16</w:t>
            </w:r>
          </w:p>
        </w:tc>
        <w:tc>
          <w:tcPr>
            <w:tcW w:w="6408" w:type="dxa"/>
          </w:tcPr>
          <w:p w14:paraId="1D1A27B1" w14:textId="3A91DBE2" w:rsidR="00144EAF" w:rsidRPr="00D961F4" w:rsidRDefault="00144EAF" w:rsidP="00BE781D">
            <w:r>
              <w:t>Integrated Assessment Models</w:t>
            </w:r>
          </w:p>
        </w:tc>
      </w:tr>
    </w:tbl>
    <w:p w14:paraId="138F578D" w14:textId="77777777" w:rsidR="00100897" w:rsidRDefault="00100897" w:rsidP="00BE781D">
      <w:pPr>
        <w:rPr>
          <w:b/>
        </w:rPr>
      </w:pPr>
    </w:p>
    <w:p w14:paraId="7A020C2C" w14:textId="77777777" w:rsidR="009335C4" w:rsidRDefault="009335C4">
      <w:pPr>
        <w:rPr>
          <w:b/>
          <w:sz w:val="22"/>
          <w:szCs w:val="22"/>
        </w:rPr>
      </w:pPr>
      <w:r>
        <w:rPr>
          <w:b/>
          <w:sz w:val="22"/>
          <w:szCs w:val="22"/>
        </w:rPr>
        <w:t>Attendance</w:t>
      </w:r>
    </w:p>
    <w:p w14:paraId="6E41D564" w14:textId="4AD704FA" w:rsidR="009335C4" w:rsidRDefault="009335C4">
      <w:r>
        <w:t xml:space="preserve">The only acceptable excuses are the Institute Approved Absences </w:t>
      </w:r>
      <w:hyperlink r:id="rId7" w:history="1">
        <w:r w:rsidRPr="008F264F">
          <w:rPr>
            <w:rStyle w:val="Hyperlink"/>
          </w:rPr>
          <w:t>http://www.registrar.gatech.edu/students/formlanding/iaabsences.phpor</w:t>
        </w:r>
      </w:hyperlink>
      <w:r>
        <w:t xml:space="preserve">, or from Dean’s Office. </w:t>
      </w:r>
    </w:p>
    <w:p w14:paraId="35E6DA8A" w14:textId="0B4B6621" w:rsidR="00772C12" w:rsidRDefault="00772C12">
      <w:r>
        <w:t xml:space="preserve">See the catalog for the Institute Absence Policy: </w:t>
      </w:r>
      <w:r w:rsidRPr="00772C12">
        <w:t>http://www.catalog.gatech.edu/rules/4/</w:t>
      </w:r>
    </w:p>
    <w:p w14:paraId="33FD3916" w14:textId="77777777" w:rsidR="009335C4" w:rsidRDefault="009335C4">
      <w:pPr>
        <w:rPr>
          <w:b/>
          <w:sz w:val="22"/>
          <w:szCs w:val="22"/>
        </w:rPr>
      </w:pPr>
    </w:p>
    <w:p w14:paraId="764BF935" w14:textId="77777777" w:rsidR="009335C4" w:rsidRDefault="009335C4">
      <w:pPr>
        <w:rPr>
          <w:b/>
          <w:sz w:val="22"/>
          <w:szCs w:val="22"/>
        </w:rPr>
      </w:pPr>
      <w:r>
        <w:rPr>
          <w:b/>
          <w:sz w:val="22"/>
          <w:szCs w:val="22"/>
        </w:rPr>
        <w:t>Rules</w:t>
      </w:r>
    </w:p>
    <w:p w14:paraId="5B96C1AC" w14:textId="77777777" w:rsidR="009335C4" w:rsidRDefault="009335C4" w:rsidP="009335C4">
      <w:pPr>
        <w:pStyle w:val="ListParagraph"/>
        <w:numPr>
          <w:ilvl w:val="0"/>
          <w:numId w:val="3"/>
        </w:numPr>
      </w:pPr>
      <w:r>
        <w:t xml:space="preserve">Honor Code: </w:t>
      </w:r>
      <w:hyperlink r:id="rId8" w:history="1">
        <w:r w:rsidRPr="008F264F">
          <w:rPr>
            <w:rStyle w:val="Hyperlink"/>
          </w:rPr>
          <w:t>http://www.policylibrary.gatech.edu/student-affairs/academic-honor-code</w:t>
        </w:r>
      </w:hyperlink>
      <w:r>
        <w:t xml:space="preserve"> </w:t>
      </w:r>
    </w:p>
    <w:p w14:paraId="4190C1AB" w14:textId="77777777" w:rsidR="009335C4" w:rsidRDefault="009335C4" w:rsidP="009335C4">
      <w:pPr>
        <w:pStyle w:val="ListParagraph"/>
        <w:numPr>
          <w:ilvl w:val="0"/>
          <w:numId w:val="3"/>
        </w:numPr>
      </w:pPr>
      <w:r>
        <w:t xml:space="preserve">Student-Faculty Expectations: </w:t>
      </w:r>
      <w:hyperlink r:id="rId9" w:history="1">
        <w:r w:rsidRPr="008F264F">
          <w:rPr>
            <w:rStyle w:val="Hyperlink"/>
          </w:rPr>
          <w:t>http://www.catalog.gatech.edu/rules/22/</w:t>
        </w:r>
      </w:hyperlink>
    </w:p>
    <w:p w14:paraId="6962A352" w14:textId="6699B26A" w:rsidR="009335C4" w:rsidRDefault="009335C4" w:rsidP="009335C4">
      <w:pPr>
        <w:pStyle w:val="ListParagraph"/>
        <w:numPr>
          <w:ilvl w:val="0"/>
          <w:numId w:val="3"/>
        </w:numPr>
      </w:pPr>
      <w:r>
        <w:t xml:space="preserve">If you have GT approved official excuse </w:t>
      </w:r>
      <w:hyperlink r:id="rId10" w:history="1">
        <w:r w:rsidRPr="008F264F">
          <w:rPr>
            <w:rStyle w:val="Hyperlink"/>
          </w:rPr>
          <w:t>http://www.registrar.gatech.edu/students/formlanding/iaabsences.phpor</w:t>
        </w:r>
      </w:hyperlink>
      <w:r>
        <w:t xml:space="preserve"> or excuse from Dean’s office for </w:t>
      </w:r>
      <w:r w:rsidR="00EF270E">
        <w:t xml:space="preserve">assignments, </w:t>
      </w:r>
      <w:r>
        <w:t>test</w:t>
      </w:r>
      <w:r w:rsidR="00EF270E">
        <w:t>s</w:t>
      </w:r>
      <w:r>
        <w:t xml:space="preserve"> or presentation</w:t>
      </w:r>
      <w:r w:rsidR="00EF270E">
        <w:t>s</w:t>
      </w:r>
      <w:r>
        <w:t xml:space="preserve">, you must arrange for the resolutions with the instructor before the test. </w:t>
      </w:r>
    </w:p>
    <w:p w14:paraId="315E6FB7" w14:textId="7D1FEAF0" w:rsidR="00772C12" w:rsidRDefault="00772C12" w:rsidP="00772C12">
      <w:pPr>
        <w:rPr>
          <w:b/>
        </w:rPr>
      </w:pPr>
      <w:r w:rsidRPr="00772C12">
        <w:rPr>
          <w:b/>
        </w:rPr>
        <w:t>Other</w:t>
      </w:r>
    </w:p>
    <w:p w14:paraId="4C84EA8E" w14:textId="4CC37FFD" w:rsidR="00772C12" w:rsidRPr="00772C12" w:rsidRDefault="00772C12" w:rsidP="00772C12">
      <w:pPr>
        <w:rPr>
          <w:b/>
        </w:rPr>
      </w:pPr>
      <w:r>
        <w:t xml:space="preserve">Georgia Tech values diversity and inclusion; we are committed to a climate of mutual respect and full participation. Our goal is to create learning environments that are usable, equitable, inclusive and welcoming. If there are aspects of the instruction or design of this course that result in barriers to your inclusion or accurate assessment or achievement, please notify the instructor as soon as possible. Students with disabilities should contact the Office of Disability Services to discuss options of removing barriers in this course, including accommodations. ODS can be reached at 404.894.2563, </w:t>
      </w:r>
      <w:hyperlink r:id="rId11" w:history="1">
        <w:r>
          <w:rPr>
            <w:rStyle w:val="Hyperlink"/>
          </w:rPr>
          <w:t>dsinfo@gatech.edu</w:t>
        </w:r>
      </w:hyperlink>
      <w:r>
        <w:t>, or disabilityservices.gatech.edu </w:t>
      </w:r>
      <w:bookmarkStart w:id="0" w:name="_GoBack"/>
      <w:bookmarkEnd w:id="0"/>
    </w:p>
    <w:p w14:paraId="6B1E1BDD" w14:textId="77777777" w:rsidR="00772C12" w:rsidRDefault="00772C12" w:rsidP="00772C12"/>
    <w:p w14:paraId="5058CCBE" w14:textId="777FA0E2" w:rsidR="00DF7070" w:rsidRDefault="00DF7070">
      <w:pPr>
        <w:rPr>
          <w:b/>
          <w:sz w:val="22"/>
          <w:szCs w:val="22"/>
        </w:rPr>
      </w:pPr>
      <w:r>
        <w:rPr>
          <w:b/>
          <w:sz w:val="22"/>
          <w:szCs w:val="22"/>
        </w:rPr>
        <w:br w:type="page"/>
      </w:r>
    </w:p>
    <w:p w14:paraId="46A823D2" w14:textId="02249445" w:rsidR="00B95A00" w:rsidRPr="00DF7070" w:rsidRDefault="00DF7070">
      <w:pPr>
        <w:rPr>
          <w:b/>
          <w:sz w:val="22"/>
          <w:szCs w:val="22"/>
        </w:rPr>
      </w:pPr>
      <w:r>
        <w:rPr>
          <w:b/>
          <w:sz w:val="22"/>
          <w:szCs w:val="22"/>
        </w:rPr>
        <w:lastRenderedPageBreak/>
        <w:t>Student Outcome Assessment Plan</w:t>
      </w:r>
    </w:p>
    <w:p w14:paraId="191EF1CE" w14:textId="77777777" w:rsidR="00DF7070" w:rsidRDefault="00DF7070">
      <w:pPr>
        <w:rPr>
          <w:b/>
          <w:sz w:val="22"/>
          <w:szCs w:val="22"/>
        </w:rPr>
      </w:pPr>
    </w:p>
    <w:tbl>
      <w:tblPr>
        <w:tblW w:w="9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670"/>
        <w:gridCol w:w="1090"/>
        <w:gridCol w:w="576"/>
        <w:gridCol w:w="1444"/>
        <w:gridCol w:w="1152"/>
        <w:gridCol w:w="1176"/>
        <w:gridCol w:w="1019"/>
      </w:tblGrid>
      <w:tr w:rsidR="001D05ED" w:rsidRPr="00C63FE0" w14:paraId="16C3C6B8" w14:textId="77777777" w:rsidTr="00DF7070">
        <w:trPr>
          <w:cantSplit/>
          <w:trHeight w:val="3725"/>
          <w:jc w:val="center"/>
        </w:trPr>
        <w:tc>
          <w:tcPr>
            <w:tcW w:w="2695"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7E193D2" w14:textId="77777777" w:rsidR="001D05ED" w:rsidRPr="002A28D8" w:rsidRDefault="001D05ED" w:rsidP="00B54F23">
            <w:pPr>
              <w:autoSpaceDE w:val="0"/>
              <w:autoSpaceDN w:val="0"/>
              <w:adjustRightInd w:val="0"/>
              <w:jc w:val="center"/>
              <w:rPr>
                <w:b/>
              </w:rPr>
            </w:pPr>
            <w:r>
              <w:rPr>
                <w:b/>
              </w:rPr>
              <w:t>Course outcome \ Program Outcomes</w:t>
            </w:r>
          </w:p>
        </w:tc>
        <w:tc>
          <w:tcPr>
            <w:tcW w:w="670" w:type="dxa"/>
            <w:tcBorders>
              <w:top w:val="single" w:sz="4" w:space="0" w:color="auto"/>
              <w:left w:val="single" w:sz="4" w:space="0" w:color="auto"/>
              <w:bottom w:val="single" w:sz="4" w:space="0" w:color="auto"/>
              <w:right w:val="single" w:sz="4" w:space="0" w:color="auto"/>
            </w:tcBorders>
            <w:tcMar>
              <w:left w:w="29" w:type="dxa"/>
              <w:right w:w="29" w:type="dxa"/>
            </w:tcMar>
            <w:textDirection w:val="btLr"/>
            <w:vAlign w:val="center"/>
          </w:tcPr>
          <w:p w14:paraId="63F0C0C5" w14:textId="4AB16BCA" w:rsidR="001D05ED" w:rsidRPr="00F766F0" w:rsidRDefault="001D05ED" w:rsidP="001D05ED">
            <w:pPr>
              <w:ind w:left="113" w:right="113"/>
              <w:rPr>
                <w:b/>
                <w:color w:val="000000"/>
              </w:rPr>
            </w:pPr>
            <w:r>
              <w:rPr>
                <w:b/>
                <w:color w:val="000000"/>
              </w:rPr>
              <w:t xml:space="preserve">1. identify, formulate solve </w:t>
            </w:r>
            <w:proofErr w:type="spellStart"/>
            <w:r>
              <w:rPr>
                <w:b/>
                <w:color w:val="000000"/>
              </w:rPr>
              <w:t>engg</w:t>
            </w:r>
            <w:proofErr w:type="spellEnd"/>
            <w:r>
              <w:rPr>
                <w:b/>
                <w:color w:val="000000"/>
              </w:rPr>
              <w:t xml:space="preserve"> </w:t>
            </w:r>
            <w:proofErr w:type="spellStart"/>
            <w:r>
              <w:rPr>
                <w:b/>
                <w:color w:val="000000"/>
              </w:rPr>
              <w:t>prob</w:t>
            </w:r>
            <w:proofErr w:type="spellEnd"/>
            <w:r>
              <w:rPr>
                <w:b/>
                <w:color w:val="000000"/>
              </w:rPr>
              <w:t xml:space="preserve"> by </w:t>
            </w:r>
            <w:proofErr w:type="spellStart"/>
            <w:r>
              <w:rPr>
                <w:b/>
                <w:color w:val="000000"/>
              </w:rPr>
              <w:t>engg</w:t>
            </w:r>
            <w:proofErr w:type="spellEnd"/>
            <w:r>
              <w:rPr>
                <w:b/>
                <w:color w:val="000000"/>
              </w:rPr>
              <w:t xml:space="preserve">, </w:t>
            </w:r>
            <w:proofErr w:type="spellStart"/>
            <w:r>
              <w:rPr>
                <w:b/>
                <w:color w:val="000000"/>
              </w:rPr>
              <w:t>sci</w:t>
            </w:r>
            <w:proofErr w:type="spellEnd"/>
            <w:r>
              <w:rPr>
                <w:b/>
                <w:color w:val="000000"/>
              </w:rPr>
              <w:t xml:space="preserve"> &amp; Math</w:t>
            </w:r>
          </w:p>
        </w:tc>
        <w:tc>
          <w:tcPr>
            <w:tcW w:w="1090" w:type="dxa"/>
            <w:tcBorders>
              <w:top w:val="single" w:sz="4" w:space="0" w:color="auto"/>
              <w:left w:val="single" w:sz="4" w:space="0" w:color="auto"/>
              <w:bottom w:val="single" w:sz="4" w:space="0" w:color="auto"/>
              <w:right w:val="single" w:sz="4" w:space="0" w:color="auto"/>
            </w:tcBorders>
            <w:tcMar>
              <w:left w:w="29" w:type="dxa"/>
              <w:right w:w="29" w:type="dxa"/>
            </w:tcMar>
            <w:textDirection w:val="btLr"/>
            <w:vAlign w:val="center"/>
          </w:tcPr>
          <w:p w14:paraId="26202B79" w14:textId="55F9BF08" w:rsidR="001D05ED" w:rsidRPr="00C63FE0" w:rsidRDefault="001D05ED" w:rsidP="001D05ED">
            <w:pPr>
              <w:ind w:left="113" w:right="113"/>
              <w:rPr>
                <w:b/>
              </w:rPr>
            </w:pPr>
            <w:r>
              <w:rPr>
                <w:b/>
              </w:rPr>
              <w:t>2. produce solutions consider public health, safety, welfare, global, cultural, social, environ &amp; economic</w:t>
            </w:r>
          </w:p>
        </w:tc>
        <w:tc>
          <w:tcPr>
            <w:tcW w:w="576" w:type="dxa"/>
            <w:tcBorders>
              <w:top w:val="single" w:sz="4" w:space="0" w:color="auto"/>
              <w:left w:val="single" w:sz="4" w:space="0" w:color="auto"/>
              <w:bottom w:val="single" w:sz="4" w:space="0" w:color="auto"/>
              <w:right w:val="single" w:sz="4" w:space="0" w:color="auto"/>
            </w:tcBorders>
            <w:tcMar>
              <w:left w:w="29" w:type="dxa"/>
              <w:right w:w="29" w:type="dxa"/>
            </w:tcMar>
            <w:textDirection w:val="btLr"/>
            <w:vAlign w:val="center"/>
          </w:tcPr>
          <w:p w14:paraId="3B3075A2" w14:textId="67116876" w:rsidR="001D05ED" w:rsidRPr="00C63FE0" w:rsidRDefault="001D05ED" w:rsidP="00B54F23">
            <w:pPr>
              <w:ind w:left="113" w:right="113"/>
              <w:rPr>
                <w:b/>
              </w:rPr>
            </w:pPr>
            <w:r>
              <w:rPr>
                <w:b/>
              </w:rPr>
              <w:t xml:space="preserve">3 </w:t>
            </w:r>
            <w:r w:rsidR="00C27C37">
              <w:rPr>
                <w:b/>
              </w:rPr>
              <w:t>communicate with a range of audience</w:t>
            </w:r>
          </w:p>
        </w:tc>
        <w:tc>
          <w:tcPr>
            <w:tcW w:w="1444" w:type="dxa"/>
            <w:tcBorders>
              <w:top w:val="single" w:sz="4" w:space="0" w:color="auto"/>
              <w:left w:val="single" w:sz="4" w:space="0" w:color="auto"/>
              <w:bottom w:val="single" w:sz="4" w:space="0" w:color="auto"/>
              <w:right w:val="single" w:sz="4" w:space="0" w:color="auto"/>
            </w:tcBorders>
            <w:tcMar>
              <w:left w:w="29" w:type="dxa"/>
              <w:right w:w="29" w:type="dxa"/>
            </w:tcMar>
            <w:textDirection w:val="btLr"/>
            <w:vAlign w:val="center"/>
          </w:tcPr>
          <w:p w14:paraId="4D1D95ED" w14:textId="035F82AB" w:rsidR="001D05ED" w:rsidRPr="00C63FE0" w:rsidRDefault="00C27C37" w:rsidP="00DF7070">
            <w:pPr>
              <w:ind w:left="113" w:right="113"/>
              <w:rPr>
                <w:b/>
              </w:rPr>
            </w:pPr>
            <w:r>
              <w:rPr>
                <w:b/>
              </w:rPr>
              <w:t xml:space="preserve">4 recognize ethical &amp; professional responsibilities, make informed judgement consider resolutions in </w:t>
            </w:r>
            <w:r w:rsidR="00DF7070">
              <w:rPr>
                <w:b/>
              </w:rPr>
              <w:t>global</w:t>
            </w:r>
            <w:r>
              <w:rPr>
                <w:b/>
              </w:rPr>
              <w:t>, economic, environ and societal cont</w:t>
            </w:r>
            <w:r w:rsidR="00DF7070">
              <w:rPr>
                <w:b/>
              </w:rPr>
              <w:t>e</w:t>
            </w:r>
            <w:r>
              <w:rPr>
                <w:b/>
              </w:rPr>
              <w:t xml:space="preserve">xt. </w:t>
            </w:r>
          </w:p>
        </w:tc>
        <w:tc>
          <w:tcPr>
            <w:tcW w:w="1152" w:type="dxa"/>
            <w:tcBorders>
              <w:top w:val="single" w:sz="4" w:space="0" w:color="auto"/>
              <w:left w:val="single" w:sz="4" w:space="0" w:color="auto"/>
              <w:bottom w:val="single" w:sz="4" w:space="0" w:color="auto"/>
              <w:right w:val="single" w:sz="4" w:space="0" w:color="auto"/>
            </w:tcBorders>
            <w:tcMar>
              <w:left w:w="29" w:type="dxa"/>
              <w:right w:w="29" w:type="dxa"/>
            </w:tcMar>
            <w:textDirection w:val="btLr"/>
            <w:vAlign w:val="center"/>
          </w:tcPr>
          <w:p w14:paraId="030D8948" w14:textId="0E93D5D8" w:rsidR="001D05ED" w:rsidRPr="00C63FE0" w:rsidRDefault="00C27C37" w:rsidP="00C27C37">
            <w:pPr>
              <w:ind w:left="113" w:right="113"/>
              <w:rPr>
                <w:b/>
              </w:rPr>
            </w:pPr>
            <w:r>
              <w:rPr>
                <w:b/>
              </w:rPr>
              <w:t xml:space="preserve">5. effective on a team provide leadership, collaborative and inclusive </w:t>
            </w:r>
            <w:proofErr w:type="spellStart"/>
            <w:r>
              <w:rPr>
                <w:b/>
              </w:rPr>
              <w:t>envirn</w:t>
            </w:r>
            <w:proofErr w:type="spellEnd"/>
            <w:r>
              <w:rPr>
                <w:b/>
              </w:rPr>
              <w:t>, plan tasks &amp; meet objectives</w:t>
            </w:r>
          </w:p>
        </w:tc>
        <w:tc>
          <w:tcPr>
            <w:tcW w:w="1176" w:type="dxa"/>
            <w:tcBorders>
              <w:top w:val="single" w:sz="4" w:space="0" w:color="auto"/>
              <w:left w:val="single" w:sz="4" w:space="0" w:color="auto"/>
              <w:bottom w:val="single" w:sz="4" w:space="0" w:color="auto"/>
              <w:right w:val="single" w:sz="4" w:space="0" w:color="auto"/>
            </w:tcBorders>
            <w:tcMar>
              <w:left w:w="29" w:type="dxa"/>
              <w:right w:w="29" w:type="dxa"/>
            </w:tcMar>
            <w:textDirection w:val="btLr"/>
            <w:vAlign w:val="center"/>
          </w:tcPr>
          <w:p w14:paraId="39583D03" w14:textId="4EFBE6FD" w:rsidR="001D05ED" w:rsidRPr="00C63FE0" w:rsidRDefault="00C27C37" w:rsidP="00C27C37">
            <w:pPr>
              <w:ind w:left="113" w:right="113"/>
              <w:rPr>
                <w:b/>
              </w:rPr>
            </w:pPr>
            <w:r>
              <w:rPr>
                <w:b/>
              </w:rPr>
              <w:t xml:space="preserve">6. </w:t>
            </w:r>
            <w:proofErr w:type="gramStart"/>
            <w:r>
              <w:rPr>
                <w:b/>
              </w:rPr>
              <w:t>develop</w:t>
            </w:r>
            <w:proofErr w:type="gramEnd"/>
            <w:r>
              <w:rPr>
                <w:b/>
              </w:rPr>
              <w:t xml:space="preserve"> and conduct  experiment, analyze and interpret data &amp; use engineering judgement to draw conclusions.</w:t>
            </w:r>
          </w:p>
        </w:tc>
        <w:tc>
          <w:tcPr>
            <w:tcW w:w="1019" w:type="dxa"/>
            <w:tcBorders>
              <w:top w:val="single" w:sz="4" w:space="0" w:color="auto"/>
              <w:left w:val="single" w:sz="4" w:space="0" w:color="auto"/>
              <w:bottom w:val="single" w:sz="4" w:space="0" w:color="auto"/>
              <w:right w:val="single" w:sz="4" w:space="0" w:color="auto"/>
            </w:tcBorders>
            <w:tcMar>
              <w:left w:w="29" w:type="dxa"/>
              <w:right w:w="29" w:type="dxa"/>
            </w:tcMar>
            <w:textDirection w:val="btLr"/>
            <w:vAlign w:val="center"/>
          </w:tcPr>
          <w:p w14:paraId="09297C3B" w14:textId="4C214DFA" w:rsidR="001D05ED" w:rsidRPr="00C63FE0" w:rsidRDefault="00C27C37" w:rsidP="00B54F23">
            <w:pPr>
              <w:ind w:left="113" w:right="113"/>
              <w:rPr>
                <w:b/>
                <w:color w:val="000000"/>
              </w:rPr>
            </w:pPr>
            <w:r>
              <w:rPr>
                <w:b/>
                <w:color w:val="000000"/>
              </w:rPr>
              <w:t>7. acquire and apply new knowledge  using appropriate learning strategies</w:t>
            </w:r>
          </w:p>
        </w:tc>
      </w:tr>
      <w:tr w:rsidR="001D05ED" w:rsidRPr="002A28D8" w14:paraId="6BEC59B0" w14:textId="77777777" w:rsidTr="00DF7070">
        <w:trPr>
          <w:trHeight w:val="458"/>
          <w:jc w:val="center"/>
        </w:trPr>
        <w:tc>
          <w:tcPr>
            <w:tcW w:w="2695" w:type="dxa"/>
          </w:tcPr>
          <w:p w14:paraId="6FAB3152" w14:textId="0B22E2BE" w:rsidR="001D05ED" w:rsidRPr="002A28D8" w:rsidRDefault="001D05ED" w:rsidP="00B54F23">
            <w:pPr>
              <w:autoSpaceDE w:val="0"/>
              <w:autoSpaceDN w:val="0"/>
              <w:adjustRightInd w:val="0"/>
              <w:snapToGrid w:val="0"/>
              <w:ind w:left="-18"/>
            </w:pPr>
            <w:r>
              <w:t>Evaluate Lifecycle environmental impacts of a product or service (by exam questions)</w:t>
            </w:r>
          </w:p>
        </w:tc>
        <w:tc>
          <w:tcPr>
            <w:tcW w:w="670" w:type="dxa"/>
            <w:vAlign w:val="center"/>
          </w:tcPr>
          <w:p w14:paraId="159004A3" w14:textId="77777777" w:rsidR="001D05ED" w:rsidRPr="002A28D8" w:rsidRDefault="001D05ED" w:rsidP="00B54F23">
            <w:pPr>
              <w:snapToGrid w:val="0"/>
              <w:jc w:val="center"/>
            </w:pPr>
          </w:p>
        </w:tc>
        <w:tc>
          <w:tcPr>
            <w:tcW w:w="1090" w:type="dxa"/>
            <w:vAlign w:val="center"/>
          </w:tcPr>
          <w:p w14:paraId="510E9FC7" w14:textId="62628333" w:rsidR="001D05ED" w:rsidRPr="002A28D8" w:rsidRDefault="00C27C37" w:rsidP="00B54F23">
            <w:pPr>
              <w:snapToGrid w:val="0"/>
              <w:jc w:val="center"/>
            </w:pPr>
            <w:r>
              <w:t>H</w:t>
            </w:r>
          </w:p>
        </w:tc>
        <w:tc>
          <w:tcPr>
            <w:tcW w:w="576" w:type="dxa"/>
            <w:vAlign w:val="center"/>
          </w:tcPr>
          <w:p w14:paraId="391488D5" w14:textId="41C99E76" w:rsidR="001D05ED" w:rsidRPr="002A28D8" w:rsidRDefault="001D05ED" w:rsidP="00B54F23">
            <w:pPr>
              <w:snapToGrid w:val="0"/>
              <w:jc w:val="center"/>
            </w:pPr>
          </w:p>
        </w:tc>
        <w:tc>
          <w:tcPr>
            <w:tcW w:w="1444" w:type="dxa"/>
            <w:vAlign w:val="center"/>
          </w:tcPr>
          <w:p w14:paraId="63D230AA" w14:textId="6ED0E543" w:rsidR="001D05ED" w:rsidRPr="002A28D8" w:rsidRDefault="00C27C37" w:rsidP="00B54F23">
            <w:pPr>
              <w:snapToGrid w:val="0"/>
              <w:jc w:val="center"/>
            </w:pPr>
            <w:r>
              <w:t>H</w:t>
            </w:r>
          </w:p>
        </w:tc>
        <w:tc>
          <w:tcPr>
            <w:tcW w:w="1152" w:type="dxa"/>
            <w:vAlign w:val="center"/>
          </w:tcPr>
          <w:p w14:paraId="11A1C912" w14:textId="036EDC09" w:rsidR="001D05ED" w:rsidRPr="002A28D8" w:rsidRDefault="001D05ED" w:rsidP="00B54F23">
            <w:pPr>
              <w:snapToGrid w:val="0"/>
              <w:jc w:val="center"/>
            </w:pPr>
          </w:p>
        </w:tc>
        <w:tc>
          <w:tcPr>
            <w:tcW w:w="1176" w:type="dxa"/>
            <w:vAlign w:val="center"/>
          </w:tcPr>
          <w:p w14:paraId="06AB6CD1" w14:textId="30D947B6" w:rsidR="001D05ED" w:rsidRPr="002A28D8" w:rsidRDefault="001D05ED" w:rsidP="00B54F23">
            <w:pPr>
              <w:snapToGrid w:val="0"/>
              <w:jc w:val="center"/>
            </w:pPr>
          </w:p>
        </w:tc>
        <w:tc>
          <w:tcPr>
            <w:tcW w:w="1019" w:type="dxa"/>
            <w:vAlign w:val="center"/>
          </w:tcPr>
          <w:p w14:paraId="797A4705" w14:textId="27350F47" w:rsidR="001D05ED" w:rsidRPr="002A28D8" w:rsidRDefault="001D05ED" w:rsidP="00B54F23">
            <w:pPr>
              <w:snapToGrid w:val="0"/>
              <w:jc w:val="center"/>
            </w:pPr>
          </w:p>
        </w:tc>
      </w:tr>
      <w:tr w:rsidR="001D05ED" w:rsidRPr="002A28D8" w14:paraId="19BB6F0E" w14:textId="77777777" w:rsidTr="00DF7070">
        <w:trPr>
          <w:trHeight w:val="530"/>
          <w:jc w:val="center"/>
        </w:trPr>
        <w:tc>
          <w:tcPr>
            <w:tcW w:w="2695" w:type="dxa"/>
          </w:tcPr>
          <w:p w14:paraId="6539A75A" w14:textId="31EE4F40" w:rsidR="001D05ED" w:rsidRPr="002A28D8" w:rsidRDefault="001D05ED" w:rsidP="00B54F23">
            <w:pPr>
              <w:autoSpaceDE w:val="0"/>
              <w:autoSpaceDN w:val="0"/>
              <w:adjustRightInd w:val="0"/>
              <w:rPr>
                <w:color w:val="000000"/>
              </w:rPr>
            </w:pPr>
            <w:r>
              <w:t>Use knowledge of industrial and systems engineering to cope and develop environmental assessment (by evaluation project)</w:t>
            </w:r>
          </w:p>
        </w:tc>
        <w:tc>
          <w:tcPr>
            <w:tcW w:w="670" w:type="dxa"/>
            <w:vAlign w:val="center"/>
          </w:tcPr>
          <w:p w14:paraId="6FD60F9E" w14:textId="77777777" w:rsidR="001D05ED" w:rsidRPr="002A28D8" w:rsidRDefault="001D05ED" w:rsidP="00B54F23">
            <w:pPr>
              <w:jc w:val="center"/>
            </w:pPr>
            <w:r>
              <w:t>H</w:t>
            </w:r>
          </w:p>
        </w:tc>
        <w:tc>
          <w:tcPr>
            <w:tcW w:w="1090" w:type="dxa"/>
            <w:vAlign w:val="center"/>
          </w:tcPr>
          <w:p w14:paraId="02221E22" w14:textId="79A202D1" w:rsidR="001D05ED" w:rsidRPr="002A28D8" w:rsidRDefault="00C27C37" w:rsidP="00B54F23">
            <w:pPr>
              <w:jc w:val="center"/>
            </w:pPr>
            <w:r>
              <w:t>H</w:t>
            </w:r>
          </w:p>
        </w:tc>
        <w:tc>
          <w:tcPr>
            <w:tcW w:w="576" w:type="dxa"/>
            <w:vAlign w:val="center"/>
          </w:tcPr>
          <w:p w14:paraId="71EAAA08" w14:textId="77777777" w:rsidR="001D05ED" w:rsidRPr="002A28D8" w:rsidRDefault="001D05ED" w:rsidP="00B54F23">
            <w:pPr>
              <w:jc w:val="center"/>
            </w:pPr>
            <w:r>
              <w:t>H</w:t>
            </w:r>
          </w:p>
        </w:tc>
        <w:tc>
          <w:tcPr>
            <w:tcW w:w="1444" w:type="dxa"/>
            <w:vAlign w:val="center"/>
          </w:tcPr>
          <w:p w14:paraId="5289F124" w14:textId="53C37B23" w:rsidR="001D05ED" w:rsidRPr="002A28D8" w:rsidRDefault="00C27C37" w:rsidP="00B54F23">
            <w:pPr>
              <w:jc w:val="center"/>
            </w:pPr>
            <w:r>
              <w:t>H</w:t>
            </w:r>
          </w:p>
        </w:tc>
        <w:tc>
          <w:tcPr>
            <w:tcW w:w="1152" w:type="dxa"/>
            <w:vAlign w:val="center"/>
          </w:tcPr>
          <w:p w14:paraId="10F4C2C7" w14:textId="7DEB0919" w:rsidR="001D05ED" w:rsidRPr="002A28D8" w:rsidRDefault="001D05ED" w:rsidP="00B54F23">
            <w:pPr>
              <w:jc w:val="center"/>
            </w:pPr>
          </w:p>
        </w:tc>
        <w:tc>
          <w:tcPr>
            <w:tcW w:w="1176" w:type="dxa"/>
            <w:vAlign w:val="center"/>
          </w:tcPr>
          <w:p w14:paraId="18E117D3" w14:textId="77777777" w:rsidR="001D05ED" w:rsidRPr="002A28D8" w:rsidRDefault="001D05ED" w:rsidP="00B54F23">
            <w:pPr>
              <w:jc w:val="center"/>
            </w:pPr>
          </w:p>
        </w:tc>
        <w:tc>
          <w:tcPr>
            <w:tcW w:w="1019" w:type="dxa"/>
            <w:vAlign w:val="center"/>
          </w:tcPr>
          <w:p w14:paraId="0E5BB0BA" w14:textId="3997D92E" w:rsidR="001D05ED" w:rsidRPr="002A28D8" w:rsidRDefault="00C27C37" w:rsidP="00B54F23">
            <w:pPr>
              <w:jc w:val="center"/>
            </w:pPr>
            <w:r>
              <w:t>H</w:t>
            </w:r>
          </w:p>
        </w:tc>
      </w:tr>
      <w:tr w:rsidR="001D05ED" w:rsidRPr="002A28D8" w14:paraId="074A3798" w14:textId="77777777" w:rsidTr="00DF7070">
        <w:trPr>
          <w:trHeight w:val="413"/>
          <w:jc w:val="center"/>
        </w:trPr>
        <w:tc>
          <w:tcPr>
            <w:tcW w:w="2695" w:type="dxa"/>
          </w:tcPr>
          <w:p w14:paraId="46A02F39" w14:textId="70ACDA84" w:rsidR="001D05ED" w:rsidRPr="002A28D8" w:rsidRDefault="001D05ED" w:rsidP="00B54F23">
            <w:pPr>
              <w:autoSpaceDE w:val="0"/>
              <w:autoSpaceDN w:val="0"/>
              <w:adjustRightInd w:val="0"/>
            </w:pPr>
            <w:r>
              <w:t>Evaluate monetary and environmental costs and benefits of technology choices (by exam)</w:t>
            </w:r>
          </w:p>
        </w:tc>
        <w:tc>
          <w:tcPr>
            <w:tcW w:w="670" w:type="dxa"/>
            <w:vAlign w:val="center"/>
          </w:tcPr>
          <w:p w14:paraId="0A406DF5" w14:textId="28497689" w:rsidR="001D05ED" w:rsidRPr="002A28D8" w:rsidRDefault="00074200" w:rsidP="00B54F23">
            <w:pPr>
              <w:jc w:val="center"/>
            </w:pPr>
            <w:r>
              <w:t>H</w:t>
            </w:r>
          </w:p>
        </w:tc>
        <w:tc>
          <w:tcPr>
            <w:tcW w:w="1090" w:type="dxa"/>
            <w:vAlign w:val="center"/>
          </w:tcPr>
          <w:p w14:paraId="64C71815" w14:textId="757F1B5B" w:rsidR="001D05ED" w:rsidRPr="002A28D8" w:rsidRDefault="001D05ED" w:rsidP="00B54F23">
            <w:pPr>
              <w:jc w:val="center"/>
            </w:pPr>
          </w:p>
        </w:tc>
        <w:tc>
          <w:tcPr>
            <w:tcW w:w="576" w:type="dxa"/>
            <w:vAlign w:val="center"/>
          </w:tcPr>
          <w:p w14:paraId="44F3D3CA" w14:textId="4D854E3F" w:rsidR="001D05ED" w:rsidRPr="002A28D8" w:rsidRDefault="001D05ED" w:rsidP="00B54F23">
            <w:pPr>
              <w:jc w:val="center"/>
            </w:pPr>
          </w:p>
        </w:tc>
        <w:tc>
          <w:tcPr>
            <w:tcW w:w="1444" w:type="dxa"/>
            <w:vAlign w:val="center"/>
          </w:tcPr>
          <w:p w14:paraId="5910D761" w14:textId="3CF3806E" w:rsidR="001D05ED" w:rsidRPr="002A28D8" w:rsidRDefault="001D05ED" w:rsidP="00B54F23">
            <w:pPr>
              <w:jc w:val="center"/>
            </w:pPr>
          </w:p>
        </w:tc>
        <w:tc>
          <w:tcPr>
            <w:tcW w:w="1152" w:type="dxa"/>
            <w:vAlign w:val="center"/>
          </w:tcPr>
          <w:p w14:paraId="76238CC3" w14:textId="70436997" w:rsidR="001D05ED" w:rsidRPr="002A28D8" w:rsidRDefault="001D05ED" w:rsidP="00B54F23">
            <w:pPr>
              <w:jc w:val="center"/>
            </w:pPr>
          </w:p>
        </w:tc>
        <w:tc>
          <w:tcPr>
            <w:tcW w:w="1176" w:type="dxa"/>
            <w:vAlign w:val="center"/>
          </w:tcPr>
          <w:p w14:paraId="4CDBFD97" w14:textId="1AA0D5C1" w:rsidR="001D05ED" w:rsidRPr="002A28D8" w:rsidRDefault="001D05ED" w:rsidP="00B54F23">
            <w:pPr>
              <w:jc w:val="center"/>
            </w:pPr>
          </w:p>
        </w:tc>
        <w:tc>
          <w:tcPr>
            <w:tcW w:w="1019" w:type="dxa"/>
            <w:vAlign w:val="center"/>
          </w:tcPr>
          <w:p w14:paraId="2E9C614C" w14:textId="198E9E4B" w:rsidR="001D05ED" w:rsidRPr="002A28D8" w:rsidRDefault="001D05ED" w:rsidP="00B54F23">
            <w:pPr>
              <w:jc w:val="center"/>
            </w:pPr>
          </w:p>
        </w:tc>
      </w:tr>
    </w:tbl>
    <w:p w14:paraId="22E82AB7" w14:textId="18B2D3DD" w:rsidR="00597D83" w:rsidRPr="00DE769B" w:rsidRDefault="00597D83" w:rsidP="00105CD7">
      <w:pPr>
        <w:rPr>
          <w:color w:val="000000" w:themeColor="text1"/>
          <w:sz w:val="22"/>
          <w:szCs w:val="22"/>
        </w:rPr>
      </w:pPr>
    </w:p>
    <w:sectPr w:rsidR="00597D83" w:rsidRPr="00DE769B" w:rsidSect="00B277A3">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B9A2E" w14:textId="77777777" w:rsidR="00E25E71" w:rsidRDefault="00E25E71">
      <w:r>
        <w:separator/>
      </w:r>
    </w:p>
  </w:endnote>
  <w:endnote w:type="continuationSeparator" w:id="0">
    <w:p w14:paraId="66BFA6D4" w14:textId="77777777" w:rsidR="00E25E71" w:rsidRDefault="00E2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3F84A" w14:textId="77777777" w:rsidR="00E25E71" w:rsidRDefault="00E25E71">
      <w:r>
        <w:separator/>
      </w:r>
    </w:p>
  </w:footnote>
  <w:footnote w:type="continuationSeparator" w:id="0">
    <w:p w14:paraId="15DEC1AE" w14:textId="77777777" w:rsidR="00E25E71" w:rsidRDefault="00E2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67ABC" w14:textId="301738AC" w:rsidR="00D2588A" w:rsidRDefault="00D2588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654D"/>
    <w:multiLevelType w:val="hybridMultilevel"/>
    <w:tmpl w:val="08F8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91CEB"/>
    <w:multiLevelType w:val="hybridMultilevel"/>
    <w:tmpl w:val="193EA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9702D16"/>
    <w:multiLevelType w:val="hybridMultilevel"/>
    <w:tmpl w:val="A962B7D2"/>
    <w:lvl w:ilvl="0" w:tplc="6686AFEE">
      <w:start w:val="1"/>
      <w:numFmt w:val="bullet"/>
      <w:lvlText w:val="•"/>
      <w:lvlJc w:val="left"/>
      <w:pPr>
        <w:tabs>
          <w:tab w:val="num" w:pos="720"/>
        </w:tabs>
        <w:ind w:left="720" w:hanging="360"/>
      </w:pPr>
      <w:rPr>
        <w:rFonts w:ascii="Arial" w:hAnsi="Arial" w:hint="default"/>
      </w:rPr>
    </w:lvl>
    <w:lvl w:ilvl="1" w:tplc="AC40BB42" w:tentative="1">
      <w:start w:val="1"/>
      <w:numFmt w:val="bullet"/>
      <w:lvlText w:val="•"/>
      <w:lvlJc w:val="left"/>
      <w:pPr>
        <w:tabs>
          <w:tab w:val="num" w:pos="1440"/>
        </w:tabs>
        <w:ind w:left="1440" w:hanging="360"/>
      </w:pPr>
      <w:rPr>
        <w:rFonts w:ascii="Arial" w:hAnsi="Arial" w:hint="default"/>
      </w:rPr>
    </w:lvl>
    <w:lvl w:ilvl="2" w:tplc="5422353E" w:tentative="1">
      <w:start w:val="1"/>
      <w:numFmt w:val="bullet"/>
      <w:lvlText w:val="•"/>
      <w:lvlJc w:val="left"/>
      <w:pPr>
        <w:tabs>
          <w:tab w:val="num" w:pos="2160"/>
        </w:tabs>
        <w:ind w:left="2160" w:hanging="360"/>
      </w:pPr>
      <w:rPr>
        <w:rFonts w:ascii="Arial" w:hAnsi="Arial" w:hint="default"/>
      </w:rPr>
    </w:lvl>
    <w:lvl w:ilvl="3" w:tplc="D5129D3A" w:tentative="1">
      <w:start w:val="1"/>
      <w:numFmt w:val="bullet"/>
      <w:lvlText w:val="•"/>
      <w:lvlJc w:val="left"/>
      <w:pPr>
        <w:tabs>
          <w:tab w:val="num" w:pos="2880"/>
        </w:tabs>
        <w:ind w:left="2880" w:hanging="360"/>
      </w:pPr>
      <w:rPr>
        <w:rFonts w:ascii="Arial" w:hAnsi="Arial" w:hint="default"/>
      </w:rPr>
    </w:lvl>
    <w:lvl w:ilvl="4" w:tplc="3B5ED7D0" w:tentative="1">
      <w:start w:val="1"/>
      <w:numFmt w:val="bullet"/>
      <w:lvlText w:val="•"/>
      <w:lvlJc w:val="left"/>
      <w:pPr>
        <w:tabs>
          <w:tab w:val="num" w:pos="3600"/>
        </w:tabs>
        <w:ind w:left="3600" w:hanging="360"/>
      </w:pPr>
      <w:rPr>
        <w:rFonts w:ascii="Arial" w:hAnsi="Arial" w:hint="default"/>
      </w:rPr>
    </w:lvl>
    <w:lvl w:ilvl="5" w:tplc="DDBAE9F0" w:tentative="1">
      <w:start w:val="1"/>
      <w:numFmt w:val="bullet"/>
      <w:lvlText w:val="•"/>
      <w:lvlJc w:val="left"/>
      <w:pPr>
        <w:tabs>
          <w:tab w:val="num" w:pos="4320"/>
        </w:tabs>
        <w:ind w:left="4320" w:hanging="360"/>
      </w:pPr>
      <w:rPr>
        <w:rFonts w:ascii="Arial" w:hAnsi="Arial" w:hint="default"/>
      </w:rPr>
    </w:lvl>
    <w:lvl w:ilvl="6" w:tplc="42A2AFFA" w:tentative="1">
      <w:start w:val="1"/>
      <w:numFmt w:val="bullet"/>
      <w:lvlText w:val="•"/>
      <w:lvlJc w:val="left"/>
      <w:pPr>
        <w:tabs>
          <w:tab w:val="num" w:pos="5040"/>
        </w:tabs>
        <w:ind w:left="5040" w:hanging="360"/>
      </w:pPr>
      <w:rPr>
        <w:rFonts w:ascii="Arial" w:hAnsi="Arial" w:hint="default"/>
      </w:rPr>
    </w:lvl>
    <w:lvl w:ilvl="7" w:tplc="A12C7BD2" w:tentative="1">
      <w:start w:val="1"/>
      <w:numFmt w:val="bullet"/>
      <w:lvlText w:val="•"/>
      <w:lvlJc w:val="left"/>
      <w:pPr>
        <w:tabs>
          <w:tab w:val="num" w:pos="5760"/>
        </w:tabs>
        <w:ind w:left="5760" w:hanging="360"/>
      </w:pPr>
      <w:rPr>
        <w:rFonts w:ascii="Arial" w:hAnsi="Arial" w:hint="default"/>
      </w:rPr>
    </w:lvl>
    <w:lvl w:ilvl="8" w:tplc="B996217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5D"/>
    <w:rsid w:val="00056EA0"/>
    <w:rsid w:val="00062362"/>
    <w:rsid w:val="0006535E"/>
    <w:rsid w:val="00066166"/>
    <w:rsid w:val="00074200"/>
    <w:rsid w:val="0008651D"/>
    <w:rsid w:val="0009693E"/>
    <w:rsid w:val="000A0DEE"/>
    <w:rsid w:val="000B157A"/>
    <w:rsid w:val="000B1B29"/>
    <w:rsid w:val="000D4020"/>
    <w:rsid w:val="000F2B50"/>
    <w:rsid w:val="000F2B9F"/>
    <w:rsid w:val="000F654A"/>
    <w:rsid w:val="00100897"/>
    <w:rsid w:val="00105CD7"/>
    <w:rsid w:val="00111E33"/>
    <w:rsid w:val="001159D0"/>
    <w:rsid w:val="001216C6"/>
    <w:rsid w:val="00122A01"/>
    <w:rsid w:val="001265A3"/>
    <w:rsid w:val="00133E8F"/>
    <w:rsid w:val="00144EAF"/>
    <w:rsid w:val="001563F3"/>
    <w:rsid w:val="001633E9"/>
    <w:rsid w:val="00163F13"/>
    <w:rsid w:val="00177C56"/>
    <w:rsid w:val="001818D1"/>
    <w:rsid w:val="00185A34"/>
    <w:rsid w:val="0019150D"/>
    <w:rsid w:val="001952F8"/>
    <w:rsid w:val="00195CB7"/>
    <w:rsid w:val="001A2F9F"/>
    <w:rsid w:val="001B6568"/>
    <w:rsid w:val="001D05ED"/>
    <w:rsid w:val="001D0B1C"/>
    <w:rsid w:val="001D11DD"/>
    <w:rsid w:val="001D1BA6"/>
    <w:rsid w:val="001F1ACA"/>
    <w:rsid w:val="001F5E77"/>
    <w:rsid w:val="00205D20"/>
    <w:rsid w:val="002206F8"/>
    <w:rsid w:val="00226E57"/>
    <w:rsid w:val="0026251E"/>
    <w:rsid w:val="00263718"/>
    <w:rsid w:val="002660E6"/>
    <w:rsid w:val="002772E9"/>
    <w:rsid w:val="0028375D"/>
    <w:rsid w:val="002919F5"/>
    <w:rsid w:val="002C3026"/>
    <w:rsid w:val="002D0936"/>
    <w:rsid w:val="002D698B"/>
    <w:rsid w:val="002F2250"/>
    <w:rsid w:val="002F771C"/>
    <w:rsid w:val="00300912"/>
    <w:rsid w:val="00302E5F"/>
    <w:rsid w:val="003113A8"/>
    <w:rsid w:val="00314A49"/>
    <w:rsid w:val="003325C3"/>
    <w:rsid w:val="00337947"/>
    <w:rsid w:val="003422C2"/>
    <w:rsid w:val="00353ADC"/>
    <w:rsid w:val="00372117"/>
    <w:rsid w:val="003852B3"/>
    <w:rsid w:val="0038777F"/>
    <w:rsid w:val="00395257"/>
    <w:rsid w:val="003A5B14"/>
    <w:rsid w:val="003B7460"/>
    <w:rsid w:val="003C0F98"/>
    <w:rsid w:val="003D0D83"/>
    <w:rsid w:val="003D45C6"/>
    <w:rsid w:val="00403E79"/>
    <w:rsid w:val="0040565C"/>
    <w:rsid w:val="00405B58"/>
    <w:rsid w:val="00406651"/>
    <w:rsid w:val="004120BE"/>
    <w:rsid w:val="0041370B"/>
    <w:rsid w:val="004207CE"/>
    <w:rsid w:val="0042374E"/>
    <w:rsid w:val="0042512A"/>
    <w:rsid w:val="00425418"/>
    <w:rsid w:val="00444EDA"/>
    <w:rsid w:val="004807B7"/>
    <w:rsid w:val="0048519A"/>
    <w:rsid w:val="00496416"/>
    <w:rsid w:val="004B491D"/>
    <w:rsid w:val="004B5387"/>
    <w:rsid w:val="004C6580"/>
    <w:rsid w:val="004D3C23"/>
    <w:rsid w:val="004D5E4F"/>
    <w:rsid w:val="004E2F28"/>
    <w:rsid w:val="004E56D3"/>
    <w:rsid w:val="004F7B03"/>
    <w:rsid w:val="00501821"/>
    <w:rsid w:val="00502EA9"/>
    <w:rsid w:val="00506226"/>
    <w:rsid w:val="005110DB"/>
    <w:rsid w:val="00531BA4"/>
    <w:rsid w:val="005523E5"/>
    <w:rsid w:val="005566F1"/>
    <w:rsid w:val="0055782B"/>
    <w:rsid w:val="00562DC3"/>
    <w:rsid w:val="0056489C"/>
    <w:rsid w:val="00581264"/>
    <w:rsid w:val="00582A3E"/>
    <w:rsid w:val="00584741"/>
    <w:rsid w:val="00592CAC"/>
    <w:rsid w:val="0059758B"/>
    <w:rsid w:val="00597D83"/>
    <w:rsid w:val="005A0D38"/>
    <w:rsid w:val="005A5C85"/>
    <w:rsid w:val="005B4734"/>
    <w:rsid w:val="005B6DFB"/>
    <w:rsid w:val="005C0B87"/>
    <w:rsid w:val="005D744D"/>
    <w:rsid w:val="005D75DD"/>
    <w:rsid w:val="005E2953"/>
    <w:rsid w:val="005E3119"/>
    <w:rsid w:val="006124ED"/>
    <w:rsid w:val="00620876"/>
    <w:rsid w:val="00620D3B"/>
    <w:rsid w:val="0062696D"/>
    <w:rsid w:val="0062701F"/>
    <w:rsid w:val="0062734B"/>
    <w:rsid w:val="006332BE"/>
    <w:rsid w:val="00642846"/>
    <w:rsid w:val="006460E3"/>
    <w:rsid w:val="00646D1E"/>
    <w:rsid w:val="00650AD5"/>
    <w:rsid w:val="00650CA0"/>
    <w:rsid w:val="00660673"/>
    <w:rsid w:val="006639CF"/>
    <w:rsid w:val="00681A53"/>
    <w:rsid w:val="00687189"/>
    <w:rsid w:val="006924A2"/>
    <w:rsid w:val="006A3E6D"/>
    <w:rsid w:val="006C55AB"/>
    <w:rsid w:val="006C7CFB"/>
    <w:rsid w:val="006D4473"/>
    <w:rsid w:val="0070703E"/>
    <w:rsid w:val="007126A7"/>
    <w:rsid w:val="00727478"/>
    <w:rsid w:val="00727907"/>
    <w:rsid w:val="00730E2F"/>
    <w:rsid w:val="00736AEB"/>
    <w:rsid w:val="00755169"/>
    <w:rsid w:val="007553F9"/>
    <w:rsid w:val="00760DD0"/>
    <w:rsid w:val="007702EE"/>
    <w:rsid w:val="0077182B"/>
    <w:rsid w:val="00771DE6"/>
    <w:rsid w:val="00772C12"/>
    <w:rsid w:val="00786CFF"/>
    <w:rsid w:val="00795FBB"/>
    <w:rsid w:val="007A203B"/>
    <w:rsid w:val="007A77A1"/>
    <w:rsid w:val="007B35D6"/>
    <w:rsid w:val="007B5B57"/>
    <w:rsid w:val="007C521A"/>
    <w:rsid w:val="007E0AE3"/>
    <w:rsid w:val="007F601F"/>
    <w:rsid w:val="00804019"/>
    <w:rsid w:val="00804BF7"/>
    <w:rsid w:val="008077FF"/>
    <w:rsid w:val="008153DE"/>
    <w:rsid w:val="0081582E"/>
    <w:rsid w:val="008270BF"/>
    <w:rsid w:val="00834A85"/>
    <w:rsid w:val="008450D6"/>
    <w:rsid w:val="008452D4"/>
    <w:rsid w:val="008467FB"/>
    <w:rsid w:val="008650C4"/>
    <w:rsid w:val="00865BC1"/>
    <w:rsid w:val="008715D9"/>
    <w:rsid w:val="00873711"/>
    <w:rsid w:val="00873754"/>
    <w:rsid w:val="00894AAB"/>
    <w:rsid w:val="008A1ADB"/>
    <w:rsid w:val="008A2517"/>
    <w:rsid w:val="008A56BB"/>
    <w:rsid w:val="008B79D0"/>
    <w:rsid w:val="008C21C7"/>
    <w:rsid w:val="008D27DE"/>
    <w:rsid w:val="008F6439"/>
    <w:rsid w:val="00903BBA"/>
    <w:rsid w:val="00904E21"/>
    <w:rsid w:val="00910C71"/>
    <w:rsid w:val="00911893"/>
    <w:rsid w:val="00931E27"/>
    <w:rsid w:val="009335C4"/>
    <w:rsid w:val="009512AA"/>
    <w:rsid w:val="00961BC3"/>
    <w:rsid w:val="009907C4"/>
    <w:rsid w:val="00991F2D"/>
    <w:rsid w:val="00994A54"/>
    <w:rsid w:val="009B2F86"/>
    <w:rsid w:val="009B344B"/>
    <w:rsid w:val="009B6104"/>
    <w:rsid w:val="009C76B1"/>
    <w:rsid w:val="009E25DF"/>
    <w:rsid w:val="009E7A97"/>
    <w:rsid w:val="009F195C"/>
    <w:rsid w:val="009F5A81"/>
    <w:rsid w:val="00A05863"/>
    <w:rsid w:val="00A07013"/>
    <w:rsid w:val="00A1270A"/>
    <w:rsid w:val="00A4728A"/>
    <w:rsid w:val="00A53882"/>
    <w:rsid w:val="00A639ED"/>
    <w:rsid w:val="00A6776A"/>
    <w:rsid w:val="00A91873"/>
    <w:rsid w:val="00AA6EDD"/>
    <w:rsid w:val="00AA7E48"/>
    <w:rsid w:val="00AB15BD"/>
    <w:rsid w:val="00AC1550"/>
    <w:rsid w:val="00AC2C89"/>
    <w:rsid w:val="00AC3071"/>
    <w:rsid w:val="00AD2097"/>
    <w:rsid w:val="00AD2200"/>
    <w:rsid w:val="00AD4106"/>
    <w:rsid w:val="00AE65E2"/>
    <w:rsid w:val="00AF4A46"/>
    <w:rsid w:val="00B02CA3"/>
    <w:rsid w:val="00B046CA"/>
    <w:rsid w:val="00B13F9B"/>
    <w:rsid w:val="00B20B62"/>
    <w:rsid w:val="00B277A3"/>
    <w:rsid w:val="00B5267B"/>
    <w:rsid w:val="00B620EC"/>
    <w:rsid w:val="00B841B5"/>
    <w:rsid w:val="00B86D03"/>
    <w:rsid w:val="00B92B58"/>
    <w:rsid w:val="00B94DF0"/>
    <w:rsid w:val="00B95A00"/>
    <w:rsid w:val="00BB7C94"/>
    <w:rsid w:val="00BC4703"/>
    <w:rsid w:val="00BD0614"/>
    <w:rsid w:val="00BE1B27"/>
    <w:rsid w:val="00BE6310"/>
    <w:rsid w:val="00BE781D"/>
    <w:rsid w:val="00C11867"/>
    <w:rsid w:val="00C12117"/>
    <w:rsid w:val="00C171F3"/>
    <w:rsid w:val="00C22E44"/>
    <w:rsid w:val="00C27244"/>
    <w:rsid w:val="00C27C37"/>
    <w:rsid w:val="00C4454D"/>
    <w:rsid w:val="00C54F67"/>
    <w:rsid w:val="00C73D1E"/>
    <w:rsid w:val="00C7500A"/>
    <w:rsid w:val="00C86517"/>
    <w:rsid w:val="00C929F8"/>
    <w:rsid w:val="00C953B5"/>
    <w:rsid w:val="00CA5D63"/>
    <w:rsid w:val="00CB0FBF"/>
    <w:rsid w:val="00CC3290"/>
    <w:rsid w:val="00CC6B70"/>
    <w:rsid w:val="00CC6C46"/>
    <w:rsid w:val="00CD1A40"/>
    <w:rsid w:val="00CD4B22"/>
    <w:rsid w:val="00CD7B42"/>
    <w:rsid w:val="00CE674A"/>
    <w:rsid w:val="00CF5B62"/>
    <w:rsid w:val="00CF6270"/>
    <w:rsid w:val="00CF74F7"/>
    <w:rsid w:val="00D03AF4"/>
    <w:rsid w:val="00D0546C"/>
    <w:rsid w:val="00D05751"/>
    <w:rsid w:val="00D12C78"/>
    <w:rsid w:val="00D1457C"/>
    <w:rsid w:val="00D20AC5"/>
    <w:rsid w:val="00D2588A"/>
    <w:rsid w:val="00D42402"/>
    <w:rsid w:val="00D5586E"/>
    <w:rsid w:val="00D71D91"/>
    <w:rsid w:val="00D73840"/>
    <w:rsid w:val="00D73CEE"/>
    <w:rsid w:val="00D74175"/>
    <w:rsid w:val="00D75B71"/>
    <w:rsid w:val="00D76515"/>
    <w:rsid w:val="00D85D1E"/>
    <w:rsid w:val="00D961F4"/>
    <w:rsid w:val="00D96C54"/>
    <w:rsid w:val="00DA2C94"/>
    <w:rsid w:val="00DA4306"/>
    <w:rsid w:val="00DA6207"/>
    <w:rsid w:val="00DC3DF0"/>
    <w:rsid w:val="00DC3FE9"/>
    <w:rsid w:val="00DD3FC2"/>
    <w:rsid w:val="00DD7D12"/>
    <w:rsid w:val="00DE769B"/>
    <w:rsid w:val="00DF52FB"/>
    <w:rsid w:val="00DF7070"/>
    <w:rsid w:val="00E154C3"/>
    <w:rsid w:val="00E20B58"/>
    <w:rsid w:val="00E22B4C"/>
    <w:rsid w:val="00E25E71"/>
    <w:rsid w:val="00E30938"/>
    <w:rsid w:val="00E4245E"/>
    <w:rsid w:val="00E438A9"/>
    <w:rsid w:val="00E454D5"/>
    <w:rsid w:val="00E5008F"/>
    <w:rsid w:val="00E506FE"/>
    <w:rsid w:val="00E53B74"/>
    <w:rsid w:val="00E5481E"/>
    <w:rsid w:val="00E64DB1"/>
    <w:rsid w:val="00E74D66"/>
    <w:rsid w:val="00E775DF"/>
    <w:rsid w:val="00E81D82"/>
    <w:rsid w:val="00E863E6"/>
    <w:rsid w:val="00E978B5"/>
    <w:rsid w:val="00EA2942"/>
    <w:rsid w:val="00EA34E5"/>
    <w:rsid w:val="00EB46BC"/>
    <w:rsid w:val="00EC60B0"/>
    <w:rsid w:val="00ED223F"/>
    <w:rsid w:val="00EE797A"/>
    <w:rsid w:val="00EF270E"/>
    <w:rsid w:val="00EF36ED"/>
    <w:rsid w:val="00EF5AF4"/>
    <w:rsid w:val="00EF6F55"/>
    <w:rsid w:val="00F07B86"/>
    <w:rsid w:val="00F12528"/>
    <w:rsid w:val="00F31643"/>
    <w:rsid w:val="00F374AA"/>
    <w:rsid w:val="00F47454"/>
    <w:rsid w:val="00F65D32"/>
    <w:rsid w:val="00F80EC2"/>
    <w:rsid w:val="00F85260"/>
    <w:rsid w:val="00F85F55"/>
    <w:rsid w:val="00F93387"/>
    <w:rsid w:val="00FA0595"/>
    <w:rsid w:val="00FA0D14"/>
    <w:rsid w:val="00FC0F79"/>
    <w:rsid w:val="00FC1358"/>
    <w:rsid w:val="00FC6C6C"/>
    <w:rsid w:val="00FD033F"/>
    <w:rsid w:val="00FD09D1"/>
    <w:rsid w:val="00FE3CE4"/>
    <w:rsid w:val="00FF7D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7370AE5"/>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335C4"/>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70D33"/>
    <w:rPr>
      <w:color w:val="0000FF"/>
      <w:u w:val="single"/>
    </w:rPr>
  </w:style>
  <w:style w:type="paragraph" w:styleId="EndnoteText">
    <w:name w:val="endnote text"/>
    <w:basedOn w:val="Normal"/>
    <w:link w:val="EndnoteTextChar"/>
    <w:uiPriority w:val="99"/>
    <w:semiHidden/>
    <w:unhideWhenUsed/>
    <w:rsid w:val="00470D33"/>
  </w:style>
  <w:style w:type="character" w:customStyle="1" w:styleId="EndnoteTextChar">
    <w:name w:val="Endnote Text Char"/>
    <w:link w:val="EndnoteText"/>
    <w:uiPriority w:val="99"/>
    <w:semiHidden/>
    <w:rsid w:val="00470D33"/>
    <w:rPr>
      <w:sz w:val="24"/>
      <w:szCs w:val="24"/>
    </w:rPr>
  </w:style>
  <w:style w:type="character" w:styleId="EndnoteReference">
    <w:name w:val="endnote reference"/>
    <w:uiPriority w:val="99"/>
    <w:semiHidden/>
    <w:unhideWhenUsed/>
    <w:rsid w:val="00470D33"/>
    <w:rPr>
      <w:vertAlign w:val="superscript"/>
    </w:rPr>
  </w:style>
  <w:style w:type="paragraph" w:styleId="HTMLPreformatted">
    <w:name w:val="HTML Preformatted"/>
    <w:basedOn w:val="Normal"/>
    <w:link w:val="HTMLPreformattedChar"/>
    <w:uiPriority w:val="99"/>
    <w:rsid w:val="0069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rsid w:val="00697222"/>
    <w:rPr>
      <w:rFonts w:ascii="Courier" w:hAnsi="Courier" w:cs="Courier"/>
    </w:rPr>
  </w:style>
  <w:style w:type="paragraph" w:styleId="Header">
    <w:name w:val="header"/>
    <w:basedOn w:val="Normal"/>
    <w:link w:val="HeaderChar"/>
    <w:uiPriority w:val="99"/>
    <w:unhideWhenUsed/>
    <w:rsid w:val="0060779A"/>
    <w:pPr>
      <w:tabs>
        <w:tab w:val="center" w:pos="4320"/>
        <w:tab w:val="right" w:pos="8640"/>
      </w:tabs>
    </w:pPr>
  </w:style>
  <w:style w:type="character" w:customStyle="1" w:styleId="HeaderChar">
    <w:name w:val="Header Char"/>
    <w:link w:val="Header"/>
    <w:uiPriority w:val="99"/>
    <w:rsid w:val="0060779A"/>
    <w:rPr>
      <w:sz w:val="24"/>
      <w:szCs w:val="24"/>
    </w:rPr>
  </w:style>
  <w:style w:type="paragraph" w:styleId="Footer">
    <w:name w:val="footer"/>
    <w:basedOn w:val="Normal"/>
    <w:link w:val="FooterChar"/>
    <w:uiPriority w:val="99"/>
    <w:unhideWhenUsed/>
    <w:rsid w:val="0060779A"/>
    <w:pPr>
      <w:tabs>
        <w:tab w:val="center" w:pos="4320"/>
        <w:tab w:val="right" w:pos="8640"/>
      </w:tabs>
    </w:pPr>
  </w:style>
  <w:style w:type="character" w:customStyle="1" w:styleId="FooterChar">
    <w:name w:val="Footer Char"/>
    <w:link w:val="Footer"/>
    <w:uiPriority w:val="99"/>
    <w:rsid w:val="0060779A"/>
    <w:rPr>
      <w:sz w:val="24"/>
      <w:szCs w:val="24"/>
    </w:rPr>
  </w:style>
  <w:style w:type="paragraph" w:styleId="BalloonText">
    <w:name w:val="Balloon Text"/>
    <w:basedOn w:val="Normal"/>
    <w:link w:val="BalloonTextChar"/>
    <w:uiPriority w:val="99"/>
    <w:semiHidden/>
    <w:unhideWhenUsed/>
    <w:rsid w:val="006C22D7"/>
    <w:rPr>
      <w:rFonts w:ascii="Lucida Grande" w:hAnsi="Lucida Grande"/>
      <w:sz w:val="18"/>
      <w:szCs w:val="18"/>
    </w:rPr>
  </w:style>
  <w:style w:type="character" w:customStyle="1" w:styleId="BalloonTextChar">
    <w:name w:val="Balloon Text Char"/>
    <w:link w:val="BalloonText"/>
    <w:uiPriority w:val="99"/>
    <w:semiHidden/>
    <w:rsid w:val="006C22D7"/>
    <w:rPr>
      <w:rFonts w:ascii="Lucida Grande" w:hAnsi="Lucida Grande"/>
      <w:sz w:val="18"/>
      <w:szCs w:val="18"/>
    </w:rPr>
  </w:style>
  <w:style w:type="character" w:styleId="FollowedHyperlink">
    <w:name w:val="FollowedHyperlink"/>
    <w:uiPriority w:val="99"/>
    <w:semiHidden/>
    <w:unhideWhenUsed/>
    <w:rsid w:val="008270BF"/>
    <w:rPr>
      <w:color w:val="800080"/>
      <w:u w:val="single"/>
    </w:rPr>
  </w:style>
  <w:style w:type="paragraph" w:styleId="NormalWeb">
    <w:name w:val="Normal (Web)"/>
    <w:basedOn w:val="Normal"/>
    <w:uiPriority w:val="99"/>
    <w:semiHidden/>
    <w:unhideWhenUsed/>
    <w:rsid w:val="00597D83"/>
    <w:pPr>
      <w:spacing w:before="100" w:beforeAutospacing="1" w:after="100" w:afterAutospacing="1"/>
    </w:pPr>
    <w:rPr>
      <w:rFonts w:ascii="Times" w:hAnsi="Times"/>
      <w:sz w:val="20"/>
      <w:szCs w:val="20"/>
    </w:rPr>
  </w:style>
  <w:style w:type="table" w:styleId="TableGrid">
    <w:name w:val="Table Grid"/>
    <w:basedOn w:val="TableNormal"/>
    <w:uiPriority w:val="59"/>
    <w:rsid w:val="00D96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335C4"/>
    <w:rPr>
      <w:rFonts w:asciiTheme="majorHAnsi" w:eastAsiaTheme="majorEastAsia" w:hAnsiTheme="majorHAnsi" w:cstheme="majorBidi"/>
      <w:b/>
      <w:bCs/>
      <w:color w:val="4F81BD" w:themeColor="accent1"/>
      <w:sz w:val="26"/>
      <w:szCs w:val="26"/>
      <w:lang w:eastAsia="zh-CN"/>
    </w:rPr>
  </w:style>
  <w:style w:type="paragraph" w:styleId="ListParagraph">
    <w:name w:val="List Paragraph"/>
    <w:basedOn w:val="Normal"/>
    <w:uiPriority w:val="34"/>
    <w:qFormat/>
    <w:rsid w:val="009335C4"/>
    <w:pPr>
      <w:spacing w:after="200" w:line="276" w:lineRule="auto"/>
      <w:ind w:left="720"/>
      <w:contextualSpacing/>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4699">
      <w:bodyDiv w:val="1"/>
      <w:marLeft w:val="0"/>
      <w:marRight w:val="0"/>
      <w:marTop w:val="0"/>
      <w:marBottom w:val="0"/>
      <w:divBdr>
        <w:top w:val="none" w:sz="0" w:space="0" w:color="auto"/>
        <w:left w:val="none" w:sz="0" w:space="0" w:color="auto"/>
        <w:bottom w:val="none" w:sz="0" w:space="0" w:color="auto"/>
        <w:right w:val="none" w:sz="0" w:space="0" w:color="auto"/>
      </w:divBdr>
    </w:div>
    <w:div w:id="147675972">
      <w:bodyDiv w:val="1"/>
      <w:marLeft w:val="0"/>
      <w:marRight w:val="0"/>
      <w:marTop w:val="0"/>
      <w:marBottom w:val="0"/>
      <w:divBdr>
        <w:top w:val="none" w:sz="0" w:space="0" w:color="auto"/>
        <w:left w:val="none" w:sz="0" w:space="0" w:color="auto"/>
        <w:bottom w:val="none" w:sz="0" w:space="0" w:color="auto"/>
        <w:right w:val="none" w:sz="0" w:space="0" w:color="auto"/>
      </w:divBdr>
      <w:divsChild>
        <w:div w:id="1412970089">
          <w:marLeft w:val="547"/>
          <w:marRight w:val="0"/>
          <w:marTop w:val="0"/>
          <w:marBottom w:val="0"/>
          <w:divBdr>
            <w:top w:val="none" w:sz="0" w:space="0" w:color="auto"/>
            <w:left w:val="none" w:sz="0" w:space="0" w:color="auto"/>
            <w:bottom w:val="none" w:sz="0" w:space="0" w:color="auto"/>
            <w:right w:val="none" w:sz="0" w:space="0" w:color="auto"/>
          </w:divBdr>
        </w:div>
        <w:div w:id="2003047959">
          <w:marLeft w:val="547"/>
          <w:marRight w:val="0"/>
          <w:marTop w:val="0"/>
          <w:marBottom w:val="0"/>
          <w:divBdr>
            <w:top w:val="none" w:sz="0" w:space="0" w:color="auto"/>
            <w:left w:val="none" w:sz="0" w:space="0" w:color="auto"/>
            <w:bottom w:val="none" w:sz="0" w:space="0" w:color="auto"/>
            <w:right w:val="none" w:sz="0" w:space="0" w:color="auto"/>
          </w:divBdr>
        </w:div>
      </w:divsChild>
    </w:div>
    <w:div w:id="456601827">
      <w:bodyDiv w:val="1"/>
      <w:marLeft w:val="0"/>
      <w:marRight w:val="0"/>
      <w:marTop w:val="0"/>
      <w:marBottom w:val="0"/>
      <w:divBdr>
        <w:top w:val="none" w:sz="0" w:space="0" w:color="auto"/>
        <w:left w:val="none" w:sz="0" w:space="0" w:color="auto"/>
        <w:bottom w:val="none" w:sz="0" w:space="0" w:color="auto"/>
        <w:right w:val="none" w:sz="0" w:space="0" w:color="auto"/>
      </w:divBdr>
    </w:div>
    <w:div w:id="535582046">
      <w:bodyDiv w:val="1"/>
      <w:marLeft w:val="0"/>
      <w:marRight w:val="0"/>
      <w:marTop w:val="0"/>
      <w:marBottom w:val="0"/>
      <w:divBdr>
        <w:top w:val="none" w:sz="0" w:space="0" w:color="auto"/>
        <w:left w:val="none" w:sz="0" w:space="0" w:color="auto"/>
        <w:bottom w:val="none" w:sz="0" w:space="0" w:color="auto"/>
        <w:right w:val="none" w:sz="0" w:space="0" w:color="auto"/>
      </w:divBdr>
    </w:div>
    <w:div w:id="537427033">
      <w:bodyDiv w:val="1"/>
      <w:marLeft w:val="0"/>
      <w:marRight w:val="0"/>
      <w:marTop w:val="0"/>
      <w:marBottom w:val="0"/>
      <w:divBdr>
        <w:top w:val="none" w:sz="0" w:space="0" w:color="auto"/>
        <w:left w:val="none" w:sz="0" w:space="0" w:color="auto"/>
        <w:bottom w:val="none" w:sz="0" w:space="0" w:color="auto"/>
        <w:right w:val="none" w:sz="0" w:space="0" w:color="auto"/>
      </w:divBdr>
      <w:divsChild>
        <w:div w:id="980383691">
          <w:marLeft w:val="547"/>
          <w:marRight w:val="0"/>
          <w:marTop w:val="0"/>
          <w:marBottom w:val="0"/>
          <w:divBdr>
            <w:top w:val="none" w:sz="0" w:space="0" w:color="auto"/>
            <w:left w:val="none" w:sz="0" w:space="0" w:color="auto"/>
            <w:bottom w:val="none" w:sz="0" w:space="0" w:color="auto"/>
            <w:right w:val="none" w:sz="0" w:space="0" w:color="auto"/>
          </w:divBdr>
        </w:div>
        <w:div w:id="1168983689">
          <w:marLeft w:val="547"/>
          <w:marRight w:val="0"/>
          <w:marTop w:val="0"/>
          <w:marBottom w:val="0"/>
          <w:divBdr>
            <w:top w:val="none" w:sz="0" w:space="0" w:color="auto"/>
            <w:left w:val="none" w:sz="0" w:space="0" w:color="auto"/>
            <w:bottom w:val="none" w:sz="0" w:space="0" w:color="auto"/>
            <w:right w:val="none" w:sz="0" w:space="0" w:color="auto"/>
          </w:divBdr>
        </w:div>
        <w:div w:id="1864049054">
          <w:marLeft w:val="547"/>
          <w:marRight w:val="0"/>
          <w:marTop w:val="0"/>
          <w:marBottom w:val="0"/>
          <w:divBdr>
            <w:top w:val="none" w:sz="0" w:space="0" w:color="auto"/>
            <w:left w:val="none" w:sz="0" w:space="0" w:color="auto"/>
            <w:bottom w:val="none" w:sz="0" w:space="0" w:color="auto"/>
            <w:right w:val="none" w:sz="0" w:space="0" w:color="auto"/>
          </w:divBdr>
        </w:div>
      </w:divsChild>
    </w:div>
    <w:div w:id="570965449">
      <w:bodyDiv w:val="1"/>
      <w:marLeft w:val="0"/>
      <w:marRight w:val="0"/>
      <w:marTop w:val="0"/>
      <w:marBottom w:val="0"/>
      <w:divBdr>
        <w:top w:val="none" w:sz="0" w:space="0" w:color="auto"/>
        <w:left w:val="none" w:sz="0" w:space="0" w:color="auto"/>
        <w:bottom w:val="none" w:sz="0" w:space="0" w:color="auto"/>
        <w:right w:val="none" w:sz="0" w:space="0" w:color="auto"/>
      </w:divBdr>
    </w:div>
    <w:div w:id="771701716">
      <w:bodyDiv w:val="1"/>
      <w:marLeft w:val="0"/>
      <w:marRight w:val="0"/>
      <w:marTop w:val="0"/>
      <w:marBottom w:val="0"/>
      <w:divBdr>
        <w:top w:val="none" w:sz="0" w:space="0" w:color="auto"/>
        <w:left w:val="none" w:sz="0" w:space="0" w:color="auto"/>
        <w:bottom w:val="none" w:sz="0" w:space="0" w:color="auto"/>
        <w:right w:val="none" w:sz="0" w:space="0" w:color="auto"/>
      </w:divBdr>
      <w:divsChild>
        <w:div w:id="985745381">
          <w:marLeft w:val="547"/>
          <w:marRight w:val="0"/>
          <w:marTop w:val="0"/>
          <w:marBottom w:val="0"/>
          <w:divBdr>
            <w:top w:val="none" w:sz="0" w:space="0" w:color="auto"/>
            <w:left w:val="none" w:sz="0" w:space="0" w:color="auto"/>
            <w:bottom w:val="none" w:sz="0" w:space="0" w:color="auto"/>
            <w:right w:val="none" w:sz="0" w:space="0" w:color="auto"/>
          </w:divBdr>
        </w:div>
      </w:divsChild>
    </w:div>
    <w:div w:id="856310535">
      <w:bodyDiv w:val="1"/>
      <w:marLeft w:val="0"/>
      <w:marRight w:val="0"/>
      <w:marTop w:val="0"/>
      <w:marBottom w:val="0"/>
      <w:divBdr>
        <w:top w:val="none" w:sz="0" w:space="0" w:color="auto"/>
        <w:left w:val="none" w:sz="0" w:space="0" w:color="auto"/>
        <w:bottom w:val="none" w:sz="0" w:space="0" w:color="auto"/>
        <w:right w:val="none" w:sz="0" w:space="0" w:color="auto"/>
      </w:divBdr>
    </w:div>
    <w:div w:id="1952087307">
      <w:bodyDiv w:val="1"/>
      <w:marLeft w:val="0"/>
      <w:marRight w:val="0"/>
      <w:marTop w:val="0"/>
      <w:marBottom w:val="0"/>
      <w:divBdr>
        <w:top w:val="none" w:sz="0" w:space="0" w:color="auto"/>
        <w:left w:val="none" w:sz="0" w:space="0" w:color="auto"/>
        <w:bottom w:val="none" w:sz="0" w:space="0" w:color="auto"/>
        <w:right w:val="none" w:sz="0" w:space="0" w:color="auto"/>
      </w:divBdr>
      <w:divsChild>
        <w:div w:id="1443183176">
          <w:marLeft w:val="547"/>
          <w:marRight w:val="0"/>
          <w:marTop w:val="0"/>
          <w:marBottom w:val="0"/>
          <w:divBdr>
            <w:top w:val="none" w:sz="0" w:space="0" w:color="auto"/>
            <w:left w:val="none" w:sz="0" w:space="0" w:color="auto"/>
            <w:bottom w:val="none" w:sz="0" w:space="0" w:color="auto"/>
            <w:right w:val="none" w:sz="0" w:space="0" w:color="auto"/>
          </w:divBdr>
        </w:div>
      </w:divsChild>
    </w:div>
    <w:div w:id="2044741868">
      <w:bodyDiv w:val="1"/>
      <w:marLeft w:val="0"/>
      <w:marRight w:val="0"/>
      <w:marTop w:val="0"/>
      <w:marBottom w:val="0"/>
      <w:divBdr>
        <w:top w:val="none" w:sz="0" w:space="0" w:color="auto"/>
        <w:left w:val="none" w:sz="0" w:space="0" w:color="auto"/>
        <w:bottom w:val="none" w:sz="0" w:space="0" w:color="auto"/>
        <w:right w:val="none" w:sz="0" w:space="0" w:color="auto"/>
      </w:divBdr>
      <w:divsChild>
        <w:div w:id="48966280">
          <w:marLeft w:val="547"/>
          <w:marRight w:val="0"/>
          <w:marTop w:val="154"/>
          <w:marBottom w:val="0"/>
          <w:divBdr>
            <w:top w:val="none" w:sz="0" w:space="0" w:color="auto"/>
            <w:left w:val="none" w:sz="0" w:space="0" w:color="auto"/>
            <w:bottom w:val="none" w:sz="0" w:space="0" w:color="auto"/>
            <w:right w:val="none" w:sz="0" w:space="0" w:color="auto"/>
          </w:divBdr>
        </w:div>
        <w:div w:id="1971668233">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cylibrary.gatech.edu/student-affairs/academic-honor-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gistrar.gatech.edu/students/formlanding/iaabsences.phpo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sinfo@gatech.edu" TargetMode="External"/><Relationship Id="rId5" Type="http://schemas.openxmlformats.org/officeDocument/2006/relationships/footnotes" Target="footnotes.xml"/><Relationship Id="rId10" Type="http://schemas.openxmlformats.org/officeDocument/2006/relationships/hyperlink" Target="http://www.registrar.gatech.edu/students/formlanding/iaabsences.phpor" TargetMode="External"/><Relationship Id="rId4" Type="http://schemas.openxmlformats.org/officeDocument/2006/relationships/webSettings" Target="webSettings.xml"/><Relationship Id="rId9" Type="http://schemas.openxmlformats.org/officeDocument/2006/relationships/hyperlink" Target="http://www.catalog.gatech.edu/rules/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4823</Characters>
  <Application>Microsoft Office Word</Application>
  <DocSecurity>4</DocSecurity>
  <Lines>40</Lines>
  <Paragraphs>10</Paragraphs>
  <ScaleCrop>false</ScaleCrop>
  <HeadingPairs>
    <vt:vector size="2" baseType="variant">
      <vt:variant>
        <vt:lpstr>Title</vt:lpstr>
      </vt:variant>
      <vt:variant>
        <vt:i4>1</vt:i4>
      </vt:variant>
    </vt:vector>
  </HeadingPairs>
  <TitlesOfParts>
    <vt:vector size="1" baseType="lpstr">
      <vt:lpstr>Energy and Environmental Analysis</vt:lpstr>
    </vt:vector>
  </TitlesOfParts>
  <Company>Georgia Tech - ISyE</Company>
  <LinksUpToDate>false</LinksUpToDate>
  <CharactersWithSpaces>5477</CharactersWithSpaces>
  <SharedDoc>false</SharedDoc>
  <HLinks>
    <vt:vector size="24" baseType="variant">
      <vt:variant>
        <vt:i4>4128814</vt:i4>
      </vt:variant>
      <vt:variant>
        <vt:i4>9</vt:i4>
      </vt:variant>
      <vt:variant>
        <vt:i4>0</vt:i4>
      </vt:variant>
      <vt:variant>
        <vt:i4>5</vt:i4>
      </vt:variant>
      <vt:variant>
        <vt:lpwstr>http://www.amazon.com/Physics-Societal-Issues-Calculations-Undergraduate/dp/0387955607</vt:lpwstr>
      </vt:variant>
      <vt:variant>
        <vt:lpwstr/>
      </vt:variant>
      <vt:variant>
        <vt:i4>1900666</vt:i4>
      </vt:variant>
      <vt:variant>
        <vt:i4>6</vt:i4>
      </vt:variant>
      <vt:variant>
        <vt:i4>0</vt:i4>
      </vt:variant>
      <vt:variant>
        <vt:i4>5</vt:i4>
      </vt:variant>
      <vt:variant>
        <vt:lpwstr>http://www.amazon.com/Should-Risk-Exploring-Environmental-Technological/dp/0691074577</vt:lpwstr>
      </vt:variant>
      <vt:variant>
        <vt:lpwstr/>
      </vt:variant>
      <vt:variant>
        <vt:i4>786534</vt:i4>
      </vt:variant>
      <vt:variant>
        <vt:i4>3</vt:i4>
      </vt:variant>
      <vt:variant>
        <vt:i4>0</vt:i4>
      </vt:variant>
      <vt:variant>
        <vt:i4>5</vt:i4>
      </vt:variant>
      <vt:variant>
        <vt:lpwstr>http://www.amazon.com/Consider-Cylindrical-Cow-Adventures-Environmental/dp/1891389173</vt:lpwstr>
      </vt:variant>
      <vt:variant>
        <vt:lpwstr/>
      </vt:variant>
      <vt:variant>
        <vt:i4>589885</vt:i4>
      </vt:variant>
      <vt:variant>
        <vt:i4>0</vt:i4>
      </vt:variant>
      <vt:variant>
        <vt:i4>0</vt:i4>
      </vt:variant>
      <vt:variant>
        <vt:i4>5</vt:i4>
      </vt:variant>
      <vt:variant>
        <vt:lpwstr>http://www.amazon.com/Consider-Spherical-Cow-John-Harte/dp/093570258X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and Environmental Analysis</dc:title>
  <dc:subject/>
  <dc:creator>Valerie Thomas</dc:creator>
  <cp:keywords/>
  <dc:description/>
  <cp:lastModifiedBy>Hodges, Amy D</cp:lastModifiedBy>
  <cp:revision>2</cp:revision>
  <cp:lastPrinted>2018-02-14T13:59:00Z</cp:lastPrinted>
  <dcterms:created xsi:type="dcterms:W3CDTF">2018-03-08T14:36:00Z</dcterms:created>
  <dcterms:modified xsi:type="dcterms:W3CDTF">2018-03-08T14:36:00Z</dcterms:modified>
</cp:coreProperties>
</file>