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5BE5B" w14:textId="77777777" w:rsidR="00A47671" w:rsidRDefault="00A47671">
      <w:pPr>
        <w:jc w:val="right"/>
        <w:outlineLvl w:val="0"/>
        <w:rPr>
          <w:sz w:val="14"/>
        </w:rPr>
      </w:pPr>
      <w:bookmarkStart w:id="0" w:name="_GoBack"/>
      <w:bookmarkEnd w:id="0"/>
    </w:p>
    <w:p w14:paraId="53C4891E" w14:textId="77777777" w:rsidR="00A47671" w:rsidRDefault="00A47671">
      <w:pPr>
        <w:jc w:val="right"/>
        <w:outlineLvl w:val="0"/>
        <w:rPr>
          <w:sz w:val="14"/>
        </w:rPr>
      </w:pPr>
    </w:p>
    <w:p w14:paraId="55FA59CD" w14:textId="29D1E8B2" w:rsidR="00EB6A35" w:rsidRDefault="00EB6A35" w:rsidP="00EB6A35">
      <w:pPr>
        <w:spacing w:after="240"/>
        <w:jc w:val="center"/>
        <w:rPr>
          <w:sz w:val="32"/>
          <w:szCs w:val="32"/>
        </w:rPr>
      </w:pPr>
      <w:r>
        <w:rPr>
          <w:sz w:val="32"/>
          <w:szCs w:val="32"/>
        </w:rPr>
        <w:t>Fundamentals of Manufacturing Supply Chain Operations</w:t>
      </w:r>
    </w:p>
    <w:p w14:paraId="0053FAB9" w14:textId="72B634A4" w:rsidR="00EB6A35" w:rsidRDefault="00EB6A35" w:rsidP="00EB6A35">
      <w:pPr>
        <w:spacing w:after="120"/>
        <w:ind w:left="1800" w:hanging="1800"/>
        <w:jc w:val="both"/>
        <w:rPr>
          <w:sz w:val="22"/>
          <w:szCs w:val="22"/>
        </w:rPr>
      </w:pPr>
      <w:r w:rsidRPr="00893802">
        <w:rPr>
          <w:b/>
          <w:sz w:val="22"/>
          <w:szCs w:val="22"/>
        </w:rPr>
        <w:t>Description:</w:t>
      </w:r>
      <w:r w:rsidRPr="00893802">
        <w:rPr>
          <w:sz w:val="22"/>
          <w:szCs w:val="22"/>
        </w:rPr>
        <w:tab/>
      </w:r>
      <w:r>
        <w:rPr>
          <w:sz w:val="22"/>
          <w:szCs w:val="22"/>
        </w:rPr>
        <w:t xml:space="preserve">This course focuses on manufacturing supply chain operations, including approaches for the design and planning of such systems.  The course covers key supply chain components, performance measurement for supply chain operations, and approaches for the design and planning of supply chain systems and their components.  Procurement, supply chain inventory management, freight transportation, warehousing, and distribution </w:t>
      </w:r>
      <w:r w:rsidR="007D3728">
        <w:rPr>
          <w:sz w:val="22"/>
          <w:szCs w:val="22"/>
        </w:rPr>
        <w:t>systems will be introduced and analyzed</w:t>
      </w:r>
      <w:r>
        <w:rPr>
          <w:sz w:val="22"/>
          <w:szCs w:val="22"/>
        </w:rPr>
        <w:t>.</w:t>
      </w:r>
    </w:p>
    <w:p w14:paraId="30C6383D" w14:textId="77777777" w:rsidR="00EB6A35" w:rsidRDefault="00EB6A35" w:rsidP="00EB6A35">
      <w:pPr>
        <w:spacing w:after="120"/>
        <w:ind w:left="1800" w:hanging="1800"/>
        <w:jc w:val="both"/>
        <w:rPr>
          <w:sz w:val="22"/>
          <w:szCs w:val="22"/>
        </w:rPr>
      </w:pPr>
    </w:p>
    <w:p w14:paraId="3F685C5F" w14:textId="0252DCFB" w:rsidR="00EB6A35" w:rsidRDefault="00EB6A35" w:rsidP="00EB6A35">
      <w:pPr>
        <w:spacing w:before="120"/>
        <w:ind w:left="1800" w:hanging="1800"/>
        <w:rPr>
          <w:sz w:val="22"/>
          <w:szCs w:val="22"/>
        </w:rPr>
      </w:pPr>
      <w:r w:rsidRPr="00EC705A">
        <w:rPr>
          <w:b/>
          <w:sz w:val="22"/>
          <w:szCs w:val="22"/>
        </w:rPr>
        <w:t>Class Text:</w:t>
      </w:r>
      <w:r w:rsidRPr="00EC705A">
        <w:rPr>
          <w:sz w:val="22"/>
          <w:szCs w:val="22"/>
        </w:rPr>
        <w:t xml:space="preserve"> </w:t>
      </w:r>
      <w:r w:rsidRPr="00EC705A">
        <w:rPr>
          <w:sz w:val="22"/>
          <w:szCs w:val="22"/>
        </w:rPr>
        <w:tab/>
        <w:t>“</w:t>
      </w:r>
      <w:r>
        <w:rPr>
          <w:sz w:val="22"/>
          <w:szCs w:val="22"/>
        </w:rPr>
        <w:t>Supply Chain Management”</w:t>
      </w:r>
      <w:r w:rsidRPr="00EC705A">
        <w:rPr>
          <w:sz w:val="22"/>
          <w:szCs w:val="22"/>
        </w:rPr>
        <w:t xml:space="preserve">, </w:t>
      </w:r>
      <w:r>
        <w:rPr>
          <w:sz w:val="22"/>
          <w:szCs w:val="22"/>
        </w:rPr>
        <w:t xml:space="preserve">Sunil Chopra and Peter </w:t>
      </w:r>
      <w:proofErr w:type="spellStart"/>
      <w:r>
        <w:rPr>
          <w:sz w:val="22"/>
          <w:szCs w:val="22"/>
        </w:rPr>
        <w:t>Meindl</w:t>
      </w:r>
      <w:proofErr w:type="spellEnd"/>
      <w:r>
        <w:rPr>
          <w:sz w:val="22"/>
          <w:szCs w:val="22"/>
        </w:rPr>
        <w:t>.</w:t>
      </w:r>
      <w:r w:rsidRPr="003F0755">
        <w:rPr>
          <w:sz w:val="22"/>
          <w:szCs w:val="22"/>
        </w:rPr>
        <w:t xml:space="preserve"> </w:t>
      </w:r>
    </w:p>
    <w:p w14:paraId="2B385633" w14:textId="77777777" w:rsidR="00027CBA" w:rsidRDefault="00027CBA" w:rsidP="00EB6A35">
      <w:pPr>
        <w:spacing w:before="120"/>
        <w:ind w:left="1800" w:hanging="1800"/>
        <w:rPr>
          <w:sz w:val="22"/>
          <w:szCs w:val="22"/>
        </w:rPr>
      </w:pPr>
    </w:p>
    <w:p w14:paraId="2B4FA5BD" w14:textId="29961AE1" w:rsidR="00027CBA" w:rsidRDefault="00027CBA" w:rsidP="00EB6A35">
      <w:pPr>
        <w:spacing w:before="120"/>
        <w:ind w:left="1800" w:hanging="1800"/>
        <w:rPr>
          <w:b/>
          <w:sz w:val="22"/>
          <w:szCs w:val="22"/>
        </w:rPr>
      </w:pPr>
      <w:r w:rsidRPr="00027CBA">
        <w:rPr>
          <w:b/>
          <w:sz w:val="22"/>
          <w:szCs w:val="22"/>
        </w:rPr>
        <w:t>Learning Outcomes:</w:t>
      </w:r>
    </w:p>
    <w:p w14:paraId="7E91EDB2" w14:textId="01C93207" w:rsidR="00027CBA" w:rsidRDefault="00027CBA" w:rsidP="00EB6A35">
      <w:pPr>
        <w:spacing w:before="120"/>
        <w:ind w:left="1800" w:hanging="1800"/>
        <w:rPr>
          <w:sz w:val="22"/>
          <w:szCs w:val="22"/>
        </w:rPr>
      </w:pPr>
      <w:r>
        <w:rPr>
          <w:b/>
          <w:sz w:val="22"/>
          <w:szCs w:val="22"/>
        </w:rPr>
        <w:tab/>
      </w:r>
      <w:r w:rsidRPr="00027CBA">
        <w:rPr>
          <w:sz w:val="22"/>
          <w:szCs w:val="22"/>
        </w:rPr>
        <w:t>Students will</w:t>
      </w:r>
    </w:p>
    <w:p w14:paraId="1E90F290" w14:textId="63846607" w:rsidR="00027CBA" w:rsidRDefault="00027CBA" w:rsidP="00027CBA">
      <w:pPr>
        <w:pStyle w:val="ListParagraph"/>
        <w:numPr>
          <w:ilvl w:val="0"/>
          <w:numId w:val="17"/>
        </w:numPr>
        <w:spacing w:before="120"/>
        <w:rPr>
          <w:sz w:val="22"/>
          <w:szCs w:val="22"/>
        </w:rPr>
      </w:pPr>
      <w:r>
        <w:rPr>
          <w:sz w:val="22"/>
          <w:szCs w:val="22"/>
        </w:rPr>
        <w:t>understand the structure of manufacturing supply chains, and techniques for supply chain system performance measurement;</w:t>
      </w:r>
    </w:p>
    <w:p w14:paraId="694AF607" w14:textId="64DF19D8" w:rsidR="00027CBA" w:rsidRDefault="00425FF4" w:rsidP="00027CBA">
      <w:pPr>
        <w:pStyle w:val="ListParagraph"/>
        <w:numPr>
          <w:ilvl w:val="0"/>
          <w:numId w:val="17"/>
        </w:numPr>
        <w:spacing w:before="120"/>
        <w:rPr>
          <w:sz w:val="22"/>
          <w:szCs w:val="22"/>
        </w:rPr>
      </w:pPr>
      <w:r>
        <w:rPr>
          <w:sz w:val="22"/>
          <w:szCs w:val="22"/>
        </w:rPr>
        <w:t>develop skill in applying quantitative analysis of demand management, inventory management, warehousing, distribution, and freight transportation systems, including skill in using software tools such statistical analysis and optimization applications;</w:t>
      </w:r>
    </w:p>
    <w:p w14:paraId="5DEF5F24" w14:textId="1DB997D0" w:rsidR="00425FF4" w:rsidRPr="00027CBA" w:rsidRDefault="00425FF4" w:rsidP="00027CBA">
      <w:pPr>
        <w:pStyle w:val="ListParagraph"/>
        <w:numPr>
          <w:ilvl w:val="0"/>
          <w:numId w:val="17"/>
        </w:numPr>
        <w:spacing w:before="120"/>
        <w:rPr>
          <w:sz w:val="22"/>
          <w:szCs w:val="22"/>
        </w:rPr>
      </w:pPr>
      <w:proofErr w:type="gramStart"/>
      <w:r>
        <w:rPr>
          <w:sz w:val="22"/>
          <w:szCs w:val="22"/>
        </w:rPr>
        <w:t>develop</w:t>
      </w:r>
      <w:proofErr w:type="gramEnd"/>
      <w:r>
        <w:rPr>
          <w:sz w:val="22"/>
          <w:szCs w:val="22"/>
        </w:rPr>
        <w:t xml:space="preserve"> skill in the design of manufacturing supply chains to meet performance criteria or optimize performance metrics.</w:t>
      </w:r>
    </w:p>
    <w:p w14:paraId="21AC7311" w14:textId="77777777" w:rsidR="00EB6A35" w:rsidRDefault="00EB6A35" w:rsidP="00EB6A35">
      <w:pPr>
        <w:ind w:left="1800" w:hanging="1800"/>
        <w:rPr>
          <w:sz w:val="22"/>
          <w:szCs w:val="22"/>
        </w:rPr>
      </w:pPr>
    </w:p>
    <w:tbl>
      <w:tblPr>
        <w:tblW w:w="9540" w:type="dxa"/>
        <w:tblInd w:w="108" w:type="dxa"/>
        <w:tblLook w:val="04A0" w:firstRow="1" w:lastRow="0" w:firstColumn="1" w:lastColumn="0" w:noHBand="0" w:noVBand="1"/>
      </w:tblPr>
      <w:tblGrid>
        <w:gridCol w:w="1710"/>
        <w:gridCol w:w="7830"/>
      </w:tblGrid>
      <w:tr w:rsidR="00EB6A35" w:rsidRPr="0021327B" w14:paraId="7F1A13BA" w14:textId="77777777" w:rsidTr="007D3728">
        <w:tc>
          <w:tcPr>
            <w:tcW w:w="1710" w:type="dxa"/>
            <w:shd w:val="clear" w:color="auto" w:fill="auto"/>
          </w:tcPr>
          <w:p w14:paraId="6FC722BF" w14:textId="77777777" w:rsidR="00EB6A35" w:rsidRPr="0021327B" w:rsidRDefault="00EB6A35" w:rsidP="007D3728">
            <w:pPr>
              <w:rPr>
                <w:b/>
                <w:sz w:val="22"/>
                <w:szCs w:val="22"/>
              </w:rPr>
            </w:pPr>
            <w:r w:rsidRPr="0021327B">
              <w:rPr>
                <w:b/>
                <w:sz w:val="22"/>
                <w:szCs w:val="22"/>
              </w:rPr>
              <w:t xml:space="preserve">Topics </w:t>
            </w:r>
          </w:p>
        </w:tc>
        <w:tc>
          <w:tcPr>
            <w:tcW w:w="7830" w:type="dxa"/>
            <w:shd w:val="clear" w:color="auto" w:fill="auto"/>
          </w:tcPr>
          <w:p w14:paraId="458CF5D8" w14:textId="59578753" w:rsidR="00EB6A35" w:rsidRPr="00DE498B" w:rsidRDefault="007D3728" w:rsidP="00EB6A35">
            <w:pPr>
              <w:numPr>
                <w:ilvl w:val="0"/>
                <w:numId w:val="12"/>
              </w:numPr>
              <w:rPr>
                <w:sz w:val="22"/>
                <w:szCs w:val="22"/>
              </w:rPr>
            </w:pPr>
            <w:r>
              <w:rPr>
                <w:sz w:val="22"/>
                <w:szCs w:val="22"/>
              </w:rPr>
              <w:t>Understanding the Manufacturing Supply Chain</w:t>
            </w:r>
          </w:p>
          <w:p w14:paraId="69BFD34D" w14:textId="6A444D54" w:rsidR="00EB6A35" w:rsidRPr="007D3728" w:rsidRDefault="007D3728" w:rsidP="00EB6A35">
            <w:pPr>
              <w:numPr>
                <w:ilvl w:val="0"/>
                <w:numId w:val="10"/>
              </w:numPr>
              <w:rPr>
                <w:sz w:val="22"/>
                <w:szCs w:val="22"/>
              </w:rPr>
            </w:pPr>
            <w:r>
              <w:rPr>
                <w:sz w:val="22"/>
                <w:szCs w:val="22"/>
              </w:rPr>
              <w:t>Performance metrics and measurement</w:t>
            </w:r>
            <w:r w:rsidR="00EB6A35">
              <w:rPr>
                <w:sz w:val="22"/>
                <w:szCs w:val="22"/>
              </w:rPr>
              <w:t xml:space="preserve"> </w:t>
            </w:r>
          </w:p>
        </w:tc>
      </w:tr>
      <w:tr w:rsidR="00EB6A35" w:rsidRPr="0021327B" w14:paraId="71FE8889" w14:textId="77777777" w:rsidTr="007D3728">
        <w:tc>
          <w:tcPr>
            <w:tcW w:w="1710" w:type="dxa"/>
            <w:shd w:val="clear" w:color="auto" w:fill="auto"/>
          </w:tcPr>
          <w:p w14:paraId="2673AFD9" w14:textId="77777777" w:rsidR="00EB6A35" w:rsidRPr="0021327B" w:rsidRDefault="00EB6A35" w:rsidP="007D3728">
            <w:pPr>
              <w:rPr>
                <w:b/>
                <w:sz w:val="22"/>
                <w:szCs w:val="22"/>
              </w:rPr>
            </w:pPr>
          </w:p>
        </w:tc>
        <w:tc>
          <w:tcPr>
            <w:tcW w:w="7830" w:type="dxa"/>
            <w:shd w:val="clear" w:color="auto" w:fill="auto"/>
          </w:tcPr>
          <w:p w14:paraId="3F2DD340" w14:textId="78457296" w:rsidR="00EB6A35" w:rsidRPr="0021327B" w:rsidRDefault="00EF3428" w:rsidP="00EB6A35">
            <w:pPr>
              <w:numPr>
                <w:ilvl w:val="0"/>
                <w:numId w:val="12"/>
              </w:numPr>
              <w:spacing w:before="120"/>
              <w:rPr>
                <w:sz w:val="22"/>
                <w:szCs w:val="22"/>
              </w:rPr>
            </w:pPr>
            <w:r>
              <w:rPr>
                <w:sz w:val="22"/>
                <w:szCs w:val="22"/>
              </w:rPr>
              <w:t>Supply Chain Demand Management</w:t>
            </w:r>
          </w:p>
          <w:p w14:paraId="1B49DCD4" w14:textId="77777777" w:rsidR="00EF3428" w:rsidRDefault="00EF3428" w:rsidP="00EB6A35">
            <w:pPr>
              <w:numPr>
                <w:ilvl w:val="0"/>
                <w:numId w:val="10"/>
              </w:numPr>
              <w:rPr>
                <w:sz w:val="22"/>
                <w:szCs w:val="22"/>
              </w:rPr>
            </w:pPr>
            <w:r>
              <w:rPr>
                <w:sz w:val="22"/>
                <w:szCs w:val="22"/>
              </w:rPr>
              <w:t>Forecasting demand</w:t>
            </w:r>
          </w:p>
          <w:p w14:paraId="424E0A39" w14:textId="77777777" w:rsidR="00EB6A35" w:rsidRDefault="00EF3428" w:rsidP="00EF3428">
            <w:pPr>
              <w:numPr>
                <w:ilvl w:val="0"/>
                <w:numId w:val="10"/>
              </w:numPr>
              <w:rPr>
                <w:sz w:val="22"/>
                <w:szCs w:val="22"/>
              </w:rPr>
            </w:pPr>
            <w:r>
              <w:rPr>
                <w:sz w:val="22"/>
                <w:szCs w:val="22"/>
              </w:rPr>
              <w:t>Sales and operations planning</w:t>
            </w:r>
          </w:p>
          <w:p w14:paraId="667A0429" w14:textId="46EB0ABE" w:rsidR="00EF3428" w:rsidRPr="00EF3428" w:rsidRDefault="00EF3428" w:rsidP="00EF3428">
            <w:pPr>
              <w:numPr>
                <w:ilvl w:val="0"/>
                <w:numId w:val="10"/>
              </w:numPr>
              <w:rPr>
                <w:sz w:val="22"/>
                <w:szCs w:val="22"/>
              </w:rPr>
            </w:pPr>
            <w:r>
              <w:rPr>
                <w:sz w:val="22"/>
                <w:szCs w:val="22"/>
              </w:rPr>
              <w:t>Pricing and revenue management</w:t>
            </w:r>
          </w:p>
        </w:tc>
      </w:tr>
      <w:tr w:rsidR="00EB6A35" w:rsidRPr="0021327B" w14:paraId="18AA2371" w14:textId="77777777" w:rsidTr="007D3728">
        <w:tc>
          <w:tcPr>
            <w:tcW w:w="1710" w:type="dxa"/>
            <w:shd w:val="clear" w:color="auto" w:fill="auto"/>
          </w:tcPr>
          <w:p w14:paraId="4CC8E256" w14:textId="7BA98010" w:rsidR="00EB6A35" w:rsidRPr="0021327B" w:rsidRDefault="00EB6A35" w:rsidP="007D3728">
            <w:pPr>
              <w:spacing w:before="240"/>
              <w:rPr>
                <w:b/>
                <w:sz w:val="22"/>
                <w:szCs w:val="22"/>
              </w:rPr>
            </w:pPr>
          </w:p>
        </w:tc>
        <w:tc>
          <w:tcPr>
            <w:tcW w:w="7830" w:type="dxa"/>
            <w:shd w:val="clear" w:color="auto" w:fill="auto"/>
          </w:tcPr>
          <w:p w14:paraId="519FCCBE" w14:textId="660C5292" w:rsidR="00EB6A35" w:rsidRDefault="00EF3428" w:rsidP="00EB6A35">
            <w:pPr>
              <w:numPr>
                <w:ilvl w:val="0"/>
                <w:numId w:val="12"/>
              </w:numPr>
              <w:spacing w:before="120"/>
              <w:rPr>
                <w:sz w:val="22"/>
                <w:szCs w:val="22"/>
              </w:rPr>
            </w:pPr>
            <w:r>
              <w:rPr>
                <w:sz w:val="22"/>
                <w:szCs w:val="22"/>
              </w:rPr>
              <w:t>Supply Chain Inventory Management</w:t>
            </w:r>
          </w:p>
          <w:p w14:paraId="7A7E6425" w14:textId="01C89F7B" w:rsidR="00EB6A35" w:rsidRDefault="00EF3428" w:rsidP="00EB6A35">
            <w:pPr>
              <w:numPr>
                <w:ilvl w:val="0"/>
                <w:numId w:val="11"/>
              </w:numPr>
              <w:rPr>
                <w:sz w:val="22"/>
                <w:szCs w:val="22"/>
              </w:rPr>
            </w:pPr>
            <w:r>
              <w:rPr>
                <w:sz w:val="22"/>
                <w:szCs w:val="22"/>
              </w:rPr>
              <w:t>Cycle inventory</w:t>
            </w:r>
          </w:p>
          <w:p w14:paraId="089AEF81" w14:textId="77777777" w:rsidR="00EF3428" w:rsidRDefault="00EF3428" w:rsidP="00EB6A35">
            <w:pPr>
              <w:numPr>
                <w:ilvl w:val="0"/>
                <w:numId w:val="11"/>
              </w:numPr>
              <w:rPr>
                <w:sz w:val="22"/>
                <w:szCs w:val="22"/>
              </w:rPr>
            </w:pPr>
            <w:r>
              <w:rPr>
                <w:sz w:val="22"/>
                <w:szCs w:val="22"/>
              </w:rPr>
              <w:t>Safety inventory</w:t>
            </w:r>
          </w:p>
          <w:p w14:paraId="2B2DEAF9" w14:textId="4DF81856" w:rsidR="00EF3428" w:rsidRDefault="00EF3428" w:rsidP="00EB6A35">
            <w:pPr>
              <w:numPr>
                <w:ilvl w:val="0"/>
                <w:numId w:val="11"/>
              </w:numPr>
              <w:rPr>
                <w:sz w:val="22"/>
                <w:szCs w:val="22"/>
              </w:rPr>
            </w:pPr>
            <w:r>
              <w:rPr>
                <w:sz w:val="22"/>
                <w:szCs w:val="22"/>
              </w:rPr>
              <w:t>Inventory management policies</w:t>
            </w:r>
          </w:p>
          <w:p w14:paraId="5719ED1C" w14:textId="0B7F5F96" w:rsidR="00F74085" w:rsidRPr="00F74085" w:rsidRDefault="00EF3428" w:rsidP="00F74085">
            <w:pPr>
              <w:numPr>
                <w:ilvl w:val="0"/>
                <w:numId w:val="11"/>
              </w:numPr>
              <w:rPr>
                <w:sz w:val="22"/>
                <w:szCs w:val="22"/>
              </w:rPr>
            </w:pPr>
            <w:r>
              <w:rPr>
                <w:sz w:val="22"/>
                <w:szCs w:val="22"/>
              </w:rPr>
              <w:t>Strategic safety stock management</w:t>
            </w:r>
            <w:r w:rsidR="00EB6A35">
              <w:rPr>
                <w:sz w:val="22"/>
                <w:szCs w:val="22"/>
              </w:rPr>
              <w:t xml:space="preserve"> </w:t>
            </w:r>
          </w:p>
        </w:tc>
      </w:tr>
      <w:tr w:rsidR="00EB6A35" w:rsidRPr="0021327B" w14:paraId="746BB387" w14:textId="77777777" w:rsidTr="007D3728">
        <w:tc>
          <w:tcPr>
            <w:tcW w:w="1710" w:type="dxa"/>
            <w:shd w:val="clear" w:color="auto" w:fill="auto"/>
          </w:tcPr>
          <w:p w14:paraId="521E587A" w14:textId="1B9C15AC" w:rsidR="00EB6A35" w:rsidRPr="0021327B" w:rsidRDefault="00EB6A35" w:rsidP="007D3728">
            <w:pPr>
              <w:spacing w:before="240"/>
              <w:rPr>
                <w:b/>
                <w:sz w:val="22"/>
                <w:szCs w:val="22"/>
              </w:rPr>
            </w:pPr>
          </w:p>
        </w:tc>
        <w:tc>
          <w:tcPr>
            <w:tcW w:w="7830" w:type="dxa"/>
            <w:shd w:val="clear" w:color="auto" w:fill="auto"/>
          </w:tcPr>
          <w:p w14:paraId="74954B5B" w14:textId="77777777" w:rsidR="00F74085" w:rsidRDefault="00F74085" w:rsidP="00EB6A35">
            <w:pPr>
              <w:numPr>
                <w:ilvl w:val="0"/>
                <w:numId w:val="12"/>
              </w:numPr>
              <w:spacing w:before="120"/>
              <w:rPr>
                <w:sz w:val="22"/>
                <w:szCs w:val="22"/>
              </w:rPr>
            </w:pPr>
            <w:r>
              <w:rPr>
                <w:sz w:val="22"/>
                <w:szCs w:val="22"/>
              </w:rPr>
              <w:t>Warehousing and Distribution</w:t>
            </w:r>
          </w:p>
          <w:p w14:paraId="17CBAA16" w14:textId="77777777" w:rsidR="00F74085" w:rsidRDefault="00F74085" w:rsidP="00F74085">
            <w:pPr>
              <w:numPr>
                <w:ilvl w:val="0"/>
                <w:numId w:val="16"/>
              </w:numPr>
              <w:spacing w:before="120"/>
              <w:rPr>
                <w:sz w:val="22"/>
                <w:szCs w:val="22"/>
              </w:rPr>
            </w:pPr>
            <w:r>
              <w:rPr>
                <w:sz w:val="22"/>
                <w:szCs w:val="22"/>
              </w:rPr>
              <w:t>Distribution facilities</w:t>
            </w:r>
          </w:p>
          <w:p w14:paraId="3A903552" w14:textId="02842EC1" w:rsidR="00F74085" w:rsidRPr="00F74085" w:rsidRDefault="00F74085" w:rsidP="00F74085">
            <w:pPr>
              <w:numPr>
                <w:ilvl w:val="0"/>
                <w:numId w:val="16"/>
              </w:numPr>
              <w:spacing w:before="120"/>
              <w:rPr>
                <w:sz w:val="22"/>
                <w:szCs w:val="22"/>
              </w:rPr>
            </w:pPr>
            <w:r>
              <w:rPr>
                <w:sz w:val="22"/>
                <w:szCs w:val="22"/>
              </w:rPr>
              <w:t>Storage and retrieval systems planning</w:t>
            </w:r>
          </w:p>
          <w:p w14:paraId="71352386" w14:textId="23126D06" w:rsidR="00EB6A35" w:rsidRDefault="00EF3428" w:rsidP="00EB6A35">
            <w:pPr>
              <w:numPr>
                <w:ilvl w:val="0"/>
                <w:numId w:val="12"/>
              </w:numPr>
              <w:spacing w:before="120"/>
              <w:rPr>
                <w:sz w:val="22"/>
                <w:szCs w:val="22"/>
              </w:rPr>
            </w:pPr>
            <w:r>
              <w:rPr>
                <w:sz w:val="22"/>
                <w:szCs w:val="22"/>
              </w:rPr>
              <w:t>Freight Transportation Management</w:t>
            </w:r>
          </w:p>
          <w:p w14:paraId="1EA0B867" w14:textId="761FE02F" w:rsidR="00EB6A35" w:rsidRDefault="00EF3428" w:rsidP="00EB6A35">
            <w:pPr>
              <w:numPr>
                <w:ilvl w:val="0"/>
                <w:numId w:val="11"/>
              </w:numPr>
              <w:rPr>
                <w:sz w:val="22"/>
                <w:szCs w:val="22"/>
              </w:rPr>
            </w:pPr>
            <w:r>
              <w:rPr>
                <w:sz w:val="22"/>
                <w:szCs w:val="22"/>
              </w:rPr>
              <w:t>Freight modes and characteristics</w:t>
            </w:r>
          </w:p>
          <w:p w14:paraId="6D77A946" w14:textId="77777777" w:rsidR="00EF3428" w:rsidRDefault="00EF3428" w:rsidP="00EB6A35">
            <w:pPr>
              <w:numPr>
                <w:ilvl w:val="0"/>
                <w:numId w:val="11"/>
              </w:numPr>
              <w:rPr>
                <w:sz w:val="22"/>
                <w:szCs w:val="22"/>
              </w:rPr>
            </w:pPr>
            <w:r>
              <w:rPr>
                <w:sz w:val="22"/>
                <w:szCs w:val="22"/>
              </w:rPr>
              <w:t>Long-haul transportation</w:t>
            </w:r>
          </w:p>
          <w:p w14:paraId="7E03D768" w14:textId="09192C16" w:rsidR="00EB6A35" w:rsidRPr="00EF3428" w:rsidRDefault="00EF3428" w:rsidP="00EF3428">
            <w:pPr>
              <w:numPr>
                <w:ilvl w:val="0"/>
                <w:numId w:val="11"/>
              </w:numPr>
              <w:rPr>
                <w:sz w:val="22"/>
                <w:szCs w:val="22"/>
              </w:rPr>
            </w:pPr>
            <w:r>
              <w:rPr>
                <w:sz w:val="22"/>
                <w:szCs w:val="22"/>
              </w:rPr>
              <w:t>Local distribution</w:t>
            </w:r>
          </w:p>
        </w:tc>
      </w:tr>
      <w:tr w:rsidR="00EB6A35" w:rsidRPr="0021327B" w14:paraId="4CAC812D" w14:textId="77777777" w:rsidTr="007D3728">
        <w:tc>
          <w:tcPr>
            <w:tcW w:w="1710" w:type="dxa"/>
            <w:shd w:val="clear" w:color="auto" w:fill="auto"/>
          </w:tcPr>
          <w:p w14:paraId="62D340E5" w14:textId="495A65FA" w:rsidR="00EB6A35" w:rsidRPr="0021327B" w:rsidRDefault="00EB6A35" w:rsidP="007D3728">
            <w:pPr>
              <w:spacing w:before="240"/>
              <w:rPr>
                <w:b/>
                <w:sz w:val="22"/>
                <w:szCs w:val="22"/>
              </w:rPr>
            </w:pPr>
          </w:p>
        </w:tc>
        <w:tc>
          <w:tcPr>
            <w:tcW w:w="7830" w:type="dxa"/>
            <w:shd w:val="clear" w:color="auto" w:fill="auto"/>
          </w:tcPr>
          <w:p w14:paraId="3FF428CE" w14:textId="4E5231D1" w:rsidR="00EB6A35" w:rsidRDefault="00EF3428" w:rsidP="00EF3428">
            <w:pPr>
              <w:numPr>
                <w:ilvl w:val="0"/>
                <w:numId w:val="12"/>
              </w:numPr>
              <w:spacing w:before="120"/>
              <w:rPr>
                <w:sz w:val="22"/>
                <w:szCs w:val="22"/>
              </w:rPr>
            </w:pPr>
            <w:r>
              <w:rPr>
                <w:sz w:val="22"/>
                <w:szCs w:val="22"/>
              </w:rPr>
              <w:t>Network Design</w:t>
            </w:r>
          </w:p>
          <w:p w14:paraId="7240CF59" w14:textId="505979CE" w:rsidR="00EF3428" w:rsidRDefault="00EF3428" w:rsidP="00EF3428">
            <w:pPr>
              <w:numPr>
                <w:ilvl w:val="0"/>
                <w:numId w:val="14"/>
              </w:numPr>
              <w:rPr>
                <w:sz w:val="22"/>
                <w:szCs w:val="22"/>
              </w:rPr>
            </w:pPr>
            <w:r>
              <w:rPr>
                <w:sz w:val="22"/>
                <w:szCs w:val="22"/>
              </w:rPr>
              <w:t>Procurement and supplier selection</w:t>
            </w:r>
          </w:p>
          <w:p w14:paraId="55CD891C" w14:textId="4911E385" w:rsidR="00EF3428" w:rsidRDefault="00EF3428" w:rsidP="00EF3428">
            <w:pPr>
              <w:numPr>
                <w:ilvl w:val="0"/>
                <w:numId w:val="14"/>
              </w:numPr>
              <w:rPr>
                <w:sz w:val="22"/>
                <w:szCs w:val="22"/>
              </w:rPr>
            </w:pPr>
            <w:r>
              <w:rPr>
                <w:sz w:val="22"/>
                <w:szCs w:val="22"/>
              </w:rPr>
              <w:t>Facility location</w:t>
            </w:r>
          </w:p>
          <w:p w14:paraId="5D6D7EF6" w14:textId="59508699" w:rsidR="00EB6A35" w:rsidRPr="00F74085" w:rsidRDefault="00EF3428" w:rsidP="00F74085">
            <w:pPr>
              <w:numPr>
                <w:ilvl w:val="0"/>
                <w:numId w:val="14"/>
              </w:numPr>
              <w:rPr>
                <w:sz w:val="22"/>
                <w:szCs w:val="22"/>
              </w:rPr>
            </w:pPr>
            <w:r>
              <w:rPr>
                <w:sz w:val="22"/>
                <w:szCs w:val="22"/>
              </w:rPr>
              <w:t>Gl</w:t>
            </w:r>
            <w:r w:rsidR="00F74085">
              <w:rPr>
                <w:sz w:val="22"/>
                <w:szCs w:val="22"/>
              </w:rPr>
              <w:t>obal supply chain network design</w:t>
            </w:r>
          </w:p>
        </w:tc>
      </w:tr>
    </w:tbl>
    <w:p w14:paraId="2D27A84B" w14:textId="1EF480FA" w:rsidR="00CB39B6" w:rsidRDefault="00CB39B6" w:rsidP="00CB39B6">
      <w:pPr>
        <w:spacing w:before="120"/>
        <w:contextualSpacing/>
      </w:pPr>
    </w:p>
    <w:p w14:paraId="5E764693" w14:textId="77777777" w:rsidR="009646AE" w:rsidRDefault="009646AE" w:rsidP="00CB39B6">
      <w:pPr>
        <w:spacing w:before="120"/>
        <w:contextualSpacing/>
      </w:pPr>
    </w:p>
    <w:p w14:paraId="5CD4F69F" w14:textId="77777777" w:rsidR="009646AE" w:rsidRDefault="009646AE" w:rsidP="009646AE">
      <w:pPr>
        <w:ind w:right="-720"/>
        <w:rPr>
          <w:b/>
          <w:sz w:val="22"/>
          <w:szCs w:val="22"/>
        </w:rPr>
      </w:pPr>
      <w:r>
        <w:rPr>
          <w:b/>
          <w:sz w:val="22"/>
          <w:szCs w:val="22"/>
        </w:rPr>
        <w:t>Grading Policy:</w:t>
      </w:r>
    </w:p>
    <w:p w14:paraId="710621C7" w14:textId="794E4212" w:rsidR="009646AE" w:rsidRPr="00190840" w:rsidRDefault="009646AE" w:rsidP="009646AE">
      <w:pPr>
        <w:ind w:left="720" w:right="-720" w:firstLine="720"/>
        <w:rPr>
          <w:sz w:val="22"/>
          <w:szCs w:val="22"/>
        </w:rPr>
      </w:pPr>
      <w:r w:rsidRPr="00190840">
        <w:rPr>
          <w:sz w:val="22"/>
          <w:szCs w:val="22"/>
        </w:rPr>
        <w:t>Homework</w:t>
      </w:r>
      <w:r>
        <w:rPr>
          <w:sz w:val="22"/>
          <w:szCs w:val="22"/>
        </w:rPr>
        <w:tab/>
      </w:r>
      <w:r>
        <w:rPr>
          <w:sz w:val="22"/>
          <w:szCs w:val="22"/>
        </w:rPr>
        <w:tab/>
      </w:r>
      <w:r w:rsidRPr="00190840">
        <w:rPr>
          <w:sz w:val="22"/>
          <w:szCs w:val="22"/>
        </w:rPr>
        <w:tab/>
        <w:t xml:space="preserve"> </w:t>
      </w:r>
      <w:r>
        <w:rPr>
          <w:sz w:val="22"/>
          <w:szCs w:val="22"/>
        </w:rPr>
        <w:tab/>
        <w:t>30</w:t>
      </w:r>
      <w:r w:rsidRPr="00190840">
        <w:rPr>
          <w:sz w:val="22"/>
          <w:szCs w:val="22"/>
        </w:rPr>
        <w:t>%</w:t>
      </w:r>
    </w:p>
    <w:p w14:paraId="3574CA93" w14:textId="03C8D0FD" w:rsidR="009646AE" w:rsidRPr="00190840" w:rsidRDefault="009646AE" w:rsidP="009646AE">
      <w:pPr>
        <w:rPr>
          <w:sz w:val="22"/>
          <w:szCs w:val="22"/>
        </w:rPr>
      </w:pPr>
      <w:r w:rsidRPr="00190840">
        <w:rPr>
          <w:sz w:val="22"/>
          <w:szCs w:val="22"/>
        </w:rPr>
        <w:tab/>
      </w:r>
      <w:r w:rsidRPr="00190840">
        <w:rPr>
          <w:sz w:val="22"/>
          <w:szCs w:val="22"/>
        </w:rPr>
        <w:tab/>
        <w:t>Exam 1</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t>30%</w:t>
      </w:r>
    </w:p>
    <w:p w14:paraId="5C8C415E" w14:textId="6AB19901" w:rsidR="009646AE" w:rsidRPr="00190840" w:rsidRDefault="009646AE" w:rsidP="009646AE">
      <w:pPr>
        <w:rPr>
          <w:sz w:val="22"/>
          <w:szCs w:val="22"/>
        </w:rPr>
      </w:pPr>
      <w:r w:rsidRPr="00190840">
        <w:rPr>
          <w:sz w:val="22"/>
          <w:szCs w:val="22"/>
        </w:rPr>
        <w:tab/>
      </w:r>
      <w:r w:rsidRPr="00190840">
        <w:rPr>
          <w:sz w:val="22"/>
          <w:szCs w:val="22"/>
        </w:rPr>
        <w:tab/>
        <w:t>Exam 2</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t>40</w:t>
      </w:r>
      <w:r w:rsidRPr="00190840">
        <w:rPr>
          <w:sz w:val="22"/>
          <w:szCs w:val="22"/>
        </w:rPr>
        <w:t>%</w:t>
      </w:r>
    </w:p>
    <w:p w14:paraId="0BB4966F" w14:textId="77777777" w:rsidR="009646AE" w:rsidRDefault="009646AE" w:rsidP="009646AE">
      <w:pPr>
        <w:rPr>
          <w:sz w:val="22"/>
          <w:szCs w:val="22"/>
        </w:rPr>
      </w:pPr>
      <w:r w:rsidRPr="00190840">
        <w:rPr>
          <w:sz w:val="22"/>
          <w:szCs w:val="22"/>
        </w:rPr>
        <w:tab/>
      </w:r>
      <w:r w:rsidRPr="00190840">
        <w:rPr>
          <w:sz w:val="22"/>
          <w:szCs w:val="22"/>
        </w:rPr>
        <w:tab/>
      </w:r>
    </w:p>
    <w:p w14:paraId="29FBC74A" w14:textId="77777777" w:rsidR="009646AE" w:rsidRDefault="009646AE" w:rsidP="009646AE">
      <w:pPr>
        <w:rPr>
          <w:sz w:val="22"/>
          <w:szCs w:val="22"/>
        </w:rPr>
      </w:pPr>
    </w:p>
    <w:p w14:paraId="179E9269" w14:textId="77777777" w:rsidR="003F262F" w:rsidRDefault="003F262F" w:rsidP="009646AE">
      <w:pPr>
        <w:rPr>
          <w:sz w:val="22"/>
          <w:szCs w:val="22"/>
        </w:rPr>
      </w:pPr>
    </w:p>
    <w:p w14:paraId="39637B7F" w14:textId="77777777" w:rsidR="003F262F" w:rsidRDefault="003F262F" w:rsidP="009646AE">
      <w:pPr>
        <w:rPr>
          <w:sz w:val="22"/>
          <w:szCs w:val="22"/>
        </w:rPr>
      </w:pPr>
    </w:p>
    <w:p w14:paraId="38857734" w14:textId="77777777" w:rsidR="003F262F" w:rsidRPr="00190840" w:rsidRDefault="003F262F" w:rsidP="009646AE">
      <w:pPr>
        <w:rPr>
          <w:sz w:val="22"/>
          <w:szCs w:val="22"/>
        </w:rPr>
      </w:pPr>
    </w:p>
    <w:p w14:paraId="3B1926BE" w14:textId="77777777" w:rsidR="009646AE" w:rsidRDefault="009646AE" w:rsidP="009646AE">
      <w:pPr>
        <w:ind w:right="-720"/>
        <w:rPr>
          <w:b/>
          <w:sz w:val="22"/>
          <w:szCs w:val="22"/>
        </w:rPr>
      </w:pPr>
      <w:r>
        <w:rPr>
          <w:b/>
          <w:sz w:val="22"/>
          <w:szCs w:val="22"/>
        </w:rPr>
        <w:t>Grading scheme:</w:t>
      </w:r>
    </w:p>
    <w:tbl>
      <w:tblPr>
        <w:tblStyle w:val="TableGrid"/>
        <w:tblW w:w="0" w:type="auto"/>
        <w:jc w:val="center"/>
        <w:tblLook w:val="04A0" w:firstRow="1" w:lastRow="0" w:firstColumn="1" w:lastColumn="0" w:noHBand="0" w:noVBand="1"/>
      </w:tblPr>
      <w:tblGrid>
        <w:gridCol w:w="3870"/>
        <w:gridCol w:w="3870"/>
      </w:tblGrid>
      <w:tr w:rsidR="009646AE" w14:paraId="7E57356F" w14:textId="77777777" w:rsidTr="00B31378">
        <w:trPr>
          <w:jc w:val="center"/>
        </w:trPr>
        <w:tc>
          <w:tcPr>
            <w:tcW w:w="3870" w:type="dxa"/>
          </w:tcPr>
          <w:p w14:paraId="4EF01E17" w14:textId="77777777" w:rsidR="009646AE" w:rsidRDefault="009646AE" w:rsidP="00B31378">
            <w:pPr>
              <w:ind w:right="-720"/>
              <w:rPr>
                <w:b/>
                <w:sz w:val="22"/>
                <w:szCs w:val="22"/>
              </w:rPr>
            </w:pPr>
            <w:r>
              <w:rPr>
                <w:b/>
                <w:sz w:val="22"/>
                <w:szCs w:val="22"/>
              </w:rPr>
              <w:t>Grade</w:t>
            </w:r>
          </w:p>
        </w:tc>
        <w:tc>
          <w:tcPr>
            <w:tcW w:w="3870" w:type="dxa"/>
          </w:tcPr>
          <w:p w14:paraId="6CBF34BD" w14:textId="77777777" w:rsidR="009646AE" w:rsidRDefault="009646AE" w:rsidP="00B31378">
            <w:pPr>
              <w:ind w:right="-720"/>
              <w:rPr>
                <w:b/>
                <w:sz w:val="22"/>
                <w:szCs w:val="22"/>
              </w:rPr>
            </w:pPr>
            <w:r>
              <w:rPr>
                <w:b/>
                <w:sz w:val="22"/>
                <w:szCs w:val="22"/>
              </w:rPr>
              <w:t>Range</w:t>
            </w:r>
          </w:p>
        </w:tc>
      </w:tr>
      <w:tr w:rsidR="009646AE" w14:paraId="463DE202" w14:textId="77777777" w:rsidTr="00B31378">
        <w:trPr>
          <w:jc w:val="center"/>
        </w:trPr>
        <w:tc>
          <w:tcPr>
            <w:tcW w:w="3870" w:type="dxa"/>
          </w:tcPr>
          <w:p w14:paraId="72A9F069" w14:textId="77777777" w:rsidR="009646AE" w:rsidRPr="009B17D2" w:rsidRDefault="009646AE" w:rsidP="00B31378">
            <w:pPr>
              <w:ind w:right="-720"/>
              <w:rPr>
                <w:sz w:val="22"/>
                <w:szCs w:val="22"/>
              </w:rPr>
            </w:pPr>
            <w:r w:rsidRPr="009B17D2">
              <w:rPr>
                <w:sz w:val="22"/>
                <w:szCs w:val="22"/>
              </w:rPr>
              <w:t>A</w:t>
            </w:r>
          </w:p>
        </w:tc>
        <w:tc>
          <w:tcPr>
            <w:tcW w:w="3870" w:type="dxa"/>
          </w:tcPr>
          <w:p w14:paraId="7C78ED8B" w14:textId="77777777" w:rsidR="009646AE" w:rsidRPr="009B17D2" w:rsidRDefault="009646AE" w:rsidP="00B31378">
            <w:pPr>
              <w:ind w:right="-720"/>
              <w:rPr>
                <w:sz w:val="22"/>
                <w:szCs w:val="22"/>
              </w:rPr>
            </w:pPr>
            <w:r w:rsidRPr="009B17D2">
              <w:rPr>
                <w:sz w:val="22"/>
                <w:szCs w:val="22"/>
              </w:rPr>
              <w:t>90% to 100%</w:t>
            </w:r>
          </w:p>
        </w:tc>
      </w:tr>
      <w:tr w:rsidR="009646AE" w14:paraId="5165425B" w14:textId="77777777" w:rsidTr="00B31378">
        <w:trPr>
          <w:jc w:val="center"/>
        </w:trPr>
        <w:tc>
          <w:tcPr>
            <w:tcW w:w="3870" w:type="dxa"/>
          </w:tcPr>
          <w:p w14:paraId="4F1451F3" w14:textId="77777777" w:rsidR="009646AE" w:rsidRPr="009B17D2" w:rsidRDefault="009646AE" w:rsidP="00B31378">
            <w:pPr>
              <w:ind w:right="-720"/>
              <w:rPr>
                <w:sz w:val="22"/>
                <w:szCs w:val="22"/>
              </w:rPr>
            </w:pPr>
            <w:r w:rsidRPr="009B17D2">
              <w:rPr>
                <w:sz w:val="22"/>
                <w:szCs w:val="22"/>
              </w:rPr>
              <w:t>B</w:t>
            </w:r>
          </w:p>
        </w:tc>
        <w:tc>
          <w:tcPr>
            <w:tcW w:w="3870" w:type="dxa"/>
          </w:tcPr>
          <w:p w14:paraId="5998AE58" w14:textId="77777777" w:rsidR="009646AE" w:rsidRPr="009B17D2" w:rsidRDefault="009646AE" w:rsidP="00B31378">
            <w:pPr>
              <w:ind w:right="-720"/>
              <w:rPr>
                <w:sz w:val="22"/>
                <w:szCs w:val="22"/>
              </w:rPr>
            </w:pPr>
            <w:r>
              <w:rPr>
                <w:sz w:val="22"/>
                <w:szCs w:val="22"/>
              </w:rPr>
              <w:t>80% to 90%</w:t>
            </w:r>
          </w:p>
        </w:tc>
      </w:tr>
      <w:tr w:rsidR="009646AE" w14:paraId="42C0D98A" w14:textId="77777777" w:rsidTr="00B31378">
        <w:trPr>
          <w:jc w:val="center"/>
        </w:trPr>
        <w:tc>
          <w:tcPr>
            <w:tcW w:w="3870" w:type="dxa"/>
          </w:tcPr>
          <w:p w14:paraId="34AF757A" w14:textId="77777777" w:rsidR="009646AE" w:rsidRPr="009B17D2" w:rsidRDefault="009646AE" w:rsidP="00B31378">
            <w:pPr>
              <w:ind w:right="-720"/>
              <w:rPr>
                <w:sz w:val="22"/>
                <w:szCs w:val="22"/>
              </w:rPr>
            </w:pPr>
            <w:r w:rsidRPr="009B17D2">
              <w:rPr>
                <w:sz w:val="22"/>
                <w:szCs w:val="22"/>
              </w:rPr>
              <w:t>C</w:t>
            </w:r>
          </w:p>
        </w:tc>
        <w:tc>
          <w:tcPr>
            <w:tcW w:w="3870" w:type="dxa"/>
          </w:tcPr>
          <w:p w14:paraId="4A3A89AF" w14:textId="77777777" w:rsidR="009646AE" w:rsidRPr="009B17D2" w:rsidRDefault="009646AE" w:rsidP="00B31378">
            <w:pPr>
              <w:ind w:right="-720"/>
              <w:rPr>
                <w:sz w:val="22"/>
                <w:szCs w:val="22"/>
              </w:rPr>
            </w:pPr>
            <w:r>
              <w:rPr>
                <w:sz w:val="22"/>
                <w:szCs w:val="22"/>
              </w:rPr>
              <w:t>70% to 80%</w:t>
            </w:r>
          </w:p>
        </w:tc>
      </w:tr>
      <w:tr w:rsidR="009646AE" w14:paraId="55DAF8B6" w14:textId="77777777" w:rsidTr="00B31378">
        <w:trPr>
          <w:jc w:val="center"/>
        </w:trPr>
        <w:tc>
          <w:tcPr>
            <w:tcW w:w="3870" w:type="dxa"/>
          </w:tcPr>
          <w:p w14:paraId="7B664A3D" w14:textId="77777777" w:rsidR="009646AE" w:rsidRPr="009B17D2" w:rsidRDefault="009646AE" w:rsidP="00B31378">
            <w:pPr>
              <w:ind w:right="-720"/>
              <w:rPr>
                <w:sz w:val="22"/>
                <w:szCs w:val="22"/>
              </w:rPr>
            </w:pPr>
            <w:r w:rsidRPr="009B17D2">
              <w:rPr>
                <w:sz w:val="22"/>
                <w:szCs w:val="22"/>
              </w:rPr>
              <w:t>D</w:t>
            </w:r>
          </w:p>
        </w:tc>
        <w:tc>
          <w:tcPr>
            <w:tcW w:w="3870" w:type="dxa"/>
          </w:tcPr>
          <w:p w14:paraId="1E3AEE76" w14:textId="77777777" w:rsidR="009646AE" w:rsidRPr="009B17D2" w:rsidRDefault="009646AE" w:rsidP="00B31378">
            <w:pPr>
              <w:ind w:right="-720"/>
              <w:rPr>
                <w:sz w:val="22"/>
                <w:szCs w:val="22"/>
              </w:rPr>
            </w:pPr>
            <w:r>
              <w:rPr>
                <w:sz w:val="22"/>
                <w:szCs w:val="22"/>
              </w:rPr>
              <w:t>60% to 70%</w:t>
            </w:r>
          </w:p>
        </w:tc>
      </w:tr>
      <w:tr w:rsidR="009646AE" w14:paraId="7DC78CE9" w14:textId="77777777" w:rsidTr="00B31378">
        <w:trPr>
          <w:jc w:val="center"/>
        </w:trPr>
        <w:tc>
          <w:tcPr>
            <w:tcW w:w="3870" w:type="dxa"/>
          </w:tcPr>
          <w:p w14:paraId="4C8441C5" w14:textId="77777777" w:rsidR="009646AE" w:rsidRPr="009B17D2" w:rsidRDefault="009646AE" w:rsidP="00B31378">
            <w:pPr>
              <w:ind w:right="-720"/>
              <w:rPr>
                <w:sz w:val="22"/>
                <w:szCs w:val="22"/>
              </w:rPr>
            </w:pPr>
            <w:r w:rsidRPr="009B17D2">
              <w:rPr>
                <w:sz w:val="22"/>
                <w:szCs w:val="22"/>
              </w:rPr>
              <w:t>F</w:t>
            </w:r>
          </w:p>
        </w:tc>
        <w:tc>
          <w:tcPr>
            <w:tcW w:w="3870" w:type="dxa"/>
          </w:tcPr>
          <w:p w14:paraId="08DC12BD" w14:textId="77777777" w:rsidR="009646AE" w:rsidRPr="009B17D2" w:rsidRDefault="009646AE" w:rsidP="00B31378">
            <w:pPr>
              <w:ind w:right="-720"/>
              <w:rPr>
                <w:sz w:val="22"/>
                <w:szCs w:val="22"/>
              </w:rPr>
            </w:pPr>
            <w:r>
              <w:rPr>
                <w:sz w:val="22"/>
                <w:szCs w:val="22"/>
              </w:rPr>
              <w:t>Below 60%</w:t>
            </w:r>
          </w:p>
        </w:tc>
      </w:tr>
    </w:tbl>
    <w:p w14:paraId="2437CA44" w14:textId="77777777" w:rsidR="00D4447F" w:rsidRDefault="00D4447F" w:rsidP="009646AE">
      <w:pPr>
        <w:ind w:right="-720"/>
        <w:rPr>
          <w:b/>
          <w:sz w:val="22"/>
          <w:szCs w:val="22"/>
        </w:rPr>
      </w:pPr>
    </w:p>
    <w:p w14:paraId="7E62ADEB" w14:textId="58BFDA86" w:rsidR="00D4447F" w:rsidRPr="00D4447F" w:rsidRDefault="00D4447F" w:rsidP="00D4447F">
      <w:pPr>
        <w:autoSpaceDE w:val="0"/>
        <w:autoSpaceDN w:val="0"/>
        <w:adjustRightInd w:val="0"/>
        <w:jc w:val="both"/>
        <w:rPr>
          <w:i/>
          <w:sz w:val="22"/>
          <w:szCs w:val="22"/>
        </w:rPr>
      </w:pPr>
      <w:r>
        <w:rPr>
          <w:b/>
          <w:bCs/>
          <w:sz w:val="22"/>
        </w:rPr>
        <w:t xml:space="preserve">Learning Accommodations: </w:t>
      </w:r>
    </w:p>
    <w:p w14:paraId="7AEB8770" w14:textId="532F2756" w:rsidR="00D4447F" w:rsidRPr="00D4447F" w:rsidRDefault="00D4447F" w:rsidP="00D4447F">
      <w:pPr>
        <w:rPr>
          <w:sz w:val="24"/>
          <w:szCs w:val="24"/>
        </w:rPr>
      </w:pPr>
      <w:r>
        <w:rPr>
          <w:sz w:val="24"/>
          <w:szCs w:val="24"/>
        </w:rPr>
        <w:t>I</w:t>
      </w:r>
      <w:r w:rsidRPr="00F90C21">
        <w:rPr>
          <w:sz w:val="24"/>
          <w:szCs w:val="24"/>
        </w:rPr>
        <w:t xml:space="preserve">f needed, we will make accommodations for students with documented disabilities. </w:t>
      </w:r>
      <w:r>
        <w:rPr>
          <w:sz w:val="24"/>
          <w:szCs w:val="24"/>
        </w:rPr>
        <w:t>T</w:t>
      </w:r>
      <w:r w:rsidRPr="00F90C21">
        <w:rPr>
          <w:sz w:val="24"/>
          <w:szCs w:val="24"/>
        </w:rPr>
        <w:t xml:space="preserve">hese accommodations must be arranged in advance and in accordance with the </w:t>
      </w:r>
      <w:r>
        <w:rPr>
          <w:sz w:val="24"/>
          <w:szCs w:val="24"/>
        </w:rPr>
        <w:t>ADAPTS</w:t>
      </w:r>
      <w:r w:rsidRPr="00F90C21">
        <w:rPr>
          <w:sz w:val="24"/>
          <w:szCs w:val="24"/>
        </w:rPr>
        <w:t xml:space="preserve"> office (http://www.adapts.gatech.edu).</w:t>
      </w:r>
    </w:p>
    <w:p w14:paraId="38B7CDE5" w14:textId="77777777" w:rsidR="00D4447F" w:rsidRDefault="00D4447F" w:rsidP="009646AE">
      <w:pPr>
        <w:autoSpaceDE w:val="0"/>
        <w:autoSpaceDN w:val="0"/>
        <w:adjustRightInd w:val="0"/>
        <w:jc w:val="both"/>
        <w:rPr>
          <w:b/>
          <w:bCs/>
          <w:sz w:val="22"/>
        </w:rPr>
      </w:pPr>
    </w:p>
    <w:p w14:paraId="2037C622" w14:textId="77777777" w:rsidR="009646AE" w:rsidRPr="00AD6E59" w:rsidRDefault="009646AE" w:rsidP="009646AE">
      <w:pPr>
        <w:autoSpaceDE w:val="0"/>
        <w:autoSpaceDN w:val="0"/>
        <w:adjustRightInd w:val="0"/>
        <w:jc w:val="both"/>
        <w:rPr>
          <w:i/>
          <w:sz w:val="22"/>
          <w:szCs w:val="22"/>
        </w:rPr>
      </w:pPr>
      <w:r>
        <w:rPr>
          <w:b/>
          <w:bCs/>
          <w:sz w:val="22"/>
        </w:rPr>
        <w:t xml:space="preserve">Academic Honor Code: </w:t>
      </w:r>
    </w:p>
    <w:p w14:paraId="16B8CB83" w14:textId="77777777" w:rsidR="009646AE" w:rsidRDefault="009646AE" w:rsidP="009646AE">
      <w:pPr>
        <w:autoSpaceDE w:val="0"/>
        <w:autoSpaceDN w:val="0"/>
        <w:adjustRightInd w:val="0"/>
        <w:jc w:val="both"/>
        <w:rPr>
          <w:i/>
          <w:sz w:val="22"/>
          <w:szCs w:val="22"/>
        </w:rPr>
      </w:pPr>
      <w:r w:rsidRPr="00AD6E59">
        <w:rPr>
          <w:i/>
          <w:sz w:val="22"/>
          <w:szCs w:val="22"/>
        </w:rPr>
        <w:t xml:space="preserve">All course participants (instructor, teaching assistants, and students) are expected and required to abide by the Georgia Tech Honor Code. Please familiarize yourself with the code, and use it to guide your conduct. Specifically, you must do your own work in all </w:t>
      </w:r>
      <w:proofErr w:type="spellStart"/>
      <w:r w:rsidRPr="00AD6E59">
        <w:rPr>
          <w:i/>
          <w:sz w:val="22"/>
          <w:szCs w:val="22"/>
        </w:rPr>
        <w:t>homeworks</w:t>
      </w:r>
      <w:proofErr w:type="spellEnd"/>
      <w:r w:rsidRPr="00AD6E59">
        <w:rPr>
          <w:i/>
          <w:sz w:val="22"/>
          <w:szCs w:val="22"/>
        </w:rPr>
        <w:t xml:space="preserve"> and exams.</w:t>
      </w:r>
    </w:p>
    <w:p w14:paraId="4A642D2B" w14:textId="77777777" w:rsidR="009646AE" w:rsidRDefault="009646AE" w:rsidP="009646AE">
      <w:pPr>
        <w:autoSpaceDE w:val="0"/>
        <w:autoSpaceDN w:val="0"/>
        <w:adjustRightInd w:val="0"/>
        <w:jc w:val="both"/>
      </w:pPr>
    </w:p>
    <w:p w14:paraId="7A7E5D79" w14:textId="00259687" w:rsidR="009646AE" w:rsidRPr="00CB39B6" w:rsidRDefault="009646AE" w:rsidP="009646AE">
      <w:pPr>
        <w:spacing w:before="120"/>
        <w:contextualSpacing/>
      </w:pPr>
      <w:r>
        <w:rPr>
          <w:sz w:val="22"/>
          <w:szCs w:val="22"/>
        </w:rPr>
        <w:t xml:space="preserve">For any questions involving these or any other Academic Honor Code issues, please visit </w:t>
      </w:r>
      <w:hyperlink r:id="rId5" w:history="1">
        <w:r>
          <w:rPr>
            <w:rStyle w:val="Hyperlink"/>
            <w:sz w:val="22"/>
            <w:szCs w:val="22"/>
          </w:rPr>
          <w:t>www.honor.gatech.edu.</w:t>
        </w:r>
      </w:hyperlink>
    </w:p>
    <w:sectPr w:rsidR="009646AE" w:rsidRPr="00CB39B6"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9AE"/>
    <w:multiLevelType w:val="hybridMultilevel"/>
    <w:tmpl w:val="EAF42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F2C9C"/>
    <w:multiLevelType w:val="singleLevel"/>
    <w:tmpl w:val="0409000F"/>
    <w:lvl w:ilvl="0">
      <w:start w:val="1"/>
      <w:numFmt w:val="decimal"/>
      <w:lvlText w:val="%1."/>
      <w:lvlJc w:val="left"/>
      <w:pPr>
        <w:tabs>
          <w:tab w:val="num" w:pos="360"/>
        </w:tabs>
        <w:ind w:left="360" w:hanging="360"/>
      </w:pPr>
    </w:lvl>
  </w:abstractNum>
  <w:abstractNum w:abstractNumId="2">
    <w:nsid w:val="231E6A22"/>
    <w:multiLevelType w:val="singleLevel"/>
    <w:tmpl w:val="0409000F"/>
    <w:lvl w:ilvl="0">
      <w:start w:val="1"/>
      <w:numFmt w:val="decimal"/>
      <w:lvlText w:val="%1."/>
      <w:lvlJc w:val="left"/>
      <w:pPr>
        <w:ind w:left="720" w:hanging="360"/>
      </w:pPr>
      <w:rPr>
        <w:rFonts w:hint="default"/>
        <w:i w:val="0"/>
      </w:rPr>
    </w:lvl>
  </w:abstractNum>
  <w:abstractNum w:abstractNumId="3">
    <w:nsid w:val="25044280"/>
    <w:multiLevelType w:val="hybridMultilevel"/>
    <w:tmpl w:val="D85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22DE5"/>
    <w:multiLevelType w:val="hybridMultilevel"/>
    <w:tmpl w:val="BACA46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35B3459D"/>
    <w:multiLevelType w:val="hybridMultilevel"/>
    <w:tmpl w:val="AC64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8">
    <w:nsid w:val="40861062"/>
    <w:multiLevelType w:val="hybridMultilevel"/>
    <w:tmpl w:val="87E2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C41BB"/>
    <w:multiLevelType w:val="singleLevel"/>
    <w:tmpl w:val="0409000F"/>
    <w:lvl w:ilvl="0">
      <w:start w:val="1"/>
      <w:numFmt w:val="decimal"/>
      <w:lvlText w:val="%1."/>
      <w:lvlJc w:val="left"/>
      <w:pPr>
        <w:tabs>
          <w:tab w:val="num" w:pos="360"/>
        </w:tabs>
        <w:ind w:left="360" w:hanging="360"/>
      </w:pPr>
    </w:lvl>
  </w:abstractNum>
  <w:abstractNum w:abstractNumId="10">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2">
    <w:nsid w:val="52CC179C"/>
    <w:multiLevelType w:val="hybridMultilevel"/>
    <w:tmpl w:val="85687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3C05C4"/>
    <w:multiLevelType w:val="hybridMultilevel"/>
    <w:tmpl w:val="B1546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AF53A4"/>
    <w:multiLevelType w:val="singleLevel"/>
    <w:tmpl w:val="0409000F"/>
    <w:lvl w:ilvl="0">
      <w:start w:val="1"/>
      <w:numFmt w:val="decimal"/>
      <w:lvlText w:val="%1."/>
      <w:lvlJc w:val="left"/>
      <w:pPr>
        <w:tabs>
          <w:tab w:val="num" w:pos="360"/>
        </w:tabs>
        <w:ind w:left="360" w:hanging="360"/>
      </w:pPr>
    </w:lvl>
  </w:abstractNum>
  <w:abstractNum w:abstractNumId="15">
    <w:nsid w:val="71952887"/>
    <w:multiLevelType w:val="singleLevel"/>
    <w:tmpl w:val="0409000F"/>
    <w:lvl w:ilvl="0">
      <w:start w:val="1"/>
      <w:numFmt w:val="decimal"/>
      <w:lvlText w:val="%1."/>
      <w:lvlJc w:val="left"/>
      <w:pPr>
        <w:ind w:left="720" w:hanging="360"/>
      </w:pPr>
      <w:rPr>
        <w:rFonts w:hint="default"/>
        <w:i w:val="0"/>
      </w:rPr>
    </w:lvl>
  </w:abstractNum>
  <w:abstractNum w:abstractNumId="16">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10"/>
  </w:num>
  <w:num w:numId="2">
    <w:abstractNumId w:val="9"/>
  </w:num>
  <w:num w:numId="3">
    <w:abstractNumId w:val="14"/>
  </w:num>
  <w:num w:numId="4">
    <w:abstractNumId w:val="16"/>
  </w:num>
  <w:num w:numId="5">
    <w:abstractNumId w:val="1"/>
  </w:num>
  <w:num w:numId="6">
    <w:abstractNumId w:val="7"/>
  </w:num>
  <w:num w:numId="7">
    <w:abstractNumId w:val="5"/>
  </w:num>
  <w:num w:numId="8">
    <w:abstractNumId w:val="2"/>
  </w:num>
  <w:num w:numId="9">
    <w:abstractNumId w:val="11"/>
  </w:num>
  <w:num w:numId="10">
    <w:abstractNumId w:val="0"/>
  </w:num>
  <w:num w:numId="11">
    <w:abstractNumId w:val="8"/>
  </w:num>
  <w:num w:numId="12">
    <w:abstractNumId w:val="12"/>
  </w:num>
  <w:num w:numId="13">
    <w:abstractNumId w:val="15"/>
  </w:num>
  <w:num w:numId="14">
    <w:abstractNumId w:val="13"/>
  </w:num>
  <w:num w:numId="15">
    <w:abstractNumId w:val="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2"/>
    <w:rsid w:val="00027CBA"/>
    <w:rsid w:val="000F1E70"/>
    <w:rsid w:val="0015002E"/>
    <w:rsid w:val="00163978"/>
    <w:rsid w:val="001865CE"/>
    <w:rsid w:val="001C49E8"/>
    <w:rsid w:val="001D27FC"/>
    <w:rsid w:val="00341B96"/>
    <w:rsid w:val="003B0A82"/>
    <w:rsid w:val="003D5DE1"/>
    <w:rsid w:val="003F262F"/>
    <w:rsid w:val="00425FF4"/>
    <w:rsid w:val="004375DE"/>
    <w:rsid w:val="005A23C8"/>
    <w:rsid w:val="005E34F1"/>
    <w:rsid w:val="006308CE"/>
    <w:rsid w:val="00696FFF"/>
    <w:rsid w:val="006A0164"/>
    <w:rsid w:val="006E1788"/>
    <w:rsid w:val="00740986"/>
    <w:rsid w:val="007852C5"/>
    <w:rsid w:val="007D3728"/>
    <w:rsid w:val="00804311"/>
    <w:rsid w:val="00850BD1"/>
    <w:rsid w:val="008E26D5"/>
    <w:rsid w:val="009365BD"/>
    <w:rsid w:val="009646AE"/>
    <w:rsid w:val="009754B3"/>
    <w:rsid w:val="009A12AF"/>
    <w:rsid w:val="009E2EC1"/>
    <w:rsid w:val="009F0781"/>
    <w:rsid w:val="00A071AE"/>
    <w:rsid w:val="00A31907"/>
    <w:rsid w:val="00A434E4"/>
    <w:rsid w:val="00A47671"/>
    <w:rsid w:val="00A6205E"/>
    <w:rsid w:val="00B51076"/>
    <w:rsid w:val="00B82AAD"/>
    <w:rsid w:val="00BA037B"/>
    <w:rsid w:val="00BD125B"/>
    <w:rsid w:val="00BD69AB"/>
    <w:rsid w:val="00CB39B6"/>
    <w:rsid w:val="00D168B2"/>
    <w:rsid w:val="00D367F8"/>
    <w:rsid w:val="00D4447F"/>
    <w:rsid w:val="00D85D1C"/>
    <w:rsid w:val="00E2759C"/>
    <w:rsid w:val="00EB6A35"/>
    <w:rsid w:val="00EF3428"/>
    <w:rsid w:val="00F538F0"/>
    <w:rsid w:val="00F74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355274"/>
  <w15:docId w15:val="{C286973A-BA33-4AE8-A64E-CBC9D3EB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CB39B6"/>
    <w:pPr>
      <w:ind w:left="720"/>
      <w:contextualSpacing/>
    </w:pPr>
  </w:style>
  <w:style w:type="character" w:styleId="Hyperlink">
    <w:name w:val="Hyperlink"/>
    <w:uiPriority w:val="99"/>
    <w:semiHidden/>
    <w:unhideWhenUsed/>
    <w:rsid w:val="009646AE"/>
    <w:rPr>
      <w:color w:val="0000FF"/>
      <w:u w:val="single"/>
    </w:rPr>
  </w:style>
  <w:style w:type="table" w:styleId="TableGrid">
    <w:name w:val="Table Grid"/>
    <w:basedOn w:val="TableNormal"/>
    <w:uiPriority w:val="59"/>
    <w:rsid w:val="0096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23851">
      <w:bodyDiv w:val="1"/>
      <w:marLeft w:val="0"/>
      <w:marRight w:val="0"/>
      <w:marTop w:val="0"/>
      <w:marBottom w:val="0"/>
      <w:divBdr>
        <w:top w:val="none" w:sz="0" w:space="0" w:color="auto"/>
        <w:left w:val="none" w:sz="0" w:space="0" w:color="auto"/>
        <w:bottom w:val="none" w:sz="0" w:space="0" w:color="auto"/>
        <w:right w:val="none" w:sz="0" w:space="0" w:color="auto"/>
      </w:divBdr>
    </w:div>
    <w:div w:id="18064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Laros, Patricia A</cp:lastModifiedBy>
  <cp:revision>3</cp:revision>
  <cp:lastPrinted>2009-12-18T16:13:00Z</cp:lastPrinted>
  <dcterms:created xsi:type="dcterms:W3CDTF">2015-04-13T16:30:00Z</dcterms:created>
  <dcterms:modified xsi:type="dcterms:W3CDTF">2015-04-13T16:30:00Z</dcterms:modified>
</cp:coreProperties>
</file>