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5A9" w:rsidRDefault="00BD3D35" w:rsidP="00CF55A9">
      <w:pPr>
        <w:spacing w:after="120" w:line="240" w:lineRule="auto"/>
      </w:pPr>
      <w:r>
        <w:rPr>
          <w:b/>
        </w:rPr>
        <w:t>Introduction to Biomedicine and Culture</w:t>
      </w:r>
      <w:r w:rsidR="008C36B4" w:rsidRPr="00736D81">
        <w:rPr>
          <w:b/>
        </w:rPr>
        <w:br/>
      </w:r>
      <w:r>
        <w:t>Professor Anne Pollock, apollock@gatech.edu</w:t>
      </w:r>
      <w:r>
        <w:br/>
        <w:t>L</w:t>
      </w:r>
      <w:r w:rsidR="00D304AF">
        <w:t>M</w:t>
      </w:r>
      <w:r>
        <w:t>C</w:t>
      </w:r>
      <w:r w:rsidR="00D304AF">
        <w:t xml:space="preserve"> </w:t>
      </w:r>
      <w:r>
        <w:t>2300</w:t>
      </w:r>
      <w:r w:rsidR="008C36B4">
        <w:t xml:space="preserve"> </w:t>
      </w:r>
      <w:r>
        <w:t xml:space="preserve">Spring 2013, MWF 1-2, </w:t>
      </w:r>
      <w:proofErr w:type="spellStart"/>
      <w:r>
        <w:t>Skiles</w:t>
      </w:r>
      <w:proofErr w:type="spellEnd"/>
      <w:r>
        <w:t xml:space="preserve"> 308</w:t>
      </w:r>
      <w:r w:rsidR="00CF55A9">
        <w:br/>
      </w:r>
      <w:r w:rsidR="00022A37">
        <w:t>O</w:t>
      </w:r>
      <w:r w:rsidR="00CF55A9">
        <w:t xml:space="preserve">ffice hours: Wednesdays 2-5, </w:t>
      </w:r>
      <w:proofErr w:type="spellStart"/>
      <w:r w:rsidR="00CF55A9">
        <w:t>Skiles</w:t>
      </w:r>
      <w:proofErr w:type="spellEnd"/>
      <w:r w:rsidR="00CF55A9">
        <w:t xml:space="preserve"> 360</w:t>
      </w:r>
    </w:p>
    <w:p w:rsidR="00D8670D" w:rsidRDefault="00D8670D" w:rsidP="008C36B4">
      <w:pPr>
        <w:spacing w:after="0" w:line="240" w:lineRule="auto"/>
      </w:pPr>
    </w:p>
    <w:p w:rsidR="00D01442" w:rsidRPr="00D01442" w:rsidRDefault="00D01442" w:rsidP="00D01442">
      <w:pPr>
        <w:spacing w:after="0" w:line="240" w:lineRule="auto"/>
        <w:rPr>
          <w:b/>
        </w:rPr>
      </w:pPr>
      <w:r>
        <w:rPr>
          <w:b/>
        </w:rPr>
        <w:t xml:space="preserve">Prerequisite: </w:t>
      </w:r>
      <w:r w:rsidRPr="00D01442">
        <w:t>ENGL1102</w:t>
      </w:r>
    </w:p>
    <w:p w:rsidR="00D01442" w:rsidRDefault="00D01442" w:rsidP="00D01442">
      <w:pPr>
        <w:spacing w:after="0" w:line="240" w:lineRule="auto"/>
      </w:pPr>
      <w:r w:rsidRPr="00D01442">
        <w:rPr>
          <w:b/>
        </w:rPr>
        <w:t>Course Attribute:</w:t>
      </w:r>
      <w:r>
        <w:t xml:space="preserve"> Humanities </w:t>
      </w:r>
    </w:p>
    <w:p w:rsidR="00D01442" w:rsidRDefault="00D01442" w:rsidP="008C36B4">
      <w:pPr>
        <w:spacing w:after="0" w:line="240" w:lineRule="auto"/>
      </w:pPr>
    </w:p>
    <w:p w:rsidR="00D01442" w:rsidRPr="00D01442" w:rsidRDefault="00D01442" w:rsidP="008C36B4">
      <w:pPr>
        <w:spacing w:after="0" w:line="240" w:lineRule="auto"/>
        <w:rPr>
          <w:b/>
        </w:rPr>
      </w:pPr>
      <w:r w:rsidRPr="00D01442">
        <w:rPr>
          <w:b/>
        </w:rPr>
        <w:t>Course Description</w:t>
      </w:r>
    </w:p>
    <w:p w:rsidR="00D8670D" w:rsidRDefault="00D8670D" w:rsidP="00D8670D">
      <w:pPr>
        <w:spacing w:after="0" w:line="240" w:lineRule="auto"/>
      </w:pPr>
      <w:r>
        <w:t>This course provides an introduction to central cultural, including ethical, topics in biomedicine such as health care, medical practice, medical research, and the systems of cultural meaning within which ideas of health and disease circulate.</w:t>
      </w:r>
    </w:p>
    <w:p w:rsidR="00D01442" w:rsidRDefault="00D01442" w:rsidP="00D8670D">
      <w:pPr>
        <w:spacing w:after="0" w:line="240" w:lineRule="auto"/>
      </w:pPr>
    </w:p>
    <w:p w:rsidR="00D8670D" w:rsidRDefault="00D8670D" w:rsidP="00D8670D">
      <w:pPr>
        <w:spacing w:after="0" w:line="240" w:lineRule="auto"/>
        <w:rPr>
          <w:b/>
        </w:rPr>
      </w:pPr>
      <w:r w:rsidRPr="00D8670D">
        <w:rPr>
          <w:b/>
        </w:rPr>
        <w:t>Course Objectives</w:t>
      </w:r>
      <w:r>
        <w:rPr>
          <w:b/>
        </w:rPr>
        <w:t xml:space="preserve"> </w:t>
      </w:r>
    </w:p>
    <w:p w:rsidR="00D8670D" w:rsidRPr="00D8670D" w:rsidRDefault="00D8670D" w:rsidP="00D8670D">
      <w:pPr>
        <w:pStyle w:val="ListParagraph"/>
        <w:numPr>
          <w:ilvl w:val="0"/>
          <w:numId w:val="1"/>
        </w:numPr>
        <w:spacing w:after="120" w:line="240" w:lineRule="auto"/>
        <w:rPr>
          <w:b/>
        </w:rPr>
      </w:pPr>
      <w:r>
        <w:t>Acquire a broad knowledge of significant concepts, developments, and events in the history of medicine and medical ethics</w:t>
      </w:r>
    </w:p>
    <w:p w:rsidR="00D8670D" w:rsidRDefault="00D8670D" w:rsidP="00D8670D">
      <w:pPr>
        <w:pStyle w:val="ListParagraph"/>
        <w:numPr>
          <w:ilvl w:val="0"/>
          <w:numId w:val="1"/>
        </w:numPr>
        <w:spacing w:after="0" w:line="240" w:lineRule="auto"/>
      </w:pPr>
      <w:r>
        <w:t xml:space="preserve">Explore how </w:t>
      </w:r>
      <w:r w:rsidR="00D01442">
        <w:t>medical knowledge is created</w:t>
      </w:r>
      <w:r>
        <w:t>; how “illness” and “health” have been defined</w:t>
      </w:r>
      <w:r w:rsidR="00FC7F65">
        <w:t xml:space="preserve"> by doctors, patients, and publics</w:t>
      </w:r>
      <w:r>
        <w:t>; and the relationships between medical sciences, practices, and the social boundaries of healthcare</w:t>
      </w:r>
    </w:p>
    <w:p w:rsidR="00D8670D" w:rsidRDefault="00D8670D" w:rsidP="00D8670D">
      <w:pPr>
        <w:pStyle w:val="ListParagraph"/>
        <w:numPr>
          <w:ilvl w:val="0"/>
          <w:numId w:val="1"/>
        </w:numPr>
        <w:spacing w:after="0" w:line="240" w:lineRule="auto"/>
      </w:pPr>
      <w:r>
        <w:t xml:space="preserve">Develop abilities to think critically and </w:t>
      </w:r>
      <w:r w:rsidR="0002210B">
        <w:t>describe effectively</w:t>
      </w:r>
      <w:r>
        <w:t xml:space="preserve"> the </w:t>
      </w:r>
      <w:r w:rsidR="0002210B">
        <w:t>relationships</w:t>
      </w:r>
      <w:r>
        <w:t xml:space="preserve"> among medicine, science, and </w:t>
      </w:r>
      <w:r w:rsidR="00462A5F">
        <w:t>ethics</w:t>
      </w:r>
      <w:r w:rsidR="0002210B">
        <w:t xml:space="preserve">, especially in relation to </w:t>
      </w:r>
      <w:r w:rsidR="00462A5F">
        <w:t xml:space="preserve">their </w:t>
      </w:r>
      <w:r w:rsidR="0002210B">
        <w:t>representation</w:t>
      </w:r>
      <w:r w:rsidR="00462A5F">
        <w:t>s</w:t>
      </w:r>
      <w:bookmarkStart w:id="0" w:name="_GoBack"/>
      <w:bookmarkEnd w:id="0"/>
      <w:r w:rsidR="0002210B">
        <w:t xml:space="preserve"> in literature</w:t>
      </w:r>
    </w:p>
    <w:p w:rsidR="00D304AF" w:rsidRDefault="00D304AF" w:rsidP="00D8670D">
      <w:pPr>
        <w:pStyle w:val="ListParagraph"/>
        <w:numPr>
          <w:ilvl w:val="0"/>
          <w:numId w:val="1"/>
        </w:numPr>
        <w:spacing w:after="0" w:line="240" w:lineRule="auto"/>
      </w:pPr>
      <w:r>
        <w:t>Understand that scientific and technological innovation occurs in a social context, and recognize how the social influences scientific and technical discourses</w:t>
      </w:r>
    </w:p>
    <w:p w:rsidR="00D304AF" w:rsidRPr="00D304AF" w:rsidRDefault="00D304AF" w:rsidP="00D304AF">
      <w:pPr>
        <w:numPr>
          <w:ilvl w:val="0"/>
          <w:numId w:val="1"/>
        </w:numPr>
        <w:spacing w:after="0" w:line="240" w:lineRule="auto"/>
        <w:rPr>
          <w:rFonts w:cstheme="minorHAnsi"/>
        </w:rPr>
      </w:pPr>
      <w:r w:rsidRPr="00D304AF">
        <w:rPr>
          <w:rFonts w:cstheme="minorHAnsi"/>
        </w:rPr>
        <w:t xml:space="preserve">Read, analyze, and interpret not only cultural projects such as film, literature, art and new media, but also scientific and technical documents. </w:t>
      </w:r>
    </w:p>
    <w:p w:rsidR="00D304AF" w:rsidRDefault="00D304AF" w:rsidP="00D304AF">
      <w:pPr>
        <w:numPr>
          <w:ilvl w:val="0"/>
          <w:numId w:val="1"/>
        </w:numPr>
        <w:spacing w:after="0" w:line="240" w:lineRule="auto"/>
        <w:rPr>
          <w:rFonts w:cstheme="minorHAnsi"/>
        </w:rPr>
      </w:pPr>
      <w:r w:rsidRPr="00D304AF">
        <w:rPr>
          <w:rFonts w:cstheme="minorHAnsi"/>
        </w:rPr>
        <w:t xml:space="preserve">Recognize a variety of social, political, and philosophical theories and apply those theories to creative and scientific texts, as well as to their own cultural observations. </w:t>
      </w:r>
    </w:p>
    <w:p w:rsidR="00D304AF" w:rsidRPr="00D304AF" w:rsidRDefault="00D304AF" w:rsidP="00D304AF">
      <w:pPr>
        <w:numPr>
          <w:ilvl w:val="0"/>
          <w:numId w:val="1"/>
        </w:numPr>
        <w:spacing w:after="0" w:line="240" w:lineRule="auto"/>
        <w:rPr>
          <w:rFonts w:cstheme="minorHAnsi"/>
        </w:rPr>
      </w:pPr>
      <w:r>
        <w:rPr>
          <w:rFonts w:cstheme="minorHAnsi"/>
        </w:rPr>
        <w:t>Study literary and cultural texts within an historical framework to become familiar with the various forces that shape artistic and commercial production; learn to interpret history actively, rather than passively accepting archival information.</w:t>
      </w:r>
    </w:p>
    <w:p w:rsidR="00D304AF" w:rsidRDefault="00D304AF" w:rsidP="00D304AF">
      <w:pPr>
        <w:spacing w:after="0" w:line="240" w:lineRule="auto"/>
      </w:pPr>
    </w:p>
    <w:p w:rsidR="00D8670D" w:rsidRDefault="00D8670D" w:rsidP="00D8670D">
      <w:pPr>
        <w:pStyle w:val="ListParagraph"/>
        <w:spacing w:after="0" w:line="240" w:lineRule="auto"/>
      </w:pPr>
    </w:p>
    <w:p w:rsidR="008C36B4" w:rsidRPr="00757373" w:rsidRDefault="008C36B4" w:rsidP="008C36B4">
      <w:pPr>
        <w:spacing w:after="0" w:line="240" w:lineRule="auto"/>
        <w:rPr>
          <w:b/>
        </w:rPr>
      </w:pPr>
      <w:r w:rsidRPr="00757373">
        <w:rPr>
          <w:b/>
        </w:rPr>
        <w:t>Required Books</w:t>
      </w:r>
    </w:p>
    <w:p w:rsidR="0091161C" w:rsidRDefault="00757373" w:rsidP="00757373">
      <w:pPr>
        <w:tabs>
          <w:tab w:val="left" w:pos="720"/>
        </w:tabs>
        <w:spacing w:after="0" w:line="240" w:lineRule="auto"/>
        <w:ind w:left="720" w:hanging="720"/>
      </w:pPr>
      <w:r>
        <w:tab/>
      </w:r>
      <w:r w:rsidR="0091161C">
        <w:t xml:space="preserve">Warwick Anderson, </w:t>
      </w:r>
      <w:r w:rsidR="0091161C">
        <w:rPr>
          <w:i/>
        </w:rPr>
        <w:t xml:space="preserve">The Collectors of Lost Souls: </w:t>
      </w:r>
      <w:proofErr w:type="spellStart"/>
      <w:r w:rsidR="0091161C">
        <w:rPr>
          <w:i/>
        </w:rPr>
        <w:t>Kuru</w:t>
      </w:r>
      <w:proofErr w:type="spellEnd"/>
      <w:r w:rsidR="0091161C">
        <w:rPr>
          <w:i/>
        </w:rPr>
        <w:t>, Moral Peril, and the Creation of Value in Science</w:t>
      </w:r>
      <w:r w:rsidR="0091161C">
        <w:t>, Johns Hopkins University Press, 2008.</w:t>
      </w:r>
    </w:p>
    <w:p w:rsidR="00A22A91" w:rsidRPr="00A22A91" w:rsidRDefault="00A22A91" w:rsidP="00757373">
      <w:pPr>
        <w:tabs>
          <w:tab w:val="left" w:pos="720"/>
        </w:tabs>
        <w:spacing w:after="0" w:line="240" w:lineRule="auto"/>
        <w:ind w:left="720" w:hanging="720"/>
      </w:pPr>
      <w:r>
        <w:tab/>
        <w:t xml:space="preserve">Margaret </w:t>
      </w:r>
      <w:proofErr w:type="spellStart"/>
      <w:r>
        <w:t>Edson</w:t>
      </w:r>
      <w:proofErr w:type="spellEnd"/>
      <w:r>
        <w:t xml:space="preserve">, </w:t>
      </w:r>
      <w:proofErr w:type="spellStart"/>
      <w:r>
        <w:rPr>
          <w:i/>
        </w:rPr>
        <w:t>W</w:t>
      </w:r>
      <w:proofErr w:type="gramStart"/>
      <w:r>
        <w:rPr>
          <w:i/>
        </w:rPr>
        <w:t>;t</w:t>
      </w:r>
      <w:proofErr w:type="spellEnd"/>
      <w:proofErr w:type="gramEnd"/>
      <w:r>
        <w:t xml:space="preserve"> [or Wit] Faber and Faber, 1993, 1999.</w:t>
      </w:r>
    </w:p>
    <w:p w:rsidR="00A22A91" w:rsidRPr="00A06A24" w:rsidRDefault="00757373" w:rsidP="00A22A91">
      <w:pPr>
        <w:tabs>
          <w:tab w:val="left" w:pos="720"/>
        </w:tabs>
        <w:spacing w:after="0" w:line="240" w:lineRule="auto"/>
        <w:rPr>
          <w:b/>
        </w:rPr>
      </w:pPr>
      <w:r>
        <w:tab/>
      </w:r>
      <w:r w:rsidR="00ED78F1">
        <w:t>Roy Porter</w:t>
      </w:r>
      <w:r w:rsidR="00AB635E">
        <w:t>,</w:t>
      </w:r>
      <w:r w:rsidR="00ED78F1">
        <w:t xml:space="preserve"> </w:t>
      </w:r>
      <w:r w:rsidR="00ED78F1">
        <w:rPr>
          <w:i/>
        </w:rPr>
        <w:t>Blood and Guts: a Short History of Medicine</w:t>
      </w:r>
      <w:r w:rsidR="00ED78F1">
        <w:t xml:space="preserve"> Norton, 2002.</w:t>
      </w:r>
      <w:r w:rsidR="00A22A91">
        <w:br/>
      </w:r>
      <w:r w:rsidR="00A22A91" w:rsidRPr="00A22A91">
        <w:rPr>
          <w:b/>
        </w:rPr>
        <w:t>Recommended</w:t>
      </w:r>
      <w:r w:rsidR="00A22A91">
        <w:rPr>
          <w:b/>
        </w:rPr>
        <w:t xml:space="preserve"> Book</w:t>
      </w:r>
      <w:r w:rsidR="00A22A91" w:rsidRPr="00A22A91">
        <w:rPr>
          <w:b/>
        </w:rPr>
        <w:br/>
      </w:r>
      <w:r w:rsidR="00A22A91">
        <w:tab/>
        <w:t xml:space="preserve">Robert </w:t>
      </w:r>
      <w:proofErr w:type="spellStart"/>
      <w:r w:rsidR="00A22A91">
        <w:t>Aronowitz</w:t>
      </w:r>
      <w:proofErr w:type="spellEnd"/>
      <w:r w:rsidR="00A22A91">
        <w:t xml:space="preserve">, </w:t>
      </w:r>
      <w:r w:rsidR="00A22A91">
        <w:rPr>
          <w:i/>
        </w:rPr>
        <w:t>Making Sense of Illness</w:t>
      </w:r>
      <w:r w:rsidR="00A22A91">
        <w:t>, Cambridge University Press, 1998.</w:t>
      </w:r>
    </w:p>
    <w:p w:rsidR="00757373" w:rsidRDefault="00757373" w:rsidP="00CF55A9">
      <w:pPr>
        <w:spacing w:after="120" w:line="240" w:lineRule="auto"/>
      </w:pPr>
      <w:r w:rsidRPr="00757373">
        <w:t xml:space="preserve">All other readings </w:t>
      </w:r>
      <w:r w:rsidR="003D2AF5">
        <w:t>will be</w:t>
      </w:r>
      <w:r w:rsidRPr="00757373">
        <w:t xml:space="preserve"> available on T-Square.</w:t>
      </w:r>
    </w:p>
    <w:p w:rsidR="00965BE5" w:rsidRPr="00757373" w:rsidRDefault="00965BE5" w:rsidP="008C36B4">
      <w:pPr>
        <w:spacing w:after="0" w:line="240" w:lineRule="auto"/>
        <w:rPr>
          <w:b/>
        </w:rPr>
      </w:pPr>
      <w:r w:rsidRPr="00757373">
        <w:rPr>
          <w:b/>
        </w:rPr>
        <w:t>Assessment:</w:t>
      </w:r>
    </w:p>
    <w:p w:rsidR="00CF55A9" w:rsidRDefault="00757373" w:rsidP="00CF55A9">
      <w:pPr>
        <w:spacing w:after="0" w:line="240" w:lineRule="auto"/>
        <w:rPr>
          <w:b/>
        </w:rPr>
      </w:pPr>
      <w:r w:rsidRPr="00757373">
        <w:rPr>
          <w:b/>
        </w:rPr>
        <w:t>Attendance and participation:</w:t>
      </w:r>
      <w:r>
        <w:t xml:space="preserve"> </w:t>
      </w:r>
      <w:r w:rsidR="00761695">
        <w:rPr>
          <w:b/>
        </w:rPr>
        <w:t>25</w:t>
      </w:r>
      <w:r w:rsidRPr="00757373">
        <w:rPr>
          <w:b/>
        </w:rPr>
        <w:t xml:space="preserve"> points</w:t>
      </w:r>
      <w:r w:rsidR="00CF55A9">
        <w:rPr>
          <w:b/>
        </w:rPr>
        <w:t xml:space="preserve"> </w:t>
      </w:r>
    </w:p>
    <w:p w:rsidR="008D5619" w:rsidRPr="00757373" w:rsidRDefault="00C34E20" w:rsidP="00CF55A9">
      <w:pPr>
        <w:spacing w:after="0" w:line="240" w:lineRule="auto"/>
        <w:ind w:left="720"/>
        <w:rPr>
          <w:i/>
        </w:rPr>
      </w:pPr>
      <w:r w:rsidRPr="00757373">
        <w:rPr>
          <w:i/>
        </w:rPr>
        <w:t>Active engagement during class is central to this course.  Students are expected to come to class</w:t>
      </w:r>
      <w:r w:rsidR="008D5619" w:rsidRPr="00757373">
        <w:rPr>
          <w:i/>
        </w:rPr>
        <w:t xml:space="preserve"> prepared, with readings and/or writing in hand, </w:t>
      </w:r>
      <w:r w:rsidR="00761695">
        <w:rPr>
          <w:i/>
        </w:rPr>
        <w:t>ready</w:t>
      </w:r>
      <w:r w:rsidR="008D5619" w:rsidRPr="00757373">
        <w:rPr>
          <w:i/>
        </w:rPr>
        <w:t xml:space="preserve"> for discussion.</w:t>
      </w:r>
    </w:p>
    <w:p w:rsidR="00757373" w:rsidRPr="00757373" w:rsidRDefault="00736D81" w:rsidP="008C36B4">
      <w:pPr>
        <w:spacing w:after="0" w:line="240" w:lineRule="auto"/>
        <w:rPr>
          <w:b/>
        </w:rPr>
      </w:pPr>
      <w:r>
        <w:rPr>
          <w:b/>
        </w:rPr>
        <w:t xml:space="preserve">Unit 1 </w:t>
      </w:r>
      <w:r w:rsidR="00CF55A9">
        <w:rPr>
          <w:b/>
        </w:rPr>
        <w:t xml:space="preserve">“Making Sense of Illness” </w:t>
      </w:r>
      <w:r w:rsidR="00022A37">
        <w:rPr>
          <w:b/>
        </w:rPr>
        <w:t xml:space="preserve">Individual </w:t>
      </w:r>
      <w:r w:rsidR="00761695">
        <w:rPr>
          <w:b/>
        </w:rPr>
        <w:t>Project: 25</w:t>
      </w:r>
      <w:r w:rsidR="00757373">
        <w:rPr>
          <w:b/>
        </w:rPr>
        <w:t xml:space="preserve"> points</w:t>
      </w:r>
    </w:p>
    <w:p w:rsidR="00B95844" w:rsidRDefault="00757373" w:rsidP="00736D81">
      <w:pPr>
        <w:spacing w:after="0" w:line="240" w:lineRule="auto"/>
        <w:ind w:left="720"/>
      </w:pPr>
      <w:r>
        <w:rPr>
          <w:i/>
        </w:rPr>
        <w:t xml:space="preserve">This project has two </w:t>
      </w:r>
      <w:r w:rsidR="00736D81">
        <w:rPr>
          <w:i/>
        </w:rPr>
        <w:t>components</w:t>
      </w:r>
      <w:r>
        <w:rPr>
          <w:i/>
        </w:rPr>
        <w:t>: doing an interview about an illness experience and writing up the notes (5 points) and writing a paper using course texts to analyze the interview</w:t>
      </w:r>
      <w:r w:rsidR="00761695">
        <w:rPr>
          <w:i/>
        </w:rPr>
        <w:t xml:space="preserve"> (20</w:t>
      </w:r>
      <w:r w:rsidR="00736D81">
        <w:rPr>
          <w:i/>
        </w:rPr>
        <w:t xml:space="preserve"> points)</w:t>
      </w:r>
      <w:r w:rsidR="00761695">
        <w:rPr>
          <w:i/>
        </w:rPr>
        <w:t>.</w:t>
      </w:r>
    </w:p>
    <w:p w:rsidR="00D66690" w:rsidRPr="00736D81" w:rsidRDefault="00736D81" w:rsidP="00736D81">
      <w:pPr>
        <w:spacing w:after="0" w:line="240" w:lineRule="auto"/>
        <w:rPr>
          <w:b/>
        </w:rPr>
      </w:pPr>
      <w:r w:rsidRPr="00736D81">
        <w:rPr>
          <w:b/>
        </w:rPr>
        <w:lastRenderedPageBreak/>
        <w:t xml:space="preserve">Unit 2 </w:t>
      </w:r>
      <w:r w:rsidR="00CF55A9">
        <w:rPr>
          <w:b/>
        </w:rPr>
        <w:t xml:space="preserve">“Medical Thinking” </w:t>
      </w:r>
      <w:r w:rsidR="00022A37">
        <w:rPr>
          <w:b/>
        </w:rPr>
        <w:t xml:space="preserve">Individual </w:t>
      </w:r>
      <w:r w:rsidR="00761695">
        <w:rPr>
          <w:b/>
        </w:rPr>
        <w:t>Project: 25</w:t>
      </w:r>
      <w:r w:rsidRPr="00736D81">
        <w:rPr>
          <w:b/>
        </w:rPr>
        <w:t xml:space="preserve"> points</w:t>
      </w:r>
    </w:p>
    <w:p w:rsidR="00736D81" w:rsidRPr="00736D81" w:rsidRDefault="00736D81" w:rsidP="00736D81">
      <w:pPr>
        <w:spacing w:after="0" w:line="240" w:lineRule="auto"/>
        <w:ind w:left="720"/>
        <w:rPr>
          <w:i/>
        </w:rPr>
      </w:pPr>
      <w:r>
        <w:rPr>
          <w:i/>
        </w:rPr>
        <w:t>This project has two components: gathering and summarizing accounts of a particular piece of medical knowledge from a newspaper and a medical journal (5 points), and writing a paper analyzing</w:t>
      </w:r>
      <w:r w:rsidR="00761695">
        <w:rPr>
          <w:i/>
        </w:rPr>
        <w:t xml:space="preserve"> </w:t>
      </w:r>
      <w:r>
        <w:rPr>
          <w:i/>
        </w:rPr>
        <w:t>the accounts in light of course texts</w:t>
      </w:r>
      <w:r w:rsidR="00761695">
        <w:rPr>
          <w:i/>
        </w:rPr>
        <w:t xml:space="preserve"> (20 points).</w:t>
      </w:r>
    </w:p>
    <w:p w:rsidR="00D66690" w:rsidRPr="00736D81" w:rsidRDefault="00736D81" w:rsidP="00736D81">
      <w:pPr>
        <w:spacing w:after="0" w:line="240" w:lineRule="auto"/>
        <w:rPr>
          <w:b/>
        </w:rPr>
      </w:pPr>
      <w:r w:rsidRPr="00736D81">
        <w:rPr>
          <w:b/>
        </w:rPr>
        <w:t xml:space="preserve">Unit 3 </w:t>
      </w:r>
      <w:r w:rsidR="00CF55A9">
        <w:rPr>
          <w:b/>
        </w:rPr>
        <w:t xml:space="preserve">“Medical Discovery in Cultural Context” </w:t>
      </w:r>
      <w:r w:rsidR="00022A37">
        <w:rPr>
          <w:b/>
        </w:rPr>
        <w:t xml:space="preserve">Group </w:t>
      </w:r>
      <w:r w:rsidR="00CF55A9">
        <w:rPr>
          <w:b/>
        </w:rPr>
        <w:t>Project</w:t>
      </w:r>
      <w:r w:rsidR="00761695">
        <w:rPr>
          <w:b/>
        </w:rPr>
        <w:t>: 25</w:t>
      </w:r>
      <w:r w:rsidRPr="00736D81">
        <w:rPr>
          <w:b/>
        </w:rPr>
        <w:t xml:space="preserve"> points</w:t>
      </w:r>
    </w:p>
    <w:p w:rsidR="00A06A24" w:rsidRDefault="00736D81" w:rsidP="006B5E2C">
      <w:pPr>
        <w:spacing w:after="0" w:line="240" w:lineRule="auto"/>
        <w:ind w:left="720"/>
        <w:rPr>
          <w:i/>
        </w:rPr>
      </w:pPr>
      <w:r w:rsidRPr="00736D81">
        <w:rPr>
          <w:i/>
        </w:rPr>
        <w:t>This group project has three components: an individually-written annotated bibliography (5 points), a group poster (5 points), and</w:t>
      </w:r>
      <w:r w:rsidR="00761695">
        <w:rPr>
          <w:i/>
        </w:rPr>
        <w:t xml:space="preserve"> a group poster presentation (15</w:t>
      </w:r>
      <w:r w:rsidRPr="00736D81">
        <w:rPr>
          <w:i/>
        </w:rPr>
        <w:t xml:space="preserve"> points).  Each group member must also submit a self-assessment of their group work.  </w:t>
      </w:r>
    </w:p>
    <w:p w:rsidR="006B5E2C" w:rsidRPr="006B5E2C" w:rsidRDefault="006B5E2C" w:rsidP="006B5E2C">
      <w:pPr>
        <w:spacing w:after="0" w:line="240" w:lineRule="auto"/>
        <w:ind w:left="720"/>
        <w:rPr>
          <w:i/>
        </w:rPr>
      </w:pPr>
    </w:p>
    <w:p w:rsidR="00D01442" w:rsidRPr="006B5E2C" w:rsidRDefault="00D01442" w:rsidP="006B5E2C">
      <w:pPr>
        <w:spacing w:line="240" w:lineRule="auto"/>
        <w:rPr>
          <w:rFonts w:cstheme="minorHAnsi"/>
        </w:rPr>
      </w:pPr>
      <w:r>
        <w:rPr>
          <w:b/>
        </w:rPr>
        <w:t>Attendance Policy</w:t>
      </w:r>
      <w:r w:rsidR="00596DEB">
        <w:rPr>
          <w:b/>
        </w:rPr>
        <w:t xml:space="preserve">: </w:t>
      </w:r>
      <w:r w:rsidR="006B5E2C" w:rsidRPr="006B5E2C">
        <w:rPr>
          <w:rFonts w:cstheme="minorHAnsi"/>
          <w:i/>
          <w:iCs/>
          <w:color w:val="000000"/>
          <w:shd w:val="clear" w:color="auto" w:fill="FFFFFF"/>
        </w:rPr>
        <w:t>If you miss six or more classes, you run the risk of failing the course as a whole.</w:t>
      </w:r>
      <w:r w:rsidR="006B5E2C" w:rsidRPr="006B5E2C">
        <w:rPr>
          <w:rStyle w:val="apple-converted-space"/>
          <w:rFonts w:cstheme="minorHAnsi"/>
          <w:color w:val="000000"/>
          <w:shd w:val="clear" w:color="auto" w:fill="FFFFFF"/>
        </w:rPr>
        <w:t> </w:t>
      </w:r>
      <w:r w:rsidR="006B5E2C" w:rsidRPr="006B5E2C">
        <w:rPr>
          <w:rFonts w:cstheme="minorHAnsi"/>
          <w:color w:val="000000"/>
          <w:shd w:val="clear" w:color="auto" w:fill="FFFFFF"/>
        </w:rPr>
        <w:t>If you have an illness or family emergency that prevents you from attending class, contact the instructor as soon as possible by email. If you are late for class, it is your responsibility to make sure that you are not recorded as absent. If you miss a class for any reason, it is your responsibility to find out what you missed</w:t>
      </w:r>
      <w:r w:rsidR="006B5E2C" w:rsidRPr="006B5E2C">
        <w:rPr>
          <w:rStyle w:val="apple-converted-space"/>
          <w:rFonts w:cstheme="minorHAnsi"/>
          <w:color w:val="000000"/>
          <w:shd w:val="clear" w:color="auto" w:fill="FFFFFF"/>
        </w:rPr>
        <w:t> </w:t>
      </w:r>
      <w:r w:rsidR="006B5E2C" w:rsidRPr="006B5E2C">
        <w:rPr>
          <w:rFonts w:cstheme="minorHAnsi"/>
          <w:i/>
          <w:iCs/>
          <w:color w:val="000000"/>
          <w:shd w:val="clear" w:color="auto" w:fill="FFFFFF"/>
        </w:rPr>
        <w:t>before</w:t>
      </w:r>
      <w:r w:rsidR="006B5E2C" w:rsidRPr="006B5E2C">
        <w:rPr>
          <w:rStyle w:val="apple-converted-space"/>
          <w:rFonts w:cstheme="minorHAnsi"/>
          <w:color w:val="000000"/>
          <w:shd w:val="clear" w:color="auto" w:fill="FFFFFF"/>
        </w:rPr>
        <w:t> </w:t>
      </w:r>
      <w:r w:rsidR="006B5E2C" w:rsidRPr="006B5E2C">
        <w:rPr>
          <w:rFonts w:cstheme="minorHAnsi"/>
          <w:color w:val="000000"/>
          <w:shd w:val="clear" w:color="auto" w:fill="FFFFFF"/>
        </w:rPr>
        <w:t>the next class.</w:t>
      </w:r>
    </w:p>
    <w:p w:rsidR="00596DEB" w:rsidRDefault="00D304AF" w:rsidP="00F3050A">
      <w:r>
        <w:rPr>
          <w:b/>
        </w:rPr>
        <w:t>ADAPTS</w:t>
      </w:r>
      <w:r w:rsidR="00596DEB" w:rsidRPr="00596DEB">
        <w:rPr>
          <w:b/>
        </w:rPr>
        <w:t xml:space="preserve"> accommodation is available for students with disabilities:</w:t>
      </w:r>
      <w:r w:rsidR="00596DEB">
        <w:t xml:space="preserve"> </w:t>
      </w:r>
      <w:r w:rsidR="00596DEB" w:rsidRPr="00596DEB">
        <w:t>http://www.adapts.gatech.edu/</w:t>
      </w:r>
    </w:p>
    <w:p w:rsidR="00596DEB" w:rsidRPr="00596DEB" w:rsidRDefault="00596DEB" w:rsidP="00F3050A">
      <w:r w:rsidRPr="00596DEB">
        <w:rPr>
          <w:b/>
        </w:rPr>
        <w:t>Honor Code:</w:t>
      </w:r>
      <w:r>
        <w:t xml:space="preserve"> In all assignments, be sure to reference and include full citations for any words or concepts that are not your own.  </w:t>
      </w:r>
      <w:r w:rsidR="00D304AF">
        <w:t xml:space="preserve">To learn more about Georgia Tech’s Honor Code, please visit http:// </w:t>
      </w:r>
      <w:hyperlink r:id="rId7" w:history="1">
        <w:r w:rsidR="00D304AF" w:rsidRPr="00E72760">
          <w:rPr>
            <w:rStyle w:val="Hyperlink"/>
          </w:rPr>
          <w:t>www.honor.gatech.edu</w:t>
        </w:r>
      </w:hyperlink>
      <w:r w:rsidR="00D304AF">
        <w:t xml:space="preserve">.  </w:t>
      </w:r>
      <w:r>
        <w:t>Students are encouraged to seek help from each other on all assignments</w:t>
      </w:r>
      <w:r w:rsidR="009F6805">
        <w:t xml:space="preserve">, as well as from the </w:t>
      </w:r>
      <w:proofErr w:type="spellStart"/>
      <w:r w:rsidR="009F6805">
        <w:t>Comm</w:t>
      </w:r>
      <w:proofErr w:type="spellEnd"/>
      <w:r w:rsidR="009F6805">
        <w:t xml:space="preserve"> Lab and the professor</w:t>
      </w:r>
      <w:r>
        <w:t>.</w:t>
      </w:r>
      <w:r w:rsidR="009F6805">
        <w:t xml:space="preserve"> Late assignments will be penalized two points per day.</w:t>
      </w:r>
    </w:p>
    <w:tbl>
      <w:tblPr>
        <w:tblStyle w:val="TableGrid"/>
        <w:tblW w:w="0" w:type="auto"/>
        <w:tblLook w:val="04A0"/>
      </w:tblPr>
      <w:tblGrid>
        <w:gridCol w:w="743"/>
        <w:gridCol w:w="2944"/>
        <w:gridCol w:w="2944"/>
        <w:gridCol w:w="2945"/>
      </w:tblGrid>
      <w:tr w:rsidR="00ED78F1" w:rsidRPr="00ED78F1" w:rsidTr="00022A37">
        <w:trPr>
          <w:cantSplit/>
        </w:trPr>
        <w:tc>
          <w:tcPr>
            <w:tcW w:w="743" w:type="dxa"/>
            <w:vAlign w:val="center"/>
          </w:tcPr>
          <w:p w:rsidR="00ED78F1" w:rsidRPr="00ED78F1" w:rsidRDefault="008E317E" w:rsidP="00AB635E">
            <w:pPr>
              <w:jc w:val="center"/>
              <w:rPr>
                <w:b/>
              </w:rPr>
            </w:pPr>
            <w:r>
              <w:rPr>
                <w:b/>
              </w:rPr>
              <w:t>Week</w:t>
            </w:r>
          </w:p>
        </w:tc>
        <w:tc>
          <w:tcPr>
            <w:tcW w:w="2944" w:type="dxa"/>
          </w:tcPr>
          <w:p w:rsidR="00ED78F1" w:rsidRPr="00ED78F1" w:rsidRDefault="008E317E" w:rsidP="008C36B4">
            <w:pPr>
              <w:rPr>
                <w:b/>
              </w:rPr>
            </w:pPr>
            <w:r>
              <w:rPr>
                <w:b/>
              </w:rPr>
              <w:t>Monday</w:t>
            </w:r>
          </w:p>
        </w:tc>
        <w:tc>
          <w:tcPr>
            <w:tcW w:w="2944" w:type="dxa"/>
          </w:tcPr>
          <w:p w:rsidR="00ED78F1" w:rsidRPr="00ED78F1" w:rsidRDefault="008E317E" w:rsidP="008C36B4">
            <w:pPr>
              <w:rPr>
                <w:b/>
              </w:rPr>
            </w:pPr>
            <w:r>
              <w:rPr>
                <w:b/>
              </w:rPr>
              <w:t>Wednesday</w:t>
            </w:r>
          </w:p>
        </w:tc>
        <w:tc>
          <w:tcPr>
            <w:tcW w:w="2945" w:type="dxa"/>
          </w:tcPr>
          <w:p w:rsidR="00ED78F1" w:rsidRPr="00ED78F1" w:rsidRDefault="008E317E" w:rsidP="008C36B4">
            <w:pPr>
              <w:rPr>
                <w:b/>
              </w:rPr>
            </w:pPr>
            <w:r>
              <w:rPr>
                <w:b/>
              </w:rPr>
              <w:t>Friday</w:t>
            </w:r>
          </w:p>
        </w:tc>
      </w:tr>
      <w:tr w:rsidR="002909F7" w:rsidRPr="00ED78F1" w:rsidTr="00022A37">
        <w:trPr>
          <w:cantSplit/>
        </w:trPr>
        <w:tc>
          <w:tcPr>
            <w:tcW w:w="9576" w:type="dxa"/>
            <w:gridSpan w:val="4"/>
            <w:vAlign w:val="center"/>
          </w:tcPr>
          <w:p w:rsidR="002909F7" w:rsidRDefault="002909F7" w:rsidP="008C36B4">
            <w:pPr>
              <w:rPr>
                <w:b/>
              </w:rPr>
            </w:pPr>
            <w:r>
              <w:rPr>
                <w:b/>
              </w:rPr>
              <w:t>UNIT 1: MAKING SENSE OF ILLNESS</w:t>
            </w:r>
          </w:p>
        </w:tc>
      </w:tr>
      <w:tr w:rsidR="00ED78F1" w:rsidTr="00022A37">
        <w:trPr>
          <w:cantSplit/>
        </w:trPr>
        <w:tc>
          <w:tcPr>
            <w:tcW w:w="743" w:type="dxa"/>
            <w:vAlign w:val="center"/>
          </w:tcPr>
          <w:p w:rsidR="00ED78F1" w:rsidRPr="00ED78F1" w:rsidRDefault="008E317E" w:rsidP="00AB635E">
            <w:pPr>
              <w:jc w:val="center"/>
              <w:rPr>
                <w:b/>
              </w:rPr>
            </w:pPr>
            <w:r>
              <w:rPr>
                <w:b/>
              </w:rPr>
              <w:t>1</w:t>
            </w:r>
          </w:p>
        </w:tc>
        <w:tc>
          <w:tcPr>
            <w:tcW w:w="2944" w:type="dxa"/>
          </w:tcPr>
          <w:p w:rsidR="00ED78F1" w:rsidRDefault="00F97EF6" w:rsidP="008E317E">
            <w:pPr>
              <w:jc w:val="right"/>
            </w:pPr>
            <w:r>
              <w:t>Jan 7</w:t>
            </w:r>
          </w:p>
          <w:p w:rsidR="005859D3" w:rsidRDefault="005859D3" w:rsidP="005859D3">
            <w:r>
              <w:t>Intro</w:t>
            </w:r>
            <w:r w:rsidR="0091161C">
              <w:t>ductions</w:t>
            </w:r>
          </w:p>
        </w:tc>
        <w:tc>
          <w:tcPr>
            <w:tcW w:w="2944" w:type="dxa"/>
          </w:tcPr>
          <w:p w:rsidR="00ED78F1" w:rsidRDefault="00F97EF6" w:rsidP="008E317E">
            <w:pPr>
              <w:jc w:val="right"/>
            </w:pPr>
            <w:r>
              <w:t>Jan 9</w:t>
            </w:r>
          </w:p>
          <w:p w:rsidR="00E057F3" w:rsidRPr="00BF0669" w:rsidRDefault="003F2C87" w:rsidP="003F2C87">
            <w:proofErr w:type="spellStart"/>
            <w:r>
              <w:t>Lorde</w:t>
            </w:r>
            <w:proofErr w:type="spellEnd"/>
            <w:r>
              <w:t xml:space="preserve">, </w:t>
            </w:r>
            <w:proofErr w:type="spellStart"/>
            <w:r>
              <w:t>Audre</w:t>
            </w:r>
            <w:proofErr w:type="spellEnd"/>
            <w:r>
              <w:t xml:space="preserve">. “Breast Cancer: Power Versus Prosthesis,” from </w:t>
            </w:r>
            <w:r w:rsidRPr="00505458">
              <w:rPr>
                <w:i/>
              </w:rPr>
              <w:t>The Cancer Journals</w:t>
            </w:r>
            <w:r>
              <w:t xml:space="preserve"> (San Francisco: Aunt Lute Books, 1980): 55-77.</w:t>
            </w:r>
          </w:p>
        </w:tc>
        <w:tc>
          <w:tcPr>
            <w:tcW w:w="2945" w:type="dxa"/>
          </w:tcPr>
          <w:p w:rsidR="00ED78F1" w:rsidRDefault="00F97EF6" w:rsidP="008E317E">
            <w:pPr>
              <w:jc w:val="right"/>
            </w:pPr>
            <w:r>
              <w:t>Jan 11</w:t>
            </w:r>
          </w:p>
          <w:p w:rsidR="00C5102B" w:rsidRDefault="00C5102B" w:rsidP="005859D3">
            <w:proofErr w:type="spellStart"/>
            <w:r w:rsidRPr="00653262">
              <w:t>Ehrenreich</w:t>
            </w:r>
            <w:proofErr w:type="spellEnd"/>
            <w:r w:rsidRPr="00653262">
              <w:t xml:space="preserve">, Barbara. “Welcome to Cancer Land: A Mammogram Leads to a Cult of Pink Kitsch,” </w:t>
            </w:r>
            <w:r w:rsidRPr="00653262">
              <w:rPr>
                <w:i/>
              </w:rPr>
              <w:t xml:space="preserve">Harpers </w:t>
            </w:r>
            <w:r w:rsidRPr="00653262">
              <w:t>November 2001, pp. 43-53.</w:t>
            </w:r>
          </w:p>
          <w:p w:rsidR="00C5102B" w:rsidRDefault="00C5102B" w:rsidP="005859D3"/>
          <w:p w:rsidR="00570F8B" w:rsidRDefault="00570F8B" w:rsidP="005859D3"/>
        </w:tc>
      </w:tr>
      <w:tr w:rsidR="00ED78F1" w:rsidTr="00022A37">
        <w:trPr>
          <w:cantSplit/>
        </w:trPr>
        <w:tc>
          <w:tcPr>
            <w:tcW w:w="743" w:type="dxa"/>
            <w:vAlign w:val="center"/>
          </w:tcPr>
          <w:p w:rsidR="00ED78F1" w:rsidRPr="00ED78F1" w:rsidRDefault="00ED78F1" w:rsidP="00AB635E">
            <w:pPr>
              <w:jc w:val="center"/>
              <w:rPr>
                <w:b/>
              </w:rPr>
            </w:pPr>
            <w:r w:rsidRPr="00ED78F1">
              <w:rPr>
                <w:b/>
              </w:rPr>
              <w:t>2</w:t>
            </w:r>
          </w:p>
        </w:tc>
        <w:tc>
          <w:tcPr>
            <w:tcW w:w="2944" w:type="dxa"/>
          </w:tcPr>
          <w:p w:rsidR="00ED78F1" w:rsidRDefault="00F97EF6" w:rsidP="008E317E">
            <w:pPr>
              <w:jc w:val="right"/>
            </w:pPr>
            <w:r>
              <w:t>Jan 14</w:t>
            </w:r>
          </w:p>
          <w:p w:rsidR="008E317E" w:rsidRDefault="008E317E" w:rsidP="008E317E">
            <w:r>
              <w:t>MLK Day – No Class</w:t>
            </w:r>
          </w:p>
        </w:tc>
        <w:tc>
          <w:tcPr>
            <w:tcW w:w="2944" w:type="dxa"/>
          </w:tcPr>
          <w:p w:rsidR="00ED78F1" w:rsidRDefault="00F97EF6" w:rsidP="008E317E">
            <w:pPr>
              <w:jc w:val="right"/>
            </w:pPr>
            <w:r>
              <w:t>Jan 16</w:t>
            </w:r>
          </w:p>
          <w:p w:rsidR="00495AAA" w:rsidRDefault="00495AAA" w:rsidP="00104F8F"/>
          <w:p w:rsidR="00104F8F" w:rsidRDefault="00104F8F" w:rsidP="00104F8F">
            <w:r>
              <w:t>Interview Notes Due</w:t>
            </w:r>
            <w:r w:rsidR="00495AAA">
              <w:t xml:space="preserve"> at Noon</w:t>
            </w:r>
          </w:p>
          <w:p w:rsidR="00104F8F" w:rsidRDefault="00104F8F" w:rsidP="00104F8F"/>
          <w:p w:rsidR="00104F8F" w:rsidRDefault="00104F8F" w:rsidP="00104F8F">
            <w:r>
              <w:t>In-Class discussion</w:t>
            </w:r>
          </w:p>
          <w:p w:rsidR="005859D3" w:rsidRPr="00BF0669" w:rsidRDefault="005859D3" w:rsidP="005859D3"/>
        </w:tc>
        <w:tc>
          <w:tcPr>
            <w:tcW w:w="2945" w:type="dxa"/>
          </w:tcPr>
          <w:p w:rsidR="00ED78F1" w:rsidRDefault="008E317E" w:rsidP="008E317E">
            <w:pPr>
              <w:jc w:val="right"/>
            </w:pPr>
            <w:r>
              <w:t xml:space="preserve">Jan </w:t>
            </w:r>
            <w:r w:rsidR="00F97EF6">
              <w:t>18</w:t>
            </w:r>
          </w:p>
          <w:p w:rsidR="003F2C87" w:rsidRDefault="003F2C87" w:rsidP="003F2C87">
            <w:pPr>
              <w:rPr>
                <w:i/>
              </w:rPr>
            </w:pPr>
          </w:p>
          <w:p w:rsidR="003E1B8B" w:rsidRPr="003F2C87" w:rsidRDefault="00146F78" w:rsidP="00C771E3">
            <w:proofErr w:type="spellStart"/>
            <w:r>
              <w:t>Aronowitz</w:t>
            </w:r>
            <w:proofErr w:type="spellEnd"/>
            <w:r>
              <w:t xml:space="preserve">, Robert. Preface and Introduction, </w:t>
            </w:r>
            <w:r>
              <w:rPr>
                <w:i/>
              </w:rPr>
              <w:t xml:space="preserve">Making Sense of Illness </w:t>
            </w:r>
            <w:r w:rsidRPr="008F3849">
              <w:t>(</w:t>
            </w:r>
            <w:r>
              <w:t>Cambridge: Cambridge University Press, 1998): pp. ix-xxi, 1-18.</w:t>
            </w:r>
          </w:p>
        </w:tc>
      </w:tr>
      <w:tr w:rsidR="00ED78F1" w:rsidTr="00022A37">
        <w:trPr>
          <w:cantSplit/>
        </w:trPr>
        <w:tc>
          <w:tcPr>
            <w:tcW w:w="743" w:type="dxa"/>
            <w:vAlign w:val="center"/>
          </w:tcPr>
          <w:p w:rsidR="00ED78F1" w:rsidRPr="00ED78F1" w:rsidRDefault="008E317E" w:rsidP="00AB635E">
            <w:pPr>
              <w:jc w:val="center"/>
              <w:rPr>
                <w:b/>
              </w:rPr>
            </w:pPr>
            <w:r>
              <w:rPr>
                <w:b/>
              </w:rPr>
              <w:t>3</w:t>
            </w:r>
          </w:p>
        </w:tc>
        <w:tc>
          <w:tcPr>
            <w:tcW w:w="2944" w:type="dxa"/>
          </w:tcPr>
          <w:p w:rsidR="00ED78F1" w:rsidRDefault="00146F78" w:rsidP="008E317E">
            <w:pPr>
              <w:jc w:val="right"/>
            </w:pPr>
            <w:r>
              <w:t>Jan 21</w:t>
            </w:r>
          </w:p>
          <w:p w:rsidR="00104F8F" w:rsidRPr="00C5102B" w:rsidRDefault="00146F78" w:rsidP="00C5102B">
            <w:r w:rsidRPr="004D7DDE">
              <w:t xml:space="preserve">Pollock, Anne. “The Internal Cardiac Defibrillator.” Ed. Sherry </w:t>
            </w:r>
            <w:proofErr w:type="spellStart"/>
            <w:r w:rsidRPr="004D7DDE">
              <w:t>Turkle</w:t>
            </w:r>
            <w:proofErr w:type="spellEnd"/>
            <w:r w:rsidRPr="004D7DDE">
              <w:t xml:space="preserve">. </w:t>
            </w:r>
            <w:r w:rsidRPr="004D7DDE">
              <w:rPr>
                <w:i/>
              </w:rPr>
              <w:t>The Inner History of Devices: Technology and Self.</w:t>
            </w:r>
            <w:r w:rsidRPr="004D7DDE">
              <w:t xml:space="preserve"> Cambridge, MA: MIT Press, 2008: 98-111.</w:t>
            </w:r>
          </w:p>
        </w:tc>
        <w:tc>
          <w:tcPr>
            <w:tcW w:w="2944" w:type="dxa"/>
          </w:tcPr>
          <w:p w:rsidR="00ED78F1" w:rsidRDefault="00146F78" w:rsidP="008E317E">
            <w:pPr>
              <w:jc w:val="right"/>
            </w:pPr>
            <w:r>
              <w:t>Jan 23</w:t>
            </w:r>
          </w:p>
          <w:p w:rsidR="005859D3" w:rsidRPr="00930DD2" w:rsidRDefault="00D2650F" w:rsidP="00D2650F">
            <w:r>
              <w:t xml:space="preserve">Frank, Arthur. “Illness as a Call for Stories,” in </w:t>
            </w:r>
            <w:r>
              <w:rPr>
                <w:i/>
              </w:rPr>
              <w:t>The Wounded Storyteller: Body, Illness, and Ethics</w:t>
            </w:r>
            <w:r>
              <w:t xml:space="preserve"> (Chicago: University of Chicago, 1995): 53-74.</w:t>
            </w:r>
          </w:p>
        </w:tc>
        <w:tc>
          <w:tcPr>
            <w:tcW w:w="2945" w:type="dxa"/>
          </w:tcPr>
          <w:p w:rsidR="00ED78F1" w:rsidRDefault="00146F78" w:rsidP="008E317E">
            <w:pPr>
              <w:jc w:val="right"/>
            </w:pPr>
            <w:r>
              <w:t>Jan 25</w:t>
            </w:r>
          </w:p>
          <w:p w:rsidR="00D2650F" w:rsidRDefault="00D2650F" w:rsidP="00F97EF6">
            <w:r>
              <w:t xml:space="preserve">Charon, Rita. “Narrative Medicine: A Model for Empathy, Reflection, Profession, and Trust,” </w:t>
            </w:r>
            <w:r>
              <w:rPr>
                <w:i/>
              </w:rPr>
              <w:t xml:space="preserve">JAMA </w:t>
            </w:r>
            <w:r>
              <w:t>286.15(2001): 1897-1902.</w:t>
            </w:r>
          </w:p>
          <w:p w:rsidR="00930DD2" w:rsidRPr="00930DD2" w:rsidRDefault="00930DD2" w:rsidP="00D2650F"/>
        </w:tc>
      </w:tr>
      <w:tr w:rsidR="00ED78F1" w:rsidTr="00022A37">
        <w:trPr>
          <w:cantSplit/>
        </w:trPr>
        <w:tc>
          <w:tcPr>
            <w:tcW w:w="743" w:type="dxa"/>
            <w:vAlign w:val="center"/>
          </w:tcPr>
          <w:p w:rsidR="00ED78F1" w:rsidRPr="00ED78F1" w:rsidRDefault="008E317E" w:rsidP="00AB635E">
            <w:pPr>
              <w:jc w:val="center"/>
              <w:rPr>
                <w:b/>
              </w:rPr>
            </w:pPr>
            <w:r>
              <w:rPr>
                <w:b/>
              </w:rPr>
              <w:lastRenderedPageBreak/>
              <w:t>4</w:t>
            </w:r>
          </w:p>
        </w:tc>
        <w:tc>
          <w:tcPr>
            <w:tcW w:w="2944" w:type="dxa"/>
          </w:tcPr>
          <w:p w:rsidR="00ED78F1" w:rsidRDefault="00146F78" w:rsidP="008E317E">
            <w:pPr>
              <w:jc w:val="right"/>
            </w:pPr>
            <w:r>
              <w:t>Jan 28</w:t>
            </w:r>
          </w:p>
          <w:p w:rsidR="00D2650F" w:rsidRDefault="00D2650F" w:rsidP="00D2650F">
            <w:r>
              <w:t>Wit</w:t>
            </w:r>
          </w:p>
          <w:p w:rsidR="00D2650F" w:rsidRDefault="00D2650F" w:rsidP="00A20F9A"/>
          <w:p w:rsidR="005859D3" w:rsidRDefault="005859D3" w:rsidP="00A20F9A"/>
        </w:tc>
        <w:tc>
          <w:tcPr>
            <w:tcW w:w="2944" w:type="dxa"/>
          </w:tcPr>
          <w:p w:rsidR="00ED78F1" w:rsidRDefault="00146F78" w:rsidP="008E317E">
            <w:pPr>
              <w:jc w:val="right"/>
            </w:pPr>
            <w:r>
              <w:t>Jan 30</w:t>
            </w:r>
          </w:p>
          <w:p w:rsidR="00D2650F" w:rsidRDefault="00D2650F" w:rsidP="00D2650F">
            <w:r>
              <w:t>Wit</w:t>
            </w:r>
          </w:p>
          <w:p w:rsidR="005859D3" w:rsidRPr="00063CDB" w:rsidRDefault="005859D3" w:rsidP="00653262"/>
        </w:tc>
        <w:tc>
          <w:tcPr>
            <w:tcW w:w="2945" w:type="dxa"/>
          </w:tcPr>
          <w:p w:rsidR="00ED78F1" w:rsidRDefault="00146F78" w:rsidP="008E317E">
            <w:pPr>
              <w:jc w:val="right"/>
            </w:pPr>
            <w:r>
              <w:t>Feb 1</w:t>
            </w:r>
          </w:p>
          <w:p w:rsidR="00FB05BC" w:rsidRPr="005D0DBE" w:rsidRDefault="004D7DDE" w:rsidP="005D0DBE">
            <w:r>
              <w:t>Paper 1 Due at Midnight</w:t>
            </w:r>
          </w:p>
        </w:tc>
      </w:tr>
      <w:tr w:rsidR="004D7DDE" w:rsidRPr="00600726" w:rsidTr="006A031D">
        <w:trPr>
          <w:cantSplit/>
        </w:trPr>
        <w:tc>
          <w:tcPr>
            <w:tcW w:w="9576" w:type="dxa"/>
            <w:gridSpan w:val="4"/>
            <w:vAlign w:val="center"/>
          </w:tcPr>
          <w:p w:rsidR="004D7DDE" w:rsidRPr="00600726" w:rsidRDefault="004D7DDE" w:rsidP="006A031D">
            <w:pPr>
              <w:rPr>
                <w:b/>
              </w:rPr>
            </w:pPr>
            <w:r w:rsidRPr="00600726">
              <w:rPr>
                <w:b/>
              </w:rPr>
              <w:t>UNIT 2: MEDICAL THINKING</w:t>
            </w:r>
          </w:p>
        </w:tc>
      </w:tr>
      <w:tr w:rsidR="00ED78F1" w:rsidTr="00022A37">
        <w:trPr>
          <w:cantSplit/>
        </w:trPr>
        <w:tc>
          <w:tcPr>
            <w:tcW w:w="743" w:type="dxa"/>
            <w:vAlign w:val="center"/>
          </w:tcPr>
          <w:p w:rsidR="00ED78F1" w:rsidRPr="00ED78F1" w:rsidRDefault="008E317E" w:rsidP="00AB635E">
            <w:pPr>
              <w:jc w:val="center"/>
              <w:rPr>
                <w:b/>
              </w:rPr>
            </w:pPr>
            <w:r>
              <w:rPr>
                <w:b/>
              </w:rPr>
              <w:t>5</w:t>
            </w:r>
          </w:p>
        </w:tc>
        <w:tc>
          <w:tcPr>
            <w:tcW w:w="2944" w:type="dxa"/>
          </w:tcPr>
          <w:p w:rsidR="00ED78F1" w:rsidRDefault="00146F78" w:rsidP="008E317E">
            <w:pPr>
              <w:jc w:val="right"/>
            </w:pPr>
            <w:r>
              <w:t>Feb 4</w:t>
            </w:r>
          </w:p>
          <w:p w:rsidR="00600726" w:rsidRPr="00600726" w:rsidRDefault="00146F78" w:rsidP="004D7DDE">
            <w:r>
              <w:t xml:space="preserve">Skim Articles in </w:t>
            </w:r>
            <w:proofErr w:type="spellStart"/>
            <w:r>
              <w:t>BiDil</w:t>
            </w:r>
            <w:proofErr w:type="spellEnd"/>
            <w:r>
              <w:t xml:space="preserve"> folder</w:t>
            </w:r>
          </w:p>
        </w:tc>
        <w:tc>
          <w:tcPr>
            <w:tcW w:w="2944" w:type="dxa"/>
          </w:tcPr>
          <w:p w:rsidR="00ED78F1" w:rsidRDefault="00146F78" w:rsidP="008E317E">
            <w:pPr>
              <w:jc w:val="right"/>
            </w:pPr>
            <w:r>
              <w:t>Feb 6</w:t>
            </w:r>
          </w:p>
          <w:p w:rsidR="00600726" w:rsidRPr="002A120C" w:rsidRDefault="00146F78" w:rsidP="002A120C">
            <w:r>
              <w:t xml:space="preserve">Fleck, </w:t>
            </w:r>
            <w:proofErr w:type="spellStart"/>
            <w:r>
              <w:t>Ludwick</w:t>
            </w:r>
            <w:proofErr w:type="spellEnd"/>
            <w:r>
              <w:t xml:space="preserve">, “Some Specific Features of the Medical Way of Thinking,” in </w:t>
            </w:r>
            <w:r>
              <w:rPr>
                <w:i/>
              </w:rPr>
              <w:t xml:space="preserve">Cognition and Fact: Materials on </w:t>
            </w:r>
            <w:proofErr w:type="spellStart"/>
            <w:r>
              <w:rPr>
                <w:i/>
              </w:rPr>
              <w:t>Ludwick</w:t>
            </w:r>
            <w:proofErr w:type="spellEnd"/>
            <w:r>
              <w:rPr>
                <w:i/>
              </w:rPr>
              <w:t xml:space="preserve"> Fleck</w:t>
            </w:r>
            <w:r>
              <w:t xml:space="preserve">, edited by Robert S. Cohen and Thomas </w:t>
            </w:r>
            <w:proofErr w:type="spellStart"/>
            <w:r>
              <w:t>Schnelle</w:t>
            </w:r>
            <w:proofErr w:type="spellEnd"/>
            <w:r>
              <w:t xml:space="preserve">, D. </w:t>
            </w:r>
            <w:proofErr w:type="spellStart"/>
            <w:r>
              <w:t>Reidel</w:t>
            </w:r>
            <w:proofErr w:type="spellEnd"/>
            <w:r>
              <w:t xml:space="preserve"> Publishing Company, 1986 [1927], pp. 39-46.</w:t>
            </w:r>
          </w:p>
        </w:tc>
        <w:tc>
          <w:tcPr>
            <w:tcW w:w="2945" w:type="dxa"/>
          </w:tcPr>
          <w:p w:rsidR="00ED78F1" w:rsidRDefault="00306537" w:rsidP="008E317E">
            <w:pPr>
              <w:jc w:val="right"/>
            </w:pPr>
            <w:r>
              <w:t>Feb</w:t>
            </w:r>
            <w:r w:rsidR="00146F78">
              <w:t xml:space="preserve"> 8</w:t>
            </w:r>
          </w:p>
          <w:p w:rsidR="005859D3" w:rsidRDefault="008F3849" w:rsidP="008F3849">
            <w:r w:rsidRPr="001442C0">
              <w:t>Rose</w:t>
            </w:r>
            <w:r>
              <w:t>,</w:t>
            </w:r>
            <w:r w:rsidRPr="001442C0">
              <w:t xml:space="preserve"> </w:t>
            </w:r>
            <w:r w:rsidR="001442C0" w:rsidRPr="001442C0">
              <w:t>Nikolas</w:t>
            </w:r>
            <w:r>
              <w:t>.</w:t>
            </w:r>
            <w:r w:rsidR="001442C0" w:rsidRPr="001442C0">
              <w:t xml:space="preserve"> </w:t>
            </w:r>
            <w:r>
              <w:t>“Introduction,”</w:t>
            </w:r>
            <w:r w:rsidR="001442C0" w:rsidRPr="001442C0">
              <w:t xml:space="preserve"> </w:t>
            </w:r>
            <w:r w:rsidR="001442C0" w:rsidRPr="00B20528">
              <w:rPr>
                <w:i/>
              </w:rPr>
              <w:t>Politics of Life Itself</w:t>
            </w:r>
            <w:r w:rsidR="001442C0" w:rsidRPr="001442C0">
              <w:t xml:space="preserve"> (Princeton University Press 2006), pp. 1-7.</w:t>
            </w:r>
          </w:p>
        </w:tc>
      </w:tr>
      <w:tr w:rsidR="00ED78F1" w:rsidTr="00022A37">
        <w:trPr>
          <w:cantSplit/>
        </w:trPr>
        <w:tc>
          <w:tcPr>
            <w:tcW w:w="0" w:type="auto"/>
            <w:vAlign w:val="center"/>
          </w:tcPr>
          <w:p w:rsidR="00ED78F1" w:rsidRPr="00ED78F1" w:rsidRDefault="008E317E" w:rsidP="00AB635E">
            <w:pPr>
              <w:jc w:val="center"/>
              <w:rPr>
                <w:b/>
              </w:rPr>
            </w:pPr>
            <w:r>
              <w:rPr>
                <w:b/>
              </w:rPr>
              <w:t>6</w:t>
            </w:r>
          </w:p>
        </w:tc>
        <w:tc>
          <w:tcPr>
            <w:tcW w:w="2944" w:type="dxa"/>
          </w:tcPr>
          <w:p w:rsidR="002A120C" w:rsidRDefault="00146F78" w:rsidP="002A120C">
            <w:pPr>
              <w:jc w:val="right"/>
              <w:rPr>
                <w:i/>
              </w:rPr>
            </w:pPr>
            <w:r>
              <w:t>Feb 11</w:t>
            </w:r>
          </w:p>
          <w:p w:rsidR="004D7DDE" w:rsidRDefault="004D7DDE" w:rsidP="004D7DDE">
            <w:pPr>
              <w:rPr>
                <w:i/>
              </w:rPr>
            </w:pPr>
            <w:r>
              <w:rPr>
                <w:i/>
              </w:rPr>
              <w:t>Blood and Guts</w:t>
            </w:r>
          </w:p>
          <w:p w:rsidR="004D04F3" w:rsidRPr="00D07AF1" w:rsidRDefault="004D7DDE" w:rsidP="004D7DDE">
            <w:r>
              <w:t>Preface and Chapters 1-2 “Disease” and “Doctors” pp. 1-52.</w:t>
            </w:r>
          </w:p>
        </w:tc>
        <w:tc>
          <w:tcPr>
            <w:tcW w:w="2944" w:type="dxa"/>
          </w:tcPr>
          <w:p w:rsidR="00ED78F1" w:rsidRDefault="00146F78" w:rsidP="008E317E">
            <w:pPr>
              <w:jc w:val="right"/>
            </w:pPr>
            <w:r>
              <w:t>Feb 13</w:t>
            </w:r>
          </w:p>
          <w:p w:rsidR="004D7DDE" w:rsidRDefault="004D7DDE" w:rsidP="004D7DDE">
            <w:r>
              <w:rPr>
                <w:i/>
              </w:rPr>
              <w:t>Blood and Guts</w:t>
            </w:r>
          </w:p>
          <w:p w:rsidR="004D04F3" w:rsidRPr="00A24149" w:rsidRDefault="004D7DDE" w:rsidP="004D7DDE">
            <w:r>
              <w:t>Chapters 3-4, “The Body” and “The Laboratory,” pp. 53-98.</w:t>
            </w:r>
          </w:p>
        </w:tc>
        <w:tc>
          <w:tcPr>
            <w:tcW w:w="2945" w:type="dxa"/>
          </w:tcPr>
          <w:p w:rsidR="00ED78F1" w:rsidRDefault="00146F78" w:rsidP="008E317E">
            <w:pPr>
              <w:jc w:val="right"/>
            </w:pPr>
            <w:r>
              <w:t>Feb 15</w:t>
            </w:r>
          </w:p>
          <w:p w:rsidR="002A120C" w:rsidRDefault="002A120C" w:rsidP="002A120C">
            <w:pPr>
              <w:rPr>
                <w:i/>
              </w:rPr>
            </w:pPr>
            <w:r>
              <w:t>Research day: bring laptops</w:t>
            </w:r>
          </w:p>
          <w:p w:rsidR="002A120C" w:rsidRDefault="002A120C" w:rsidP="00022A37"/>
          <w:p w:rsidR="002A120C" w:rsidRDefault="002A120C" w:rsidP="00022A37"/>
          <w:p w:rsidR="004D04F3" w:rsidRPr="004D04F3" w:rsidRDefault="004D04F3" w:rsidP="00022A37"/>
        </w:tc>
      </w:tr>
      <w:tr w:rsidR="00ED78F1" w:rsidTr="00022A37">
        <w:trPr>
          <w:cantSplit/>
        </w:trPr>
        <w:tc>
          <w:tcPr>
            <w:tcW w:w="0" w:type="auto"/>
            <w:vAlign w:val="center"/>
          </w:tcPr>
          <w:p w:rsidR="00ED78F1" w:rsidRPr="00ED78F1" w:rsidRDefault="008E317E" w:rsidP="00AB635E">
            <w:pPr>
              <w:jc w:val="center"/>
              <w:rPr>
                <w:b/>
              </w:rPr>
            </w:pPr>
            <w:r>
              <w:rPr>
                <w:b/>
              </w:rPr>
              <w:t>7</w:t>
            </w:r>
          </w:p>
        </w:tc>
        <w:tc>
          <w:tcPr>
            <w:tcW w:w="2944" w:type="dxa"/>
          </w:tcPr>
          <w:p w:rsidR="00AB635E" w:rsidRDefault="00146F78" w:rsidP="00AB635E">
            <w:pPr>
              <w:jc w:val="right"/>
            </w:pPr>
            <w:r>
              <w:t>Feb 18</w:t>
            </w:r>
          </w:p>
          <w:p w:rsidR="004D7DDE" w:rsidRDefault="004D7DDE" w:rsidP="004D7DDE">
            <w:r>
              <w:rPr>
                <w:i/>
              </w:rPr>
              <w:t>Blood and Guts</w:t>
            </w:r>
          </w:p>
          <w:p w:rsidR="005859D3" w:rsidRDefault="004D7DDE" w:rsidP="004D7DDE">
            <w:r>
              <w:t>Chapters 5-6 “Therapies” and “Surgery,” pp. 99-134.</w:t>
            </w:r>
          </w:p>
        </w:tc>
        <w:tc>
          <w:tcPr>
            <w:tcW w:w="2944" w:type="dxa"/>
          </w:tcPr>
          <w:p w:rsidR="00ED78F1" w:rsidRDefault="00146F78" w:rsidP="008E317E">
            <w:pPr>
              <w:jc w:val="right"/>
            </w:pPr>
            <w:r>
              <w:t>Feb 20</w:t>
            </w:r>
          </w:p>
          <w:p w:rsidR="004D7DDE" w:rsidRDefault="004D7DDE" w:rsidP="004D7DDE">
            <w:r>
              <w:rPr>
                <w:i/>
              </w:rPr>
              <w:t>Blood and Guts</w:t>
            </w:r>
          </w:p>
          <w:p w:rsidR="005859D3" w:rsidRDefault="004D7DDE" w:rsidP="004D7DDE">
            <w:r>
              <w:t>Chapters 7-8 “The Hospital” and “Medicine in Modern Society” pp. 153-169.</w:t>
            </w:r>
          </w:p>
        </w:tc>
        <w:tc>
          <w:tcPr>
            <w:tcW w:w="2945" w:type="dxa"/>
          </w:tcPr>
          <w:p w:rsidR="00ED78F1" w:rsidRDefault="00146F78" w:rsidP="008E317E">
            <w:pPr>
              <w:jc w:val="right"/>
            </w:pPr>
            <w:r>
              <w:t>Feb 22</w:t>
            </w:r>
          </w:p>
          <w:p w:rsidR="002A120C" w:rsidRDefault="002A120C" w:rsidP="00CC5F1F">
            <w:r>
              <w:t>Paper 2 prep assignment due at midnight</w:t>
            </w:r>
          </w:p>
          <w:p w:rsidR="002A120C" w:rsidRDefault="002A120C" w:rsidP="00CC5F1F"/>
          <w:p w:rsidR="005859D3" w:rsidRDefault="005859D3" w:rsidP="00CC5F1F"/>
        </w:tc>
      </w:tr>
      <w:tr w:rsidR="00ED78F1" w:rsidTr="00022A37">
        <w:trPr>
          <w:cantSplit/>
        </w:trPr>
        <w:tc>
          <w:tcPr>
            <w:tcW w:w="0" w:type="auto"/>
            <w:vAlign w:val="center"/>
          </w:tcPr>
          <w:p w:rsidR="00ED78F1" w:rsidRPr="00ED78F1" w:rsidRDefault="008E317E" w:rsidP="00AB635E">
            <w:pPr>
              <w:jc w:val="center"/>
              <w:rPr>
                <w:b/>
              </w:rPr>
            </w:pPr>
            <w:r>
              <w:rPr>
                <w:b/>
              </w:rPr>
              <w:t>8</w:t>
            </w:r>
          </w:p>
        </w:tc>
        <w:tc>
          <w:tcPr>
            <w:tcW w:w="2944" w:type="dxa"/>
          </w:tcPr>
          <w:p w:rsidR="00ED78F1" w:rsidRDefault="00146F78" w:rsidP="008E317E">
            <w:pPr>
              <w:jc w:val="right"/>
            </w:pPr>
            <w:r>
              <w:t>Feb 25</w:t>
            </w:r>
          </w:p>
          <w:p w:rsidR="00FC7F65" w:rsidRDefault="00FC7F65" w:rsidP="00FC7F65">
            <w:proofErr w:type="spellStart"/>
            <w:r w:rsidRPr="003512B4">
              <w:t>Gawande</w:t>
            </w:r>
            <w:proofErr w:type="spellEnd"/>
            <w:r w:rsidRPr="003512B4">
              <w:t xml:space="preserve">, </w:t>
            </w:r>
            <w:proofErr w:type="spellStart"/>
            <w:r w:rsidRPr="003512B4">
              <w:t>Atul</w:t>
            </w:r>
            <w:proofErr w:type="spellEnd"/>
            <w:r w:rsidRPr="003512B4">
              <w:t>. “The Learning Curve: Like Everyone Else, Surgeons Need Practice. That’s where you come in,” The New Yorker January 28, 2002.</w:t>
            </w:r>
          </w:p>
        </w:tc>
        <w:tc>
          <w:tcPr>
            <w:tcW w:w="2944" w:type="dxa"/>
          </w:tcPr>
          <w:p w:rsidR="00ED78F1" w:rsidRDefault="00146F78" w:rsidP="008E317E">
            <w:pPr>
              <w:jc w:val="right"/>
            </w:pPr>
            <w:r>
              <w:t>Feb 27</w:t>
            </w:r>
          </w:p>
          <w:p w:rsidR="00FC7F65" w:rsidRDefault="00FC7F65" w:rsidP="00FC7F65">
            <w:proofErr w:type="spellStart"/>
            <w:r>
              <w:t>Gawande</w:t>
            </w:r>
            <w:proofErr w:type="spellEnd"/>
            <w:r>
              <w:t xml:space="preserve">, </w:t>
            </w:r>
            <w:proofErr w:type="spellStart"/>
            <w:r>
              <w:t>Atul</w:t>
            </w:r>
            <w:proofErr w:type="spellEnd"/>
            <w:r>
              <w:t>. “The Cost Conundrum: What a Texas town</w:t>
            </w:r>
            <w:r w:rsidR="008B2A69">
              <w:t xml:space="preserve"> can teach us about health care,” The New Yorker, June 1, 2009.</w:t>
            </w:r>
          </w:p>
          <w:p w:rsidR="00AB635E" w:rsidRDefault="00AB635E" w:rsidP="00FC7F65"/>
        </w:tc>
        <w:tc>
          <w:tcPr>
            <w:tcW w:w="2945" w:type="dxa"/>
          </w:tcPr>
          <w:p w:rsidR="00ED78F1" w:rsidRDefault="00146F78" w:rsidP="008E317E">
            <w:pPr>
              <w:jc w:val="right"/>
            </w:pPr>
            <w:r>
              <w:t>Mar 1</w:t>
            </w:r>
          </w:p>
          <w:p w:rsidR="003A39C7" w:rsidRDefault="00D2650F" w:rsidP="00CC5F1F">
            <w:r>
              <w:t>Paper 2 Due at Midnight</w:t>
            </w:r>
          </w:p>
        </w:tc>
      </w:tr>
      <w:tr w:rsidR="00D2650F" w:rsidTr="00552A42">
        <w:trPr>
          <w:cantSplit/>
        </w:trPr>
        <w:tc>
          <w:tcPr>
            <w:tcW w:w="9576" w:type="dxa"/>
            <w:gridSpan w:val="4"/>
            <w:vAlign w:val="center"/>
          </w:tcPr>
          <w:p w:rsidR="00D2650F" w:rsidRPr="003A39C7" w:rsidRDefault="00D2650F" w:rsidP="00552A42">
            <w:pPr>
              <w:rPr>
                <w:b/>
              </w:rPr>
            </w:pPr>
            <w:r w:rsidRPr="003A39C7">
              <w:rPr>
                <w:b/>
              </w:rPr>
              <w:t xml:space="preserve">UNIT 3: </w:t>
            </w:r>
            <w:r>
              <w:rPr>
                <w:b/>
              </w:rPr>
              <w:t>MEDICAL DISCOVERIES IN CULTURAL CONTEXT</w:t>
            </w:r>
          </w:p>
        </w:tc>
      </w:tr>
      <w:tr w:rsidR="00ED78F1" w:rsidTr="00022A37">
        <w:trPr>
          <w:cantSplit/>
        </w:trPr>
        <w:tc>
          <w:tcPr>
            <w:tcW w:w="0" w:type="auto"/>
            <w:vAlign w:val="center"/>
          </w:tcPr>
          <w:p w:rsidR="00ED78F1" w:rsidRPr="00ED78F1" w:rsidRDefault="008E317E" w:rsidP="00AB635E">
            <w:pPr>
              <w:jc w:val="center"/>
              <w:rPr>
                <w:b/>
              </w:rPr>
            </w:pPr>
            <w:r>
              <w:rPr>
                <w:b/>
              </w:rPr>
              <w:t>9</w:t>
            </w:r>
          </w:p>
        </w:tc>
        <w:tc>
          <w:tcPr>
            <w:tcW w:w="2944" w:type="dxa"/>
          </w:tcPr>
          <w:p w:rsidR="00ED78F1" w:rsidRDefault="00146F78" w:rsidP="008E317E">
            <w:pPr>
              <w:jc w:val="right"/>
            </w:pPr>
            <w:r>
              <w:t>Mar 4</w:t>
            </w:r>
          </w:p>
          <w:p w:rsidR="00AB635E" w:rsidRDefault="00D2650F" w:rsidP="004D7DDE">
            <w:r>
              <w:t xml:space="preserve">Intro </w:t>
            </w:r>
            <w:r w:rsidR="008B2A69">
              <w:t xml:space="preserve">to </w:t>
            </w:r>
            <w:r>
              <w:t>Unit 3</w:t>
            </w:r>
          </w:p>
        </w:tc>
        <w:tc>
          <w:tcPr>
            <w:tcW w:w="2944" w:type="dxa"/>
          </w:tcPr>
          <w:p w:rsidR="00ED78F1" w:rsidRDefault="00146F78" w:rsidP="008E317E">
            <w:pPr>
              <w:jc w:val="right"/>
            </w:pPr>
            <w:r>
              <w:t>Mar 6</w:t>
            </w:r>
          </w:p>
          <w:p w:rsidR="00D2650F" w:rsidRDefault="00D2650F" w:rsidP="00D2650F">
            <w:pPr>
              <w:rPr>
                <w:i/>
              </w:rPr>
            </w:pPr>
            <w:r>
              <w:rPr>
                <w:i/>
              </w:rPr>
              <w:t>Collectors of Lost Souls</w:t>
            </w:r>
          </w:p>
          <w:p w:rsidR="00D2650F" w:rsidRDefault="001203B2" w:rsidP="00D2650F">
            <w:r>
              <w:t>Intro &amp; Chapters 1-2</w:t>
            </w:r>
            <w:r w:rsidR="00D2650F">
              <w:t>.</w:t>
            </w:r>
          </w:p>
          <w:p w:rsidR="00AB635E" w:rsidRDefault="00AB635E" w:rsidP="00D2650F"/>
        </w:tc>
        <w:tc>
          <w:tcPr>
            <w:tcW w:w="2945" w:type="dxa"/>
          </w:tcPr>
          <w:p w:rsidR="00ED78F1" w:rsidRDefault="00306537" w:rsidP="008E317E">
            <w:pPr>
              <w:jc w:val="right"/>
            </w:pPr>
            <w:r>
              <w:t>Mar 8</w:t>
            </w:r>
          </w:p>
          <w:p w:rsidR="00D2650F" w:rsidRDefault="00D2650F" w:rsidP="00D2650F">
            <w:pPr>
              <w:rPr>
                <w:i/>
              </w:rPr>
            </w:pPr>
            <w:r>
              <w:rPr>
                <w:i/>
              </w:rPr>
              <w:t>Collectors of Lost Souls</w:t>
            </w:r>
          </w:p>
          <w:p w:rsidR="00D34CE0" w:rsidRDefault="00D2650F" w:rsidP="001203B2">
            <w:r>
              <w:t xml:space="preserve">Chapters </w:t>
            </w:r>
            <w:r w:rsidR="001203B2">
              <w:t>3-4.</w:t>
            </w:r>
          </w:p>
        </w:tc>
      </w:tr>
      <w:tr w:rsidR="00ED78F1" w:rsidTr="00022A37">
        <w:trPr>
          <w:cantSplit/>
        </w:trPr>
        <w:tc>
          <w:tcPr>
            <w:tcW w:w="0" w:type="auto"/>
            <w:vAlign w:val="center"/>
          </w:tcPr>
          <w:p w:rsidR="00ED78F1" w:rsidRPr="00ED78F1" w:rsidRDefault="008E317E" w:rsidP="00AB635E">
            <w:pPr>
              <w:jc w:val="center"/>
              <w:rPr>
                <w:b/>
              </w:rPr>
            </w:pPr>
            <w:r>
              <w:rPr>
                <w:b/>
              </w:rPr>
              <w:t>10</w:t>
            </w:r>
          </w:p>
        </w:tc>
        <w:tc>
          <w:tcPr>
            <w:tcW w:w="2944" w:type="dxa"/>
          </w:tcPr>
          <w:p w:rsidR="00ED78F1" w:rsidRDefault="00146F78" w:rsidP="008E317E">
            <w:pPr>
              <w:jc w:val="right"/>
            </w:pPr>
            <w:r>
              <w:t>Mar 11</w:t>
            </w:r>
          </w:p>
          <w:p w:rsidR="001203B2" w:rsidRDefault="001203B2" w:rsidP="001203B2">
            <w:pPr>
              <w:rPr>
                <w:i/>
              </w:rPr>
            </w:pPr>
            <w:r>
              <w:rPr>
                <w:i/>
              </w:rPr>
              <w:t>Collectors of Lost Souls</w:t>
            </w:r>
          </w:p>
          <w:p w:rsidR="001203B2" w:rsidRDefault="001203B2" w:rsidP="001203B2">
            <w:r>
              <w:t>Chapters 5-7.</w:t>
            </w:r>
          </w:p>
          <w:p w:rsidR="001203B2" w:rsidRDefault="001203B2" w:rsidP="001203B2"/>
          <w:p w:rsidR="00AB635E" w:rsidRDefault="00D2650F" w:rsidP="001203B2">
            <w:r>
              <w:t>Form groups for final projects</w:t>
            </w:r>
          </w:p>
        </w:tc>
        <w:tc>
          <w:tcPr>
            <w:tcW w:w="2944" w:type="dxa"/>
          </w:tcPr>
          <w:p w:rsidR="00ED78F1" w:rsidRDefault="00146F78" w:rsidP="008E317E">
            <w:pPr>
              <w:jc w:val="right"/>
            </w:pPr>
            <w:r>
              <w:t>Mar 13</w:t>
            </w:r>
          </w:p>
          <w:p w:rsidR="00D2650F" w:rsidRDefault="00D2650F" w:rsidP="00D2650F">
            <w:r>
              <w:rPr>
                <w:i/>
              </w:rPr>
              <w:t xml:space="preserve">Collectors of Lost Souls </w:t>
            </w:r>
          </w:p>
          <w:p w:rsidR="004D7DDE" w:rsidRDefault="00D2650F" w:rsidP="00D2650F">
            <w:r>
              <w:t>Chapter 8 and Conclusion, pp. 185-234</w:t>
            </w:r>
            <w:r w:rsidR="001203B2">
              <w:t>.</w:t>
            </w:r>
          </w:p>
        </w:tc>
        <w:tc>
          <w:tcPr>
            <w:tcW w:w="2945" w:type="dxa"/>
          </w:tcPr>
          <w:p w:rsidR="00ED78F1" w:rsidRDefault="00146F78" w:rsidP="008E317E">
            <w:pPr>
              <w:jc w:val="right"/>
            </w:pPr>
            <w:r>
              <w:t>Mar 15</w:t>
            </w:r>
          </w:p>
          <w:p w:rsidR="00AB635E" w:rsidRDefault="004D7DDE" w:rsidP="00AB635E">
            <w:r>
              <w:t>Independent research for final projects</w:t>
            </w:r>
          </w:p>
        </w:tc>
      </w:tr>
      <w:tr w:rsidR="009A69C0" w:rsidTr="00022A37">
        <w:trPr>
          <w:cantSplit/>
        </w:trPr>
        <w:tc>
          <w:tcPr>
            <w:tcW w:w="0" w:type="auto"/>
            <w:vAlign w:val="center"/>
          </w:tcPr>
          <w:p w:rsidR="009A69C0" w:rsidRPr="00ED78F1" w:rsidRDefault="009A69C0" w:rsidP="00AB635E">
            <w:pPr>
              <w:jc w:val="center"/>
              <w:rPr>
                <w:b/>
              </w:rPr>
            </w:pPr>
            <w:r>
              <w:rPr>
                <w:b/>
              </w:rPr>
              <w:t>11</w:t>
            </w:r>
          </w:p>
        </w:tc>
        <w:tc>
          <w:tcPr>
            <w:tcW w:w="8833" w:type="dxa"/>
            <w:gridSpan w:val="3"/>
          </w:tcPr>
          <w:p w:rsidR="009A69C0" w:rsidRPr="00022A37" w:rsidRDefault="009A69C0" w:rsidP="009A69C0">
            <w:pPr>
              <w:jc w:val="center"/>
            </w:pPr>
            <w:r w:rsidRPr="00022A37">
              <w:t>SPRING BREAK</w:t>
            </w:r>
          </w:p>
        </w:tc>
      </w:tr>
      <w:tr w:rsidR="00ED78F1" w:rsidTr="00022A37">
        <w:trPr>
          <w:cantSplit/>
        </w:trPr>
        <w:tc>
          <w:tcPr>
            <w:tcW w:w="0" w:type="auto"/>
            <w:vAlign w:val="center"/>
          </w:tcPr>
          <w:p w:rsidR="00ED78F1" w:rsidRPr="00ED78F1" w:rsidRDefault="008E317E" w:rsidP="00AB635E">
            <w:pPr>
              <w:jc w:val="center"/>
              <w:rPr>
                <w:b/>
              </w:rPr>
            </w:pPr>
            <w:r>
              <w:rPr>
                <w:b/>
              </w:rPr>
              <w:t>12</w:t>
            </w:r>
          </w:p>
        </w:tc>
        <w:tc>
          <w:tcPr>
            <w:tcW w:w="2944" w:type="dxa"/>
          </w:tcPr>
          <w:p w:rsidR="00ED78F1" w:rsidRDefault="00146F78" w:rsidP="008E317E">
            <w:pPr>
              <w:jc w:val="right"/>
            </w:pPr>
            <w:r>
              <w:t>Mar 25</w:t>
            </w:r>
          </w:p>
          <w:p w:rsidR="00B20528" w:rsidRPr="00D34CE0" w:rsidRDefault="00B20528" w:rsidP="00AB635E">
            <w:r>
              <w:t>In-class research for final projects</w:t>
            </w:r>
          </w:p>
        </w:tc>
        <w:tc>
          <w:tcPr>
            <w:tcW w:w="2944" w:type="dxa"/>
          </w:tcPr>
          <w:p w:rsidR="00ED78F1" w:rsidRDefault="00146F78" w:rsidP="008E317E">
            <w:pPr>
              <w:jc w:val="right"/>
            </w:pPr>
            <w:r>
              <w:t>Mar 27</w:t>
            </w:r>
          </w:p>
          <w:p w:rsidR="00AB635E" w:rsidRDefault="001203B2" w:rsidP="00B20528">
            <w:r>
              <w:t>Group Work</w:t>
            </w:r>
          </w:p>
        </w:tc>
        <w:tc>
          <w:tcPr>
            <w:tcW w:w="2945" w:type="dxa"/>
          </w:tcPr>
          <w:p w:rsidR="00ED78F1" w:rsidRDefault="00146F78" w:rsidP="008E317E">
            <w:pPr>
              <w:jc w:val="right"/>
            </w:pPr>
            <w:r>
              <w:t>March 29</w:t>
            </w:r>
          </w:p>
          <w:p w:rsidR="00D07AF1" w:rsidRDefault="001203B2" w:rsidP="004D7DDE">
            <w:r>
              <w:t>Annotated Bibliographies Due at Midnight</w:t>
            </w:r>
          </w:p>
        </w:tc>
      </w:tr>
      <w:tr w:rsidR="00ED78F1" w:rsidTr="00022A37">
        <w:trPr>
          <w:cantSplit/>
        </w:trPr>
        <w:tc>
          <w:tcPr>
            <w:tcW w:w="0" w:type="auto"/>
            <w:vAlign w:val="center"/>
          </w:tcPr>
          <w:p w:rsidR="00ED78F1" w:rsidRPr="00ED78F1" w:rsidRDefault="008E317E" w:rsidP="00AB635E">
            <w:pPr>
              <w:jc w:val="center"/>
              <w:rPr>
                <w:b/>
              </w:rPr>
            </w:pPr>
            <w:r>
              <w:rPr>
                <w:b/>
              </w:rPr>
              <w:lastRenderedPageBreak/>
              <w:t>13</w:t>
            </w:r>
          </w:p>
        </w:tc>
        <w:tc>
          <w:tcPr>
            <w:tcW w:w="2944" w:type="dxa"/>
          </w:tcPr>
          <w:p w:rsidR="00ED78F1" w:rsidRDefault="008E317E" w:rsidP="008E317E">
            <w:pPr>
              <w:jc w:val="right"/>
            </w:pPr>
            <w:r>
              <w:t xml:space="preserve">April </w:t>
            </w:r>
            <w:r w:rsidR="00146F78">
              <w:t>1</w:t>
            </w:r>
          </w:p>
          <w:p w:rsidR="00AB635E" w:rsidRDefault="008B2A69" w:rsidP="008B2A69">
            <w:r>
              <w:t xml:space="preserve">Lecture and Discussion: Effective posters </w:t>
            </w:r>
          </w:p>
        </w:tc>
        <w:tc>
          <w:tcPr>
            <w:tcW w:w="2944" w:type="dxa"/>
          </w:tcPr>
          <w:p w:rsidR="00ED78F1" w:rsidRDefault="00146F78" w:rsidP="008E317E">
            <w:pPr>
              <w:jc w:val="right"/>
            </w:pPr>
            <w:r>
              <w:t>April 3</w:t>
            </w:r>
          </w:p>
          <w:p w:rsidR="001203B2" w:rsidRDefault="001203B2" w:rsidP="001203B2">
            <w:r>
              <w:t>Group work</w:t>
            </w:r>
          </w:p>
          <w:p w:rsidR="00AB635E" w:rsidRDefault="00AB635E" w:rsidP="001203B2"/>
        </w:tc>
        <w:tc>
          <w:tcPr>
            <w:tcW w:w="2945" w:type="dxa"/>
          </w:tcPr>
          <w:p w:rsidR="00ED78F1" w:rsidRDefault="00146F78" w:rsidP="008E317E">
            <w:pPr>
              <w:jc w:val="right"/>
            </w:pPr>
            <w:r>
              <w:t>April 5</w:t>
            </w:r>
          </w:p>
          <w:p w:rsidR="00B20528" w:rsidRDefault="001203B2" w:rsidP="002A120C">
            <w:r>
              <w:t>Group work</w:t>
            </w:r>
          </w:p>
          <w:p w:rsidR="008B2A69" w:rsidRDefault="008B2A69" w:rsidP="008B2A69"/>
          <w:p w:rsidR="008B2A69" w:rsidRDefault="008B2A69" w:rsidP="008B2A69">
            <w:r>
              <w:t>Have initial plan of final project poster in class</w:t>
            </w:r>
          </w:p>
        </w:tc>
      </w:tr>
      <w:tr w:rsidR="00ED78F1" w:rsidTr="00022A37">
        <w:trPr>
          <w:cantSplit/>
        </w:trPr>
        <w:tc>
          <w:tcPr>
            <w:tcW w:w="0" w:type="auto"/>
            <w:vAlign w:val="center"/>
          </w:tcPr>
          <w:p w:rsidR="00ED78F1" w:rsidRPr="00ED78F1" w:rsidRDefault="00ED78F1" w:rsidP="00AB635E">
            <w:pPr>
              <w:jc w:val="center"/>
              <w:rPr>
                <w:b/>
              </w:rPr>
            </w:pPr>
            <w:r w:rsidRPr="00ED78F1">
              <w:rPr>
                <w:b/>
              </w:rPr>
              <w:t>14</w:t>
            </w:r>
          </w:p>
        </w:tc>
        <w:tc>
          <w:tcPr>
            <w:tcW w:w="2944" w:type="dxa"/>
          </w:tcPr>
          <w:p w:rsidR="00ED78F1" w:rsidRDefault="00146F78" w:rsidP="002D3D95">
            <w:pPr>
              <w:jc w:val="right"/>
            </w:pPr>
            <w:r>
              <w:t>April 8</w:t>
            </w:r>
          </w:p>
          <w:p w:rsidR="00AB635E" w:rsidRDefault="008B2A69" w:rsidP="00AB635E">
            <w:r>
              <w:t>Lecture and Discussion:</w:t>
            </w:r>
          </w:p>
          <w:p w:rsidR="008B2A69" w:rsidRDefault="008B2A69" w:rsidP="00AB635E">
            <w:r>
              <w:t>Effective presentations</w:t>
            </w:r>
          </w:p>
        </w:tc>
        <w:tc>
          <w:tcPr>
            <w:tcW w:w="2944" w:type="dxa"/>
          </w:tcPr>
          <w:p w:rsidR="00ED78F1" w:rsidRDefault="00146F78" w:rsidP="002D3D95">
            <w:pPr>
              <w:jc w:val="right"/>
            </w:pPr>
            <w:r>
              <w:t>April 10</w:t>
            </w:r>
          </w:p>
          <w:p w:rsidR="00B20528" w:rsidRDefault="008B2A69" w:rsidP="00B20528">
            <w:r>
              <w:t>Group work</w:t>
            </w:r>
          </w:p>
        </w:tc>
        <w:tc>
          <w:tcPr>
            <w:tcW w:w="2945" w:type="dxa"/>
          </w:tcPr>
          <w:p w:rsidR="00ED78F1" w:rsidRDefault="00146F78" w:rsidP="002D3D95">
            <w:pPr>
              <w:jc w:val="right"/>
            </w:pPr>
            <w:r>
              <w:t>April 12</w:t>
            </w:r>
          </w:p>
          <w:p w:rsidR="00AB635E" w:rsidRDefault="008B2A69" w:rsidP="008704EF">
            <w:r>
              <w:t>Group work</w:t>
            </w:r>
          </w:p>
        </w:tc>
      </w:tr>
      <w:tr w:rsidR="00ED78F1" w:rsidTr="00022A37">
        <w:trPr>
          <w:cantSplit/>
        </w:trPr>
        <w:tc>
          <w:tcPr>
            <w:tcW w:w="0" w:type="auto"/>
            <w:vAlign w:val="center"/>
          </w:tcPr>
          <w:p w:rsidR="00ED78F1" w:rsidRPr="00ED78F1" w:rsidRDefault="00ED78F1" w:rsidP="00AB635E">
            <w:pPr>
              <w:jc w:val="center"/>
              <w:rPr>
                <w:b/>
              </w:rPr>
            </w:pPr>
            <w:r w:rsidRPr="00ED78F1">
              <w:rPr>
                <w:b/>
              </w:rPr>
              <w:t>15</w:t>
            </w:r>
          </w:p>
        </w:tc>
        <w:tc>
          <w:tcPr>
            <w:tcW w:w="2944" w:type="dxa"/>
          </w:tcPr>
          <w:p w:rsidR="00ED78F1" w:rsidRDefault="00146F78" w:rsidP="002D3D95">
            <w:pPr>
              <w:jc w:val="right"/>
            </w:pPr>
            <w:r>
              <w:t>April 15</w:t>
            </w:r>
          </w:p>
          <w:p w:rsidR="00AB635E" w:rsidRDefault="001203B2" w:rsidP="00D34CE0">
            <w:r>
              <w:t>Present Group Projects</w:t>
            </w:r>
          </w:p>
        </w:tc>
        <w:tc>
          <w:tcPr>
            <w:tcW w:w="2944" w:type="dxa"/>
          </w:tcPr>
          <w:p w:rsidR="00ED78F1" w:rsidRDefault="00146F78" w:rsidP="002D3D95">
            <w:pPr>
              <w:jc w:val="right"/>
            </w:pPr>
            <w:r>
              <w:t>April 17</w:t>
            </w:r>
          </w:p>
          <w:p w:rsidR="00AB635E" w:rsidRDefault="001203B2" w:rsidP="00AB635E">
            <w:r>
              <w:t>Present Group Projects</w:t>
            </w:r>
          </w:p>
        </w:tc>
        <w:tc>
          <w:tcPr>
            <w:tcW w:w="2945" w:type="dxa"/>
          </w:tcPr>
          <w:p w:rsidR="00ED78F1" w:rsidRDefault="00146F78" w:rsidP="002D3D95">
            <w:pPr>
              <w:jc w:val="right"/>
            </w:pPr>
            <w:r>
              <w:t>April 19</w:t>
            </w:r>
          </w:p>
          <w:p w:rsidR="00AB635E" w:rsidRDefault="008B2A69" w:rsidP="00AC06EF">
            <w:r>
              <w:t>Present Group Projects</w:t>
            </w:r>
          </w:p>
        </w:tc>
      </w:tr>
      <w:tr w:rsidR="00ED78F1" w:rsidTr="00022A37">
        <w:trPr>
          <w:cantSplit/>
        </w:trPr>
        <w:tc>
          <w:tcPr>
            <w:tcW w:w="0" w:type="auto"/>
            <w:vAlign w:val="center"/>
          </w:tcPr>
          <w:p w:rsidR="00ED78F1" w:rsidRPr="00ED78F1" w:rsidRDefault="00ED78F1" w:rsidP="00AB635E">
            <w:pPr>
              <w:jc w:val="center"/>
              <w:rPr>
                <w:b/>
              </w:rPr>
            </w:pPr>
            <w:r w:rsidRPr="00ED78F1">
              <w:rPr>
                <w:b/>
              </w:rPr>
              <w:t>16</w:t>
            </w:r>
          </w:p>
        </w:tc>
        <w:tc>
          <w:tcPr>
            <w:tcW w:w="2944" w:type="dxa"/>
          </w:tcPr>
          <w:p w:rsidR="00ED78F1" w:rsidRDefault="00146F78" w:rsidP="002D3D95">
            <w:pPr>
              <w:jc w:val="right"/>
            </w:pPr>
            <w:r>
              <w:t>April 22</w:t>
            </w:r>
          </w:p>
          <w:p w:rsidR="00AB635E" w:rsidRDefault="008B2A69" w:rsidP="00D34CE0">
            <w:r>
              <w:t>Present Group Projects</w:t>
            </w:r>
          </w:p>
        </w:tc>
        <w:tc>
          <w:tcPr>
            <w:tcW w:w="2944" w:type="dxa"/>
          </w:tcPr>
          <w:p w:rsidR="00ED78F1" w:rsidRDefault="00146F78" w:rsidP="002D3D95">
            <w:pPr>
              <w:jc w:val="right"/>
            </w:pPr>
            <w:r>
              <w:t>April 24</w:t>
            </w:r>
          </w:p>
          <w:p w:rsidR="000E76C8" w:rsidRDefault="008B2A69" w:rsidP="008704EF">
            <w:r>
              <w:t>Present Group Projects</w:t>
            </w:r>
          </w:p>
        </w:tc>
        <w:tc>
          <w:tcPr>
            <w:tcW w:w="2945" w:type="dxa"/>
          </w:tcPr>
          <w:p w:rsidR="00ED78F1" w:rsidRDefault="00570F8B" w:rsidP="002D3D95">
            <w:pPr>
              <w:jc w:val="right"/>
            </w:pPr>
            <w:r>
              <w:t>April 2</w:t>
            </w:r>
            <w:r w:rsidR="00146F78">
              <w:t>6</w:t>
            </w:r>
          </w:p>
          <w:p w:rsidR="00570F8B" w:rsidRDefault="008B2A69" w:rsidP="00AC06EF">
            <w:r>
              <w:t>Wrap-Up Class</w:t>
            </w:r>
          </w:p>
        </w:tc>
      </w:tr>
    </w:tbl>
    <w:p w:rsidR="00ED78F1" w:rsidRPr="008C36B4" w:rsidRDefault="00ED78F1" w:rsidP="008C36B4">
      <w:pPr>
        <w:spacing w:after="0" w:line="240" w:lineRule="auto"/>
      </w:pPr>
    </w:p>
    <w:sectPr w:rsidR="00ED78F1" w:rsidRPr="008C36B4" w:rsidSect="006E258B">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317B" w:rsidRDefault="00EA317B" w:rsidP="00850782">
      <w:pPr>
        <w:spacing w:after="0" w:line="240" w:lineRule="auto"/>
      </w:pPr>
      <w:r>
        <w:separator/>
      </w:r>
    </w:p>
  </w:endnote>
  <w:endnote w:type="continuationSeparator" w:id="0">
    <w:p w:rsidR="00EA317B" w:rsidRDefault="00EA317B" w:rsidP="008507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13423"/>
      <w:docPartObj>
        <w:docPartGallery w:val="Page Numbers (Bottom of Page)"/>
        <w:docPartUnique/>
      </w:docPartObj>
    </w:sdtPr>
    <w:sdtContent>
      <w:p w:rsidR="0037551A" w:rsidRDefault="004942BB">
        <w:pPr>
          <w:pStyle w:val="Footer"/>
          <w:jc w:val="center"/>
        </w:pPr>
        <w:r>
          <w:fldChar w:fldCharType="begin"/>
        </w:r>
        <w:r w:rsidR="00592176">
          <w:instrText xml:space="preserve"> PAGE   \* MERGEFORMAT </w:instrText>
        </w:r>
        <w:r>
          <w:fldChar w:fldCharType="separate"/>
        </w:r>
        <w:r w:rsidR="006B5E2C">
          <w:rPr>
            <w:noProof/>
          </w:rPr>
          <w:t>2</w:t>
        </w:r>
        <w:r>
          <w:rPr>
            <w:noProof/>
          </w:rPr>
          <w:fldChar w:fldCharType="end"/>
        </w:r>
      </w:p>
    </w:sdtContent>
  </w:sdt>
  <w:p w:rsidR="0037551A" w:rsidRDefault="003755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317B" w:rsidRDefault="00EA317B" w:rsidP="00850782">
      <w:pPr>
        <w:spacing w:after="0" w:line="240" w:lineRule="auto"/>
      </w:pPr>
      <w:r>
        <w:separator/>
      </w:r>
    </w:p>
  </w:footnote>
  <w:footnote w:type="continuationSeparator" w:id="0">
    <w:p w:rsidR="00EA317B" w:rsidRDefault="00EA317B" w:rsidP="008507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904A9"/>
    <w:multiLevelType w:val="hybridMultilevel"/>
    <w:tmpl w:val="CA4E8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7E14C0"/>
    <w:multiLevelType w:val="hybridMultilevel"/>
    <w:tmpl w:val="401AA3A8"/>
    <w:lvl w:ilvl="0" w:tplc="88D86A4C">
      <w:numFmt w:val="bullet"/>
      <w:lvlText w:val="•"/>
      <w:lvlJc w:val="left"/>
      <w:pPr>
        <w:ind w:left="720" w:hanging="360"/>
      </w:pPr>
      <w:rPr>
        <w:rFonts w:ascii="Calibri" w:eastAsiaTheme="minorEastAsia"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E02893"/>
    <w:multiLevelType w:val="hybridMultilevel"/>
    <w:tmpl w:val="A040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6115D6"/>
    <w:multiLevelType w:val="hybridMultilevel"/>
    <w:tmpl w:val="B156D216"/>
    <w:lvl w:ilvl="0" w:tplc="88D86A4C">
      <w:numFmt w:val="bullet"/>
      <w:lvlText w:val="•"/>
      <w:lvlJc w:val="left"/>
      <w:pPr>
        <w:ind w:left="720" w:hanging="360"/>
      </w:pPr>
      <w:rPr>
        <w:rFonts w:ascii="Calibri" w:eastAsiaTheme="minorEastAsia"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efaultTabStop w:val="720"/>
  <w:characterSpacingControl w:val="doNotCompress"/>
  <w:footnotePr>
    <w:footnote w:id="-1"/>
    <w:footnote w:id="0"/>
  </w:footnotePr>
  <w:endnotePr>
    <w:endnote w:id="-1"/>
    <w:endnote w:id="0"/>
  </w:endnotePr>
  <w:compat>
    <w:useFELayout/>
  </w:compat>
  <w:rsids>
    <w:rsidRoot w:val="008C36B4"/>
    <w:rsid w:val="000216EA"/>
    <w:rsid w:val="0002210B"/>
    <w:rsid w:val="00022A37"/>
    <w:rsid w:val="00035EC6"/>
    <w:rsid w:val="00057C2F"/>
    <w:rsid w:val="00063CDB"/>
    <w:rsid w:val="000E76C8"/>
    <w:rsid w:val="00104F8F"/>
    <w:rsid w:val="001203B2"/>
    <w:rsid w:val="001214C1"/>
    <w:rsid w:val="001442C0"/>
    <w:rsid w:val="00146F78"/>
    <w:rsid w:val="001F1FF1"/>
    <w:rsid w:val="001F6D5A"/>
    <w:rsid w:val="00235118"/>
    <w:rsid w:val="002402CE"/>
    <w:rsid w:val="002909F7"/>
    <w:rsid w:val="002A120C"/>
    <w:rsid w:val="002B2905"/>
    <w:rsid w:val="002D3D95"/>
    <w:rsid w:val="00306537"/>
    <w:rsid w:val="00325E84"/>
    <w:rsid w:val="0037551A"/>
    <w:rsid w:val="003A39C7"/>
    <w:rsid w:val="003D21F5"/>
    <w:rsid w:val="003D2AF5"/>
    <w:rsid w:val="003E1B8B"/>
    <w:rsid w:val="003F2C87"/>
    <w:rsid w:val="00450500"/>
    <w:rsid w:val="00462A5F"/>
    <w:rsid w:val="004942BB"/>
    <w:rsid w:val="00495AAA"/>
    <w:rsid w:val="00496049"/>
    <w:rsid w:val="004C0CE3"/>
    <w:rsid w:val="004D04F3"/>
    <w:rsid w:val="004D7DDE"/>
    <w:rsid w:val="00570F8B"/>
    <w:rsid w:val="005859D3"/>
    <w:rsid w:val="00592176"/>
    <w:rsid w:val="00596DEB"/>
    <w:rsid w:val="005D0DBE"/>
    <w:rsid w:val="00600726"/>
    <w:rsid w:val="0064039D"/>
    <w:rsid w:val="00653262"/>
    <w:rsid w:val="006A39F6"/>
    <w:rsid w:val="006B5E2C"/>
    <w:rsid w:val="006E258B"/>
    <w:rsid w:val="006E6444"/>
    <w:rsid w:val="00736D81"/>
    <w:rsid w:val="00757373"/>
    <w:rsid w:val="00761695"/>
    <w:rsid w:val="0077438C"/>
    <w:rsid w:val="0081627A"/>
    <w:rsid w:val="00847207"/>
    <w:rsid w:val="00850782"/>
    <w:rsid w:val="008704EF"/>
    <w:rsid w:val="008B2A69"/>
    <w:rsid w:val="008C36B4"/>
    <w:rsid w:val="008D5619"/>
    <w:rsid w:val="008E317E"/>
    <w:rsid w:val="008F3849"/>
    <w:rsid w:val="0091161C"/>
    <w:rsid w:val="00930DD2"/>
    <w:rsid w:val="00960CEA"/>
    <w:rsid w:val="00965BE5"/>
    <w:rsid w:val="00994E6B"/>
    <w:rsid w:val="009A69C0"/>
    <w:rsid w:val="009B3F03"/>
    <w:rsid w:val="009C7A69"/>
    <w:rsid w:val="009F6805"/>
    <w:rsid w:val="00A06A24"/>
    <w:rsid w:val="00A20F9A"/>
    <w:rsid w:val="00A222BF"/>
    <w:rsid w:val="00A22A91"/>
    <w:rsid w:val="00A24149"/>
    <w:rsid w:val="00A60FC8"/>
    <w:rsid w:val="00AB635E"/>
    <w:rsid w:val="00AC06EF"/>
    <w:rsid w:val="00AD4CC8"/>
    <w:rsid w:val="00AF6FB2"/>
    <w:rsid w:val="00B20528"/>
    <w:rsid w:val="00B4445B"/>
    <w:rsid w:val="00B95844"/>
    <w:rsid w:val="00B96C93"/>
    <w:rsid w:val="00BA1BFA"/>
    <w:rsid w:val="00BD3D35"/>
    <w:rsid w:val="00BF0669"/>
    <w:rsid w:val="00C34E20"/>
    <w:rsid w:val="00C4460F"/>
    <w:rsid w:val="00C5102B"/>
    <w:rsid w:val="00C771E3"/>
    <w:rsid w:val="00CC5F1F"/>
    <w:rsid w:val="00CF55A9"/>
    <w:rsid w:val="00D01442"/>
    <w:rsid w:val="00D07AF1"/>
    <w:rsid w:val="00D1785A"/>
    <w:rsid w:val="00D2650F"/>
    <w:rsid w:val="00D304AF"/>
    <w:rsid w:val="00D34CE0"/>
    <w:rsid w:val="00D51EC1"/>
    <w:rsid w:val="00D66690"/>
    <w:rsid w:val="00D777F0"/>
    <w:rsid w:val="00D8670D"/>
    <w:rsid w:val="00DA46A2"/>
    <w:rsid w:val="00E057F3"/>
    <w:rsid w:val="00E22D2F"/>
    <w:rsid w:val="00EA317B"/>
    <w:rsid w:val="00ED78F1"/>
    <w:rsid w:val="00F22E00"/>
    <w:rsid w:val="00F3050A"/>
    <w:rsid w:val="00F57D0A"/>
    <w:rsid w:val="00F92B1C"/>
    <w:rsid w:val="00F97EF6"/>
    <w:rsid w:val="00FA1D65"/>
    <w:rsid w:val="00FA2A47"/>
    <w:rsid w:val="00FB05BC"/>
    <w:rsid w:val="00FC7F65"/>
    <w:rsid w:val="00FF04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2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bject">
    <w:name w:val="object"/>
    <w:basedOn w:val="DefaultParagraphFont"/>
    <w:rsid w:val="008C36B4"/>
  </w:style>
  <w:style w:type="table" w:styleId="TableGrid">
    <w:name w:val="Table Grid"/>
    <w:basedOn w:val="TableNormal"/>
    <w:uiPriority w:val="59"/>
    <w:rsid w:val="00ED78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850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782"/>
  </w:style>
  <w:style w:type="paragraph" w:styleId="Footer">
    <w:name w:val="footer"/>
    <w:basedOn w:val="Normal"/>
    <w:link w:val="FooterChar"/>
    <w:uiPriority w:val="99"/>
    <w:unhideWhenUsed/>
    <w:rsid w:val="00850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782"/>
  </w:style>
  <w:style w:type="paragraph" w:styleId="ListParagraph">
    <w:name w:val="List Paragraph"/>
    <w:basedOn w:val="Normal"/>
    <w:uiPriority w:val="34"/>
    <w:qFormat/>
    <w:rsid w:val="00D8670D"/>
    <w:pPr>
      <w:ind w:left="720"/>
      <w:contextualSpacing/>
    </w:pPr>
  </w:style>
  <w:style w:type="character" w:styleId="Hyperlink">
    <w:name w:val="Hyperlink"/>
    <w:basedOn w:val="DefaultParagraphFont"/>
    <w:uiPriority w:val="99"/>
    <w:unhideWhenUsed/>
    <w:rsid w:val="00D304AF"/>
    <w:rPr>
      <w:color w:val="0000FF" w:themeColor="hyperlink"/>
      <w:u w:val="single"/>
    </w:rPr>
  </w:style>
  <w:style w:type="character" w:customStyle="1" w:styleId="apple-converted-space">
    <w:name w:val="apple-converted-space"/>
    <w:basedOn w:val="DefaultParagraphFont"/>
    <w:rsid w:val="006B5E2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bject">
    <w:name w:val="object"/>
    <w:basedOn w:val="DefaultParagraphFont"/>
    <w:rsid w:val="008C36B4"/>
  </w:style>
  <w:style w:type="table" w:styleId="TableGrid">
    <w:name w:val="Table Grid"/>
    <w:basedOn w:val="TableNormal"/>
    <w:uiPriority w:val="59"/>
    <w:rsid w:val="00ED78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850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782"/>
  </w:style>
  <w:style w:type="paragraph" w:styleId="Footer">
    <w:name w:val="footer"/>
    <w:basedOn w:val="Normal"/>
    <w:link w:val="FooterChar"/>
    <w:uiPriority w:val="99"/>
    <w:unhideWhenUsed/>
    <w:rsid w:val="00850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782"/>
  </w:style>
  <w:style w:type="paragraph" w:styleId="ListParagraph">
    <w:name w:val="List Paragraph"/>
    <w:basedOn w:val="Normal"/>
    <w:uiPriority w:val="34"/>
    <w:qFormat/>
    <w:rsid w:val="00D8670D"/>
    <w:pPr>
      <w:ind w:left="720"/>
      <w:contextualSpacing/>
    </w:pPr>
  </w:style>
</w:styles>
</file>

<file path=word/webSettings.xml><?xml version="1.0" encoding="utf-8"?>
<w:webSettings xmlns:r="http://schemas.openxmlformats.org/officeDocument/2006/relationships" xmlns:w="http://schemas.openxmlformats.org/wordprocessingml/2006/main">
  <w:divs>
    <w:div w:id="271476861">
      <w:bodyDiv w:val="1"/>
      <w:marLeft w:val="0"/>
      <w:marRight w:val="0"/>
      <w:marTop w:val="0"/>
      <w:marBottom w:val="0"/>
      <w:divBdr>
        <w:top w:val="none" w:sz="0" w:space="0" w:color="auto"/>
        <w:left w:val="none" w:sz="0" w:space="0" w:color="auto"/>
        <w:bottom w:val="none" w:sz="0" w:space="0" w:color="auto"/>
        <w:right w:val="none" w:sz="0" w:space="0" w:color="auto"/>
      </w:divBdr>
      <w:divsChild>
        <w:div w:id="703292433">
          <w:marLeft w:val="0"/>
          <w:marRight w:val="0"/>
          <w:marTop w:val="0"/>
          <w:marBottom w:val="0"/>
          <w:divBdr>
            <w:top w:val="none" w:sz="0" w:space="0" w:color="auto"/>
            <w:left w:val="none" w:sz="0" w:space="0" w:color="auto"/>
            <w:bottom w:val="none" w:sz="0" w:space="0" w:color="auto"/>
            <w:right w:val="none" w:sz="0" w:space="0" w:color="auto"/>
          </w:divBdr>
        </w:div>
      </w:divsChild>
    </w:div>
    <w:div w:id="196734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honor.gate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Pollock, Anne</dc:creator>
  <cp:lastModifiedBy>DOBRANSKI , SHANNON P</cp:lastModifiedBy>
  <cp:revision>3</cp:revision>
  <cp:lastPrinted>2011-01-08T17:34:00Z</cp:lastPrinted>
  <dcterms:created xsi:type="dcterms:W3CDTF">2012-12-04T19:41:00Z</dcterms:created>
  <dcterms:modified xsi:type="dcterms:W3CDTF">2012-12-04T19:45:00Z</dcterms:modified>
</cp:coreProperties>
</file>