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0EC" w:rsidRPr="00737096" w:rsidRDefault="007B50EC" w:rsidP="00737096">
      <w:pPr>
        <w:spacing w:after="0" w:line="240" w:lineRule="auto"/>
        <w:rPr>
          <w:b/>
        </w:rPr>
      </w:pPr>
      <w:r w:rsidRPr="00737096">
        <w:rPr>
          <w:b/>
        </w:rPr>
        <w:t>Professor</w:t>
      </w:r>
      <w:r w:rsidR="00052673" w:rsidRPr="00737096">
        <w:rPr>
          <w:b/>
        </w:rPr>
        <w:t xml:space="preserve"> </w:t>
      </w:r>
      <w:r w:rsidRPr="00737096">
        <w:rPr>
          <w:b/>
        </w:rPr>
        <w:t>Anne Pollock</w:t>
      </w:r>
    </w:p>
    <w:p w:rsidR="00737096" w:rsidRDefault="00737096" w:rsidP="00737096">
      <w:pPr>
        <w:spacing w:after="0" w:line="240" w:lineRule="auto"/>
      </w:pPr>
      <w:r>
        <w:t xml:space="preserve">Email:  </w:t>
      </w:r>
      <w:hyperlink r:id="rId8" w:history="1">
        <w:r w:rsidRPr="00D606E8">
          <w:rPr>
            <w:rStyle w:val="Hyperlink"/>
          </w:rPr>
          <w:t>anne.pollock@lmc.gatech.edu</w:t>
        </w:r>
      </w:hyperlink>
    </w:p>
    <w:p w:rsidR="00737096" w:rsidRDefault="00737096" w:rsidP="00737096">
      <w:pPr>
        <w:spacing w:after="0" w:line="240" w:lineRule="auto"/>
      </w:pPr>
      <w:r>
        <w:t>Office:  Skiles 360</w:t>
      </w:r>
    </w:p>
    <w:p w:rsidR="00737096" w:rsidRDefault="00737096" w:rsidP="00737096">
      <w:pPr>
        <w:spacing w:after="0" w:line="240" w:lineRule="auto"/>
      </w:pPr>
      <w:r>
        <w:t>Office hours: W 2-5 or by appointment</w:t>
      </w:r>
    </w:p>
    <w:p w:rsidR="007B50EC" w:rsidRDefault="007B50EC" w:rsidP="00737096">
      <w:pPr>
        <w:spacing w:after="0" w:line="240" w:lineRule="auto"/>
      </w:pPr>
      <w:r>
        <w:t>Class meets: MWF 11-12, Skiles 311</w:t>
      </w:r>
    </w:p>
    <w:p w:rsidR="00737096" w:rsidRDefault="00737096" w:rsidP="00737096">
      <w:pPr>
        <w:spacing w:after="0" w:line="240" w:lineRule="auto"/>
        <w:rPr>
          <w:b/>
          <w:sz w:val="28"/>
          <w:szCs w:val="28"/>
        </w:rPr>
      </w:pPr>
    </w:p>
    <w:p w:rsidR="00737096" w:rsidRPr="00737096" w:rsidRDefault="00737096" w:rsidP="00737096">
      <w:pPr>
        <w:spacing w:after="0" w:line="240" w:lineRule="auto"/>
        <w:rPr>
          <w:b/>
          <w:sz w:val="28"/>
          <w:szCs w:val="28"/>
        </w:rPr>
      </w:pPr>
      <w:r w:rsidRPr="00737096">
        <w:rPr>
          <w:b/>
          <w:sz w:val="28"/>
          <w:szCs w:val="28"/>
        </w:rPr>
        <w:t>LCC 3318:  Biomedicine &amp; Culture</w:t>
      </w:r>
    </w:p>
    <w:p w:rsidR="00BC01D2" w:rsidRDefault="00BC01D2" w:rsidP="00737096">
      <w:pPr>
        <w:spacing w:after="0" w:line="240" w:lineRule="auto"/>
      </w:pPr>
      <w:r w:rsidRPr="00BC01D2">
        <w:rPr>
          <w:b/>
        </w:rPr>
        <w:t>Prerequisite:</w:t>
      </w:r>
      <w:r>
        <w:t xml:space="preserve"> ENGL1102</w:t>
      </w:r>
      <w:r>
        <w:br/>
      </w:r>
      <w:r w:rsidRPr="00BC01D2">
        <w:rPr>
          <w:b/>
        </w:rPr>
        <w:t>Course Attributes:</w:t>
      </w:r>
      <w:r>
        <w:t xml:space="preserve"> Humanities, Ethics</w:t>
      </w:r>
    </w:p>
    <w:p w:rsidR="00737096" w:rsidRDefault="00737096" w:rsidP="00737096">
      <w:pPr>
        <w:spacing w:after="0" w:line="240" w:lineRule="auto"/>
        <w:rPr>
          <w:b/>
        </w:rPr>
      </w:pPr>
    </w:p>
    <w:p w:rsidR="00052673" w:rsidRDefault="00BC01D2" w:rsidP="00737096">
      <w:pPr>
        <w:spacing w:after="0" w:line="240" w:lineRule="auto"/>
      </w:pPr>
      <w:r w:rsidRPr="00BC01D2">
        <w:rPr>
          <w:b/>
        </w:rPr>
        <w:t>Course Description</w:t>
      </w:r>
      <w:r>
        <w:t xml:space="preserve">: </w:t>
      </w:r>
      <w:r w:rsidR="007B50EC" w:rsidRPr="00F56661">
        <w:t xml:space="preserve">In the lab and in the newspapers, topics in biomedicine are frequent subjects of debate. From assisted reproductive technology and stem cells, to pharmaceuticals and imaging technologies, to life support and its termination, biomedical technologies are shaping our lives in unprecedented ways. This course uses interdisciplinary sources – drawn principally from science and technology studies, cultural studies, history, and anthropology – to provide students with both information and analytical tools to grapple with the intersections of biomedicine and culture.  </w:t>
      </w:r>
    </w:p>
    <w:p w:rsidR="00737096" w:rsidRDefault="00737096" w:rsidP="00737096">
      <w:pPr>
        <w:spacing w:after="0" w:line="240" w:lineRule="auto"/>
        <w:rPr>
          <w:b/>
        </w:rPr>
      </w:pPr>
    </w:p>
    <w:p w:rsidR="004D7E41" w:rsidRPr="004F01EE" w:rsidRDefault="00737096" w:rsidP="00737096">
      <w:pPr>
        <w:spacing w:after="0" w:line="240" w:lineRule="auto"/>
        <w:rPr>
          <w:b/>
        </w:rPr>
      </w:pPr>
      <w:r>
        <w:rPr>
          <w:b/>
        </w:rPr>
        <w:t>Learning Outcomes</w:t>
      </w:r>
      <w:r w:rsidR="004D7E41" w:rsidRPr="004F01EE">
        <w:rPr>
          <w:b/>
        </w:rPr>
        <w:t>:</w:t>
      </w:r>
    </w:p>
    <w:p w:rsidR="00737096" w:rsidRPr="009071D7" w:rsidRDefault="00737096" w:rsidP="00737096">
      <w:pPr>
        <w:pStyle w:val="ListParagraph"/>
        <w:numPr>
          <w:ilvl w:val="0"/>
          <w:numId w:val="2"/>
        </w:numPr>
        <w:spacing w:after="0" w:line="240" w:lineRule="auto"/>
        <w:rPr>
          <w:rFonts w:cstheme="minorHAnsi"/>
        </w:rPr>
      </w:pPr>
      <w:r w:rsidRPr="00737096">
        <w:rPr>
          <w:rFonts w:cstheme="minorHAnsi"/>
          <w:color w:val="000000"/>
          <w:shd w:val="clear" w:color="auto" w:fill="FFFFFF"/>
        </w:rPr>
        <w:t>To describe relationships among languages, philosophies, cultures, literature, ethics, or the arts</w:t>
      </w:r>
    </w:p>
    <w:p w:rsidR="009071D7" w:rsidRPr="009071D7" w:rsidRDefault="009071D7" w:rsidP="00737096">
      <w:pPr>
        <w:pStyle w:val="ListParagraph"/>
        <w:numPr>
          <w:ilvl w:val="0"/>
          <w:numId w:val="2"/>
        </w:numPr>
        <w:spacing w:after="0" w:line="240" w:lineRule="auto"/>
        <w:rPr>
          <w:rFonts w:cstheme="minorHAnsi"/>
        </w:rPr>
      </w:pPr>
      <w:r>
        <w:t>To</w:t>
      </w:r>
      <w:r w:rsidRPr="00617F51">
        <w:t xml:space="preserve"> become familiar with a variety of social, political, and philosophical theories and be able to apply those theories to creative and scientific texts, as well as to their own cultural observations</w:t>
      </w:r>
    </w:p>
    <w:p w:rsidR="009071D7" w:rsidRPr="00737096" w:rsidRDefault="009071D7" w:rsidP="00737096">
      <w:pPr>
        <w:pStyle w:val="ListParagraph"/>
        <w:numPr>
          <w:ilvl w:val="0"/>
          <w:numId w:val="2"/>
        </w:numPr>
        <w:spacing w:after="0" w:line="240" w:lineRule="auto"/>
        <w:rPr>
          <w:rFonts w:cstheme="minorHAnsi"/>
        </w:rPr>
      </w:pPr>
      <w:r>
        <w:t>To</w:t>
      </w:r>
      <w:r w:rsidRPr="00617F51">
        <w:t xml:space="preserve"> understand that scientific and technological innovation occurs in a social context, and they will be able to recognize how the social influences scientific and technical discourses</w:t>
      </w:r>
    </w:p>
    <w:p w:rsidR="004D7E41" w:rsidRDefault="004D7E41" w:rsidP="00737096">
      <w:pPr>
        <w:pStyle w:val="ListParagraph"/>
        <w:numPr>
          <w:ilvl w:val="0"/>
          <w:numId w:val="2"/>
        </w:numPr>
        <w:spacing w:after="0" w:line="240" w:lineRule="auto"/>
      </w:pPr>
      <w:r>
        <w:t>To increase awareness of the cultural context of the creation of biomedical knowledge and practice</w:t>
      </w:r>
    </w:p>
    <w:p w:rsidR="004D7E41" w:rsidRDefault="004D7E41" w:rsidP="00737096">
      <w:pPr>
        <w:pStyle w:val="ListParagraph"/>
        <w:numPr>
          <w:ilvl w:val="0"/>
          <w:numId w:val="2"/>
        </w:numPr>
        <w:spacing w:after="0" w:line="240" w:lineRule="auto"/>
      </w:pPr>
      <w:r>
        <w:t>To increase awareness of the role of biomedicine in culture more broadly</w:t>
      </w:r>
    </w:p>
    <w:p w:rsidR="00244051" w:rsidRDefault="004D7E41" w:rsidP="00737096">
      <w:pPr>
        <w:pStyle w:val="ListParagraph"/>
        <w:numPr>
          <w:ilvl w:val="0"/>
          <w:numId w:val="2"/>
        </w:numPr>
        <w:spacing w:after="0" w:line="240" w:lineRule="auto"/>
      </w:pPr>
      <w:r>
        <w:t xml:space="preserve">To </w:t>
      </w:r>
      <w:r w:rsidR="00244051">
        <w:t>explore nuance and ambiguity in often polarized debates</w:t>
      </w:r>
    </w:p>
    <w:p w:rsidR="004D7E41" w:rsidRDefault="004F01EE" w:rsidP="00737096">
      <w:pPr>
        <w:pStyle w:val="ListParagraph"/>
        <w:numPr>
          <w:ilvl w:val="0"/>
          <w:numId w:val="2"/>
        </w:numPr>
        <w:spacing w:after="0" w:line="240" w:lineRule="auto"/>
      </w:pPr>
      <w:r>
        <w:t xml:space="preserve">To communicate in </w:t>
      </w:r>
      <w:r w:rsidR="00244051">
        <w:t>sophisticated way</w:t>
      </w:r>
      <w:r>
        <w:t>s</w:t>
      </w:r>
      <w:r w:rsidR="00244051">
        <w:t xml:space="preserve"> about these issues of broad concern</w:t>
      </w:r>
      <w:r>
        <w:t>, orally and in writing</w:t>
      </w:r>
    </w:p>
    <w:p w:rsidR="009071D7" w:rsidRDefault="009071D7" w:rsidP="00737096">
      <w:pPr>
        <w:spacing w:after="0" w:line="240" w:lineRule="auto"/>
        <w:rPr>
          <w:b/>
        </w:rPr>
      </w:pPr>
    </w:p>
    <w:p w:rsidR="007B50EC" w:rsidRPr="004F01EE" w:rsidRDefault="007B50EC" w:rsidP="00737096">
      <w:pPr>
        <w:spacing w:after="0" w:line="240" w:lineRule="auto"/>
        <w:rPr>
          <w:b/>
        </w:rPr>
      </w:pPr>
      <w:r w:rsidRPr="004F01EE">
        <w:rPr>
          <w:b/>
        </w:rPr>
        <w:t>Requirements for the course:</w:t>
      </w:r>
    </w:p>
    <w:p w:rsidR="007B50EC" w:rsidRPr="00F56661" w:rsidRDefault="007B50EC" w:rsidP="00737096">
      <w:pPr>
        <w:pStyle w:val="ListParagraph"/>
        <w:numPr>
          <w:ilvl w:val="0"/>
          <w:numId w:val="1"/>
        </w:numPr>
        <w:spacing w:after="0" w:line="240" w:lineRule="auto"/>
      </w:pPr>
      <w:r w:rsidRPr="00F56661">
        <w:t>Class attendance and participation: 15</w:t>
      </w:r>
      <w:r w:rsidR="009071D7">
        <w:t>%</w:t>
      </w:r>
      <w:r w:rsidRPr="00F56661">
        <w:t xml:space="preserve">. Engagement with the readings is the focus of this class, and students are expected to come to class prepared to discuss them.  All readings are available on T-Square. </w:t>
      </w:r>
    </w:p>
    <w:p w:rsidR="007B50EC" w:rsidRPr="00F56661" w:rsidRDefault="00F13FCA" w:rsidP="00737096">
      <w:pPr>
        <w:pStyle w:val="ListParagraph"/>
        <w:numPr>
          <w:ilvl w:val="0"/>
          <w:numId w:val="1"/>
        </w:numPr>
        <w:spacing w:after="0" w:line="240" w:lineRule="auto"/>
        <w:rPr>
          <w:rFonts w:eastAsia="Times New Roman"/>
        </w:rPr>
      </w:pPr>
      <w:r>
        <w:t>Blog Entries: 15</w:t>
      </w:r>
      <w:r w:rsidR="009071D7">
        <w:t>%</w:t>
      </w:r>
      <w:r w:rsidR="007B50EC" w:rsidRPr="00F56661">
        <w:t xml:space="preserve">. </w:t>
      </w:r>
      <w:r w:rsidR="007B50EC" w:rsidRPr="00F56661">
        <w:rPr>
          <w:i/>
        </w:rPr>
        <w:t>Before</w:t>
      </w:r>
      <w:r w:rsidR="007B50EC" w:rsidRPr="00F56661">
        <w:t xml:space="preserve"> class each day for which readings are assigned, write an entry on your response to the readings on the blog section of T-Square.  Your short comments (100-300 words) should</w:t>
      </w:r>
      <w:r w:rsidR="007B50EC">
        <w:t xml:space="preserve"> be posted by </w:t>
      </w:r>
      <w:proofErr w:type="gramStart"/>
      <w:r w:rsidR="009D47DA">
        <w:t>10am</w:t>
      </w:r>
      <w:r w:rsidR="007B50EC">
        <w:t>,</w:t>
      </w:r>
      <w:proofErr w:type="gramEnd"/>
      <w:r w:rsidR="007B50EC" w:rsidRPr="00F56661">
        <w:t xml:space="preserve"> demonstrate that you have done the reading</w:t>
      </w:r>
      <w:r w:rsidR="007B50EC">
        <w:t>,</w:t>
      </w:r>
      <w:r w:rsidR="007B50EC" w:rsidRPr="00F56661">
        <w:t xml:space="preserve"> and note comments and questions that you would like to raise in class.  </w:t>
      </w:r>
    </w:p>
    <w:p w:rsidR="007B50EC" w:rsidRPr="00F56661" w:rsidRDefault="0080286C" w:rsidP="00737096">
      <w:pPr>
        <w:pStyle w:val="ListParagraph"/>
        <w:numPr>
          <w:ilvl w:val="0"/>
          <w:numId w:val="1"/>
        </w:numPr>
        <w:spacing w:after="0" w:line="240" w:lineRule="auto"/>
      </w:pPr>
      <w:r>
        <w:rPr>
          <w:rFonts w:eastAsia="Times New Roman"/>
        </w:rPr>
        <w:t>Individual presentation: 5</w:t>
      </w:r>
      <w:r w:rsidR="009071D7">
        <w:rPr>
          <w:rFonts w:eastAsia="Times New Roman"/>
        </w:rPr>
        <w:t>%</w:t>
      </w:r>
      <w:r w:rsidR="007B50EC" w:rsidRPr="00F56661">
        <w:rPr>
          <w:rFonts w:eastAsia="Times New Roman"/>
        </w:rPr>
        <w:t>. Each student signs up for a particular day to bring in a newspaper article, advertisement, or other current cultural sour</w:t>
      </w:r>
      <w:r>
        <w:rPr>
          <w:rFonts w:eastAsia="Times New Roman"/>
        </w:rPr>
        <w:t>ce.  The student will take 5-10</w:t>
      </w:r>
      <w:r w:rsidR="007B50EC" w:rsidRPr="00F56661">
        <w:rPr>
          <w:rFonts w:eastAsia="Times New Roman"/>
        </w:rPr>
        <w:t xml:space="preserve"> minutes to </w:t>
      </w:r>
      <w:r>
        <w:rPr>
          <w:rFonts w:eastAsia="Times New Roman"/>
        </w:rPr>
        <w:t xml:space="preserve">concisely </w:t>
      </w:r>
      <w:r w:rsidR="007B50EC" w:rsidRPr="00F56661">
        <w:rPr>
          <w:rFonts w:eastAsia="Times New Roman"/>
        </w:rPr>
        <w:t xml:space="preserve">present the material to the class and describe how it can be related to the readings for that day.  The presentation should (1) present the outside source clearly; (2) describe concept(s) from the day’s course reading(s); and (3) show connections between the course concept(s) and </w:t>
      </w:r>
      <w:r w:rsidR="007B50EC">
        <w:rPr>
          <w:rFonts w:eastAsia="Times New Roman"/>
        </w:rPr>
        <w:t xml:space="preserve">the </w:t>
      </w:r>
      <w:r w:rsidR="007B50EC" w:rsidRPr="00F56661">
        <w:rPr>
          <w:rFonts w:eastAsia="Times New Roman"/>
        </w:rPr>
        <w:t>outside source.</w:t>
      </w:r>
    </w:p>
    <w:p w:rsidR="007B50EC" w:rsidRPr="00F56661" w:rsidRDefault="0080286C" w:rsidP="00737096">
      <w:pPr>
        <w:pStyle w:val="ListParagraph"/>
        <w:numPr>
          <w:ilvl w:val="0"/>
          <w:numId w:val="1"/>
        </w:numPr>
        <w:spacing w:after="0" w:line="240" w:lineRule="auto"/>
      </w:pPr>
      <w:r>
        <w:t xml:space="preserve">Three </w:t>
      </w:r>
      <w:r w:rsidR="007B50EC" w:rsidRPr="00F56661">
        <w:t>individual writing assignments (1000-1500 words)</w:t>
      </w:r>
      <w:r w:rsidR="00F13FCA">
        <w:t xml:space="preserve">: </w:t>
      </w:r>
      <w:r w:rsidR="009071D7">
        <w:t>3 @ 15% each= 45%</w:t>
      </w:r>
      <w:r w:rsidR="007B50EC" w:rsidRPr="00F56661">
        <w:t>.</w:t>
      </w:r>
      <w:r>
        <w:t xml:space="preserve"> </w:t>
      </w:r>
      <w:r w:rsidR="007B50EC" w:rsidRPr="00F56661">
        <w:rPr>
          <w:rFonts w:eastAsia="Times New Roman"/>
        </w:rPr>
        <w:t>Assignments are due on the date and time specified on the assignment. Late assignments will be penalized by one point if they are an hour late or more, and an additional two points per calendar day thereafter.</w:t>
      </w:r>
    </w:p>
    <w:p w:rsidR="00151D01" w:rsidRDefault="007B50EC" w:rsidP="00737096">
      <w:pPr>
        <w:pStyle w:val="ListParagraph"/>
        <w:numPr>
          <w:ilvl w:val="0"/>
          <w:numId w:val="1"/>
        </w:numPr>
        <w:tabs>
          <w:tab w:val="left" w:pos="5820"/>
        </w:tabs>
        <w:spacing w:after="0" w:line="240" w:lineRule="auto"/>
        <w:rPr>
          <w:rFonts w:eastAsia="Times New Roman"/>
        </w:rPr>
      </w:pPr>
      <w:r w:rsidRPr="00052673">
        <w:rPr>
          <w:rFonts w:eastAsia="Times New Roman"/>
        </w:rPr>
        <w:lastRenderedPageBreak/>
        <w:t xml:space="preserve">Final group </w:t>
      </w:r>
      <w:r w:rsidR="00F13FCA" w:rsidRPr="00052673">
        <w:rPr>
          <w:rFonts w:eastAsia="Times New Roman"/>
        </w:rPr>
        <w:t>project: 20</w:t>
      </w:r>
      <w:r w:rsidR="009071D7">
        <w:rPr>
          <w:rFonts w:eastAsia="Times New Roman"/>
        </w:rPr>
        <w:t>%</w:t>
      </w:r>
      <w:r w:rsidRPr="00052673">
        <w:rPr>
          <w:rFonts w:eastAsia="Times New Roman"/>
        </w:rPr>
        <w:t xml:space="preserve">. Includes subcomponents: individually-completed </w:t>
      </w:r>
      <w:r w:rsidR="00F13FCA" w:rsidRPr="00052673">
        <w:rPr>
          <w:rFonts w:eastAsia="Times New Roman"/>
        </w:rPr>
        <w:t>annotated bibliography (5</w:t>
      </w:r>
      <w:r w:rsidR="009071D7">
        <w:rPr>
          <w:rFonts w:eastAsia="Times New Roman"/>
        </w:rPr>
        <w:t>%</w:t>
      </w:r>
      <w:r w:rsidRPr="00052673">
        <w:rPr>
          <w:rFonts w:eastAsia="Times New Roman"/>
        </w:rPr>
        <w:t xml:space="preserve">), group </w:t>
      </w:r>
      <w:r w:rsidR="00F13FCA" w:rsidRPr="00052673">
        <w:rPr>
          <w:rFonts w:eastAsia="Times New Roman"/>
        </w:rPr>
        <w:t>poster (5</w:t>
      </w:r>
      <w:r w:rsidR="009071D7">
        <w:rPr>
          <w:rFonts w:eastAsia="Times New Roman"/>
        </w:rPr>
        <w:t>%</w:t>
      </w:r>
      <w:r w:rsidRPr="00052673">
        <w:rPr>
          <w:rFonts w:eastAsia="Times New Roman"/>
        </w:rPr>
        <w:t xml:space="preserve">), </w:t>
      </w:r>
      <w:proofErr w:type="gramStart"/>
      <w:r w:rsidRPr="00052673">
        <w:rPr>
          <w:rFonts w:eastAsia="Times New Roman"/>
        </w:rPr>
        <w:t>group</w:t>
      </w:r>
      <w:proofErr w:type="gramEnd"/>
      <w:r w:rsidRPr="00052673">
        <w:rPr>
          <w:rFonts w:eastAsia="Times New Roman"/>
        </w:rPr>
        <w:t xml:space="preserve"> poster presentation (10</w:t>
      </w:r>
      <w:r w:rsidR="009071D7">
        <w:rPr>
          <w:rFonts w:eastAsia="Times New Roman"/>
        </w:rPr>
        <w:t>%</w:t>
      </w:r>
      <w:r w:rsidRPr="00052673">
        <w:rPr>
          <w:rFonts w:eastAsia="Times New Roman"/>
        </w:rPr>
        <w:t>).  Each group member must also complete an individual self-assessment of their work.</w:t>
      </w:r>
      <w:r w:rsidRPr="00052673">
        <w:rPr>
          <w:rFonts w:eastAsia="Times New Roman"/>
        </w:rPr>
        <w:tab/>
      </w:r>
    </w:p>
    <w:p w:rsidR="00A35B75" w:rsidRPr="00A35B75" w:rsidRDefault="00A35B75" w:rsidP="00737096">
      <w:pPr>
        <w:pStyle w:val="ListParagraph"/>
        <w:tabs>
          <w:tab w:val="left" w:pos="5820"/>
        </w:tabs>
        <w:spacing w:after="0" w:line="240" w:lineRule="auto"/>
        <w:rPr>
          <w:rFonts w:eastAsia="Times New Roman"/>
        </w:rPr>
      </w:pPr>
    </w:p>
    <w:p w:rsidR="009071D7" w:rsidRDefault="004D7E41" w:rsidP="00737096">
      <w:pPr>
        <w:spacing w:after="0" w:line="240" w:lineRule="auto"/>
        <w:rPr>
          <w:rFonts w:eastAsia="Times New Roman"/>
        </w:rPr>
      </w:pPr>
      <w:r w:rsidRPr="004D7E41">
        <w:rPr>
          <w:rFonts w:eastAsia="Times New Roman"/>
          <w:b/>
        </w:rPr>
        <w:t xml:space="preserve">Attendance </w:t>
      </w:r>
      <w:r w:rsidR="009071D7">
        <w:rPr>
          <w:rFonts w:eastAsia="Times New Roman"/>
          <w:b/>
        </w:rPr>
        <w:t xml:space="preserve">&amp; Participation </w:t>
      </w:r>
      <w:r w:rsidRPr="004D7E41">
        <w:rPr>
          <w:rFonts w:eastAsia="Times New Roman"/>
          <w:b/>
        </w:rPr>
        <w:t>Policy:</w:t>
      </w:r>
      <w:r w:rsidR="004F01EE">
        <w:rPr>
          <w:rFonts w:eastAsia="Times New Roman"/>
        </w:rPr>
        <w:t xml:space="preserve"> </w:t>
      </w:r>
    </w:p>
    <w:p w:rsidR="00151D01" w:rsidRPr="009E5934" w:rsidRDefault="004F01EE" w:rsidP="00737096">
      <w:pPr>
        <w:spacing w:after="0" w:line="240" w:lineRule="auto"/>
        <w:rPr>
          <w:rFonts w:eastAsia="Times New Roman" w:cstheme="minorHAnsi"/>
        </w:rPr>
      </w:pPr>
      <w:r w:rsidRPr="009E5934">
        <w:rPr>
          <w:rFonts w:eastAsia="Times New Roman" w:cstheme="minorHAnsi"/>
        </w:rPr>
        <w:t xml:space="preserve">Attendance is required. </w:t>
      </w:r>
    </w:p>
    <w:p w:rsidR="009071D7" w:rsidRPr="009E5934" w:rsidRDefault="009071D7" w:rsidP="009071D7">
      <w:pPr>
        <w:shd w:val="clear" w:color="auto" w:fill="FFFFFF"/>
        <w:spacing w:after="0" w:line="240" w:lineRule="auto"/>
        <w:rPr>
          <w:rFonts w:eastAsia="Times New Roman" w:cstheme="minorHAnsi"/>
          <w:color w:val="000000"/>
        </w:rPr>
      </w:pPr>
    </w:p>
    <w:p w:rsidR="009071D7" w:rsidRPr="009071D7" w:rsidRDefault="009071D7" w:rsidP="009071D7">
      <w:pPr>
        <w:shd w:val="clear" w:color="auto" w:fill="FFFFFF"/>
        <w:spacing w:after="0" w:line="240" w:lineRule="auto"/>
        <w:rPr>
          <w:rFonts w:eastAsia="Times New Roman" w:cstheme="minorHAnsi"/>
          <w:color w:val="000000"/>
        </w:rPr>
      </w:pPr>
      <w:r w:rsidRPr="009071D7">
        <w:rPr>
          <w:rFonts w:eastAsia="Times New Roman" w:cstheme="minorHAnsi"/>
          <w:color w:val="000000"/>
        </w:rPr>
        <w:t>First of all, participation assumes presence; that is, you must show up to class on time on a regular basis. You are allowed three free absences to do with as you please. </w:t>
      </w:r>
      <w:r w:rsidRPr="009E5934">
        <w:rPr>
          <w:rFonts w:eastAsia="Times New Roman" w:cstheme="minorHAnsi"/>
          <w:color w:val="000000"/>
        </w:rPr>
        <w:t> </w:t>
      </w:r>
      <w:r w:rsidRPr="009071D7">
        <w:rPr>
          <w:rFonts w:eastAsia="Times New Roman" w:cstheme="minorHAnsi"/>
          <w:color w:val="000000"/>
        </w:rPr>
        <w:t>Beginning with your fourth absence, your overall</w:t>
      </w:r>
      <w:r w:rsidRPr="009E5934">
        <w:rPr>
          <w:rFonts w:eastAsia="Times New Roman" w:cstheme="minorHAnsi"/>
          <w:color w:val="000000"/>
        </w:rPr>
        <w:t> </w:t>
      </w:r>
      <w:r w:rsidRPr="009071D7">
        <w:rPr>
          <w:rFonts w:eastAsia="Times New Roman" w:cstheme="minorHAnsi"/>
          <w:i/>
          <w:iCs/>
          <w:color w:val="000000"/>
        </w:rPr>
        <w:t>final</w:t>
      </w:r>
      <w:r w:rsidRPr="009E5934">
        <w:rPr>
          <w:rFonts w:eastAsia="Times New Roman" w:cstheme="minorHAnsi"/>
          <w:color w:val="000000"/>
        </w:rPr>
        <w:t> </w:t>
      </w:r>
      <w:r w:rsidRPr="009071D7">
        <w:rPr>
          <w:rFonts w:eastAsia="Times New Roman" w:cstheme="minorHAnsi"/>
          <w:color w:val="000000"/>
        </w:rPr>
        <w:t>grade will be lowered by 50 points for each absence. For example, a 920 (A) would become an 870 (B) if you were absent four times.</w:t>
      </w:r>
    </w:p>
    <w:p w:rsidR="009071D7" w:rsidRPr="009071D7" w:rsidRDefault="009071D7" w:rsidP="009071D7">
      <w:pPr>
        <w:shd w:val="clear" w:color="auto" w:fill="FFFFFF"/>
        <w:spacing w:after="0" w:line="240" w:lineRule="auto"/>
        <w:rPr>
          <w:rFonts w:eastAsia="Times New Roman" w:cstheme="minorHAnsi"/>
          <w:color w:val="000000"/>
        </w:rPr>
      </w:pPr>
      <w:r w:rsidRPr="009071D7">
        <w:rPr>
          <w:rFonts w:eastAsia="Times New Roman" w:cstheme="minorHAnsi"/>
          <w:color w:val="000000"/>
        </w:rPr>
        <w:t> </w:t>
      </w:r>
    </w:p>
    <w:p w:rsidR="009071D7" w:rsidRPr="009071D7" w:rsidRDefault="009071D7" w:rsidP="009071D7">
      <w:pPr>
        <w:shd w:val="clear" w:color="auto" w:fill="FFFFFF"/>
        <w:spacing w:after="0" w:line="240" w:lineRule="auto"/>
        <w:rPr>
          <w:rFonts w:eastAsia="Times New Roman" w:cstheme="minorHAnsi"/>
          <w:color w:val="000000"/>
        </w:rPr>
      </w:pPr>
      <w:r w:rsidRPr="009071D7">
        <w:rPr>
          <w:rFonts w:eastAsia="Times New Roman" w:cstheme="minorHAnsi"/>
          <w:i/>
          <w:iCs/>
          <w:color w:val="000000"/>
        </w:rPr>
        <w:t>If you miss six or more classes, you run the risk of failing the course as a whole.</w:t>
      </w:r>
      <w:r w:rsidRPr="009E5934">
        <w:rPr>
          <w:rFonts w:eastAsia="Times New Roman" w:cstheme="minorHAnsi"/>
          <w:color w:val="000000"/>
        </w:rPr>
        <w:t> </w:t>
      </w:r>
      <w:r w:rsidRPr="009071D7">
        <w:rPr>
          <w:rFonts w:eastAsia="Times New Roman" w:cstheme="minorHAnsi"/>
          <w:color w:val="000000"/>
        </w:rPr>
        <w:t>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w:t>
      </w:r>
      <w:r w:rsidRPr="009E5934">
        <w:rPr>
          <w:rFonts w:eastAsia="Times New Roman" w:cstheme="minorHAnsi"/>
          <w:color w:val="000000"/>
        </w:rPr>
        <w:t> </w:t>
      </w:r>
      <w:r w:rsidRPr="009071D7">
        <w:rPr>
          <w:rFonts w:eastAsia="Times New Roman" w:cstheme="minorHAnsi"/>
          <w:i/>
          <w:iCs/>
          <w:color w:val="000000"/>
        </w:rPr>
        <w:t>before</w:t>
      </w:r>
      <w:r w:rsidRPr="009E5934">
        <w:rPr>
          <w:rFonts w:eastAsia="Times New Roman" w:cstheme="minorHAnsi"/>
          <w:color w:val="000000"/>
        </w:rPr>
        <w:t> </w:t>
      </w:r>
      <w:r w:rsidRPr="009071D7">
        <w:rPr>
          <w:rFonts w:eastAsia="Times New Roman" w:cstheme="minorHAnsi"/>
          <w:color w:val="000000"/>
        </w:rPr>
        <w:t>the next class.</w:t>
      </w:r>
    </w:p>
    <w:p w:rsidR="009071D7" w:rsidRPr="009071D7" w:rsidRDefault="009071D7" w:rsidP="009071D7">
      <w:pPr>
        <w:shd w:val="clear" w:color="auto" w:fill="FFFFFF"/>
        <w:spacing w:after="0" w:line="240" w:lineRule="auto"/>
        <w:rPr>
          <w:rFonts w:eastAsia="Times New Roman" w:cstheme="minorHAnsi"/>
          <w:color w:val="000000"/>
        </w:rPr>
      </w:pPr>
      <w:r w:rsidRPr="009071D7">
        <w:rPr>
          <w:rFonts w:eastAsia="Times New Roman" w:cstheme="minorHAnsi"/>
          <w:color w:val="000000"/>
        </w:rPr>
        <w:t> </w:t>
      </w:r>
    </w:p>
    <w:p w:rsidR="009071D7" w:rsidRPr="009071D7" w:rsidRDefault="009071D7" w:rsidP="009071D7">
      <w:pPr>
        <w:shd w:val="clear" w:color="auto" w:fill="FFFFFF"/>
        <w:spacing w:after="0" w:line="240" w:lineRule="auto"/>
        <w:rPr>
          <w:rFonts w:eastAsia="Times New Roman" w:cstheme="minorHAnsi"/>
          <w:color w:val="000000"/>
        </w:rPr>
      </w:pPr>
      <w:r w:rsidRPr="009071D7">
        <w:rPr>
          <w:rFonts w:eastAsia="Times New Roman" w:cstheme="minorHAnsi"/>
          <w:color w:val="000000"/>
        </w:rPr>
        <w:t>In addition to attendance, your participation grade will be based on the following criteria:</w:t>
      </w:r>
    </w:p>
    <w:p w:rsidR="009071D7" w:rsidRPr="009071D7" w:rsidRDefault="009071D7" w:rsidP="009071D7">
      <w:pPr>
        <w:shd w:val="clear" w:color="auto" w:fill="FFFFFF"/>
        <w:spacing w:after="0" w:line="240" w:lineRule="auto"/>
        <w:rPr>
          <w:rFonts w:eastAsia="Times New Roman" w:cstheme="minorHAnsi"/>
          <w:color w:val="000000"/>
        </w:rPr>
      </w:pPr>
      <w:r w:rsidRPr="009071D7">
        <w:rPr>
          <w:rFonts w:eastAsia="Times New Roman" w:cstheme="minorHAnsi"/>
          <w:color w:val="000000"/>
        </w:rPr>
        <w:t>Doing the readings and assignments</w:t>
      </w:r>
    </w:p>
    <w:p w:rsidR="009071D7" w:rsidRPr="009071D7" w:rsidRDefault="009071D7" w:rsidP="009071D7">
      <w:pPr>
        <w:shd w:val="clear" w:color="auto" w:fill="FFFFFF"/>
        <w:spacing w:after="0" w:line="240" w:lineRule="auto"/>
        <w:rPr>
          <w:rFonts w:eastAsia="Times New Roman" w:cstheme="minorHAnsi"/>
          <w:color w:val="000000"/>
        </w:rPr>
      </w:pPr>
      <w:r w:rsidRPr="009071D7">
        <w:rPr>
          <w:rFonts w:eastAsia="Times New Roman" w:cstheme="minorHAnsi"/>
          <w:color w:val="000000"/>
        </w:rPr>
        <w:t>Actively participating in class discussions and assignments</w:t>
      </w:r>
    </w:p>
    <w:p w:rsidR="009071D7" w:rsidRPr="009071D7" w:rsidRDefault="009071D7" w:rsidP="009071D7">
      <w:pPr>
        <w:shd w:val="clear" w:color="auto" w:fill="FFFFFF"/>
        <w:spacing w:after="0" w:line="240" w:lineRule="auto"/>
        <w:rPr>
          <w:rFonts w:eastAsia="Times New Roman" w:cstheme="minorHAnsi"/>
          <w:color w:val="000000"/>
        </w:rPr>
      </w:pPr>
      <w:proofErr w:type="gramStart"/>
      <w:r w:rsidRPr="009071D7">
        <w:rPr>
          <w:rFonts w:eastAsia="Times New Roman" w:cstheme="minorHAnsi"/>
          <w:color w:val="000000"/>
        </w:rPr>
        <w:t>Actively participating in all small-group activities (workshops, etc.)</w:t>
      </w:r>
      <w:proofErr w:type="gramEnd"/>
    </w:p>
    <w:p w:rsidR="009071D7" w:rsidRPr="009071D7" w:rsidRDefault="009071D7" w:rsidP="009071D7">
      <w:pPr>
        <w:shd w:val="clear" w:color="auto" w:fill="FFFFFF"/>
        <w:spacing w:after="0" w:line="240" w:lineRule="auto"/>
        <w:rPr>
          <w:rFonts w:eastAsia="Times New Roman" w:cstheme="minorHAnsi"/>
          <w:color w:val="000000"/>
        </w:rPr>
      </w:pPr>
      <w:r w:rsidRPr="009071D7">
        <w:rPr>
          <w:rFonts w:eastAsia="Times New Roman" w:cstheme="minorHAnsi"/>
          <w:color w:val="000000"/>
        </w:rPr>
        <w:t> </w:t>
      </w:r>
    </w:p>
    <w:p w:rsidR="009071D7" w:rsidRPr="009071D7" w:rsidRDefault="009071D7" w:rsidP="009071D7">
      <w:pPr>
        <w:shd w:val="clear" w:color="auto" w:fill="FFFFFF"/>
        <w:spacing w:after="0" w:line="240" w:lineRule="auto"/>
        <w:rPr>
          <w:rFonts w:eastAsia="Times New Roman" w:cstheme="minorHAnsi"/>
          <w:color w:val="000000"/>
        </w:rPr>
      </w:pPr>
      <w:r w:rsidRPr="009071D7">
        <w:rPr>
          <w:rFonts w:eastAsia="Times New Roman" w:cstheme="minorHAnsi"/>
          <w:color w:val="000000"/>
        </w:rPr>
        <w:t>Your participation grade will be negatively affected by any forms of behavior that disrupt the classroom experience, including:</w:t>
      </w:r>
    </w:p>
    <w:p w:rsidR="009071D7" w:rsidRPr="009E5934" w:rsidRDefault="009071D7" w:rsidP="009071D7">
      <w:pPr>
        <w:pStyle w:val="ListParagraph"/>
        <w:numPr>
          <w:ilvl w:val="0"/>
          <w:numId w:val="3"/>
        </w:numPr>
        <w:shd w:val="clear" w:color="auto" w:fill="FFFFFF"/>
        <w:spacing w:after="0" w:line="240" w:lineRule="auto"/>
        <w:rPr>
          <w:rFonts w:eastAsia="Times New Roman" w:cstheme="minorHAnsi"/>
          <w:color w:val="000000"/>
        </w:rPr>
      </w:pPr>
      <w:r w:rsidRPr="009E5934">
        <w:rPr>
          <w:rFonts w:eastAsia="Times New Roman" w:cstheme="minorHAnsi"/>
          <w:color w:val="000000"/>
        </w:rPr>
        <w:t>Failure to do the readings</w:t>
      </w:r>
    </w:p>
    <w:p w:rsidR="009071D7" w:rsidRPr="009E5934" w:rsidRDefault="009071D7" w:rsidP="009071D7">
      <w:pPr>
        <w:pStyle w:val="ListParagraph"/>
        <w:numPr>
          <w:ilvl w:val="0"/>
          <w:numId w:val="3"/>
        </w:numPr>
        <w:shd w:val="clear" w:color="auto" w:fill="FFFFFF"/>
        <w:spacing w:after="0" w:line="240" w:lineRule="auto"/>
        <w:rPr>
          <w:rFonts w:eastAsia="Times New Roman" w:cstheme="minorHAnsi"/>
          <w:color w:val="000000"/>
        </w:rPr>
      </w:pPr>
      <w:r w:rsidRPr="009E5934">
        <w:rPr>
          <w:rFonts w:eastAsia="Times New Roman" w:cstheme="minorHAnsi"/>
          <w:color w:val="000000"/>
        </w:rPr>
        <w:t>Failure to be courteous to others when talking in class or posting online</w:t>
      </w:r>
    </w:p>
    <w:p w:rsidR="009071D7" w:rsidRPr="009E5934" w:rsidRDefault="009071D7" w:rsidP="009071D7">
      <w:pPr>
        <w:pStyle w:val="ListParagraph"/>
        <w:numPr>
          <w:ilvl w:val="0"/>
          <w:numId w:val="3"/>
        </w:numPr>
        <w:shd w:val="clear" w:color="auto" w:fill="FFFFFF"/>
        <w:spacing w:after="0" w:line="240" w:lineRule="auto"/>
        <w:rPr>
          <w:rFonts w:eastAsia="Times New Roman" w:cstheme="minorHAnsi"/>
          <w:color w:val="000000"/>
        </w:rPr>
      </w:pPr>
      <w:r w:rsidRPr="009E5934">
        <w:rPr>
          <w:rFonts w:eastAsia="Times New Roman" w:cstheme="minorHAnsi"/>
          <w:color w:val="000000"/>
        </w:rPr>
        <w:t>Disrupting class in nonverbal ways (Reading the paper, checking your cell phone, doing homework, or sleeping in class. If you get caught doing these things you will be counted absent for the day.)</w:t>
      </w:r>
    </w:p>
    <w:p w:rsidR="009071D7" w:rsidRDefault="009071D7" w:rsidP="00737096">
      <w:pPr>
        <w:spacing w:after="0" w:line="240" w:lineRule="auto"/>
        <w:rPr>
          <w:rFonts w:eastAsia="Times New Roman"/>
          <w:b/>
        </w:rPr>
      </w:pPr>
    </w:p>
    <w:p w:rsidR="009E5934" w:rsidRPr="00483D18" w:rsidRDefault="009E5934" w:rsidP="009E5934">
      <w:pPr>
        <w:spacing w:after="0"/>
        <w:rPr>
          <w:rFonts w:cs="Times New Roman"/>
          <w:b/>
          <w:sz w:val="28"/>
          <w:szCs w:val="28"/>
        </w:rPr>
      </w:pPr>
      <w:r w:rsidRPr="00483D18">
        <w:rPr>
          <w:rFonts w:cs="Times New Roman"/>
          <w:b/>
          <w:sz w:val="28"/>
          <w:szCs w:val="28"/>
        </w:rPr>
        <w:t>Students with Disabilities:</w:t>
      </w:r>
    </w:p>
    <w:p w:rsidR="009E5934" w:rsidRDefault="009E5934" w:rsidP="009E5934">
      <w:pPr>
        <w:spacing w:after="0"/>
        <w:rPr>
          <w:rFonts w:cs="Times New Roman"/>
          <w:sz w:val="20"/>
          <w:szCs w:val="20"/>
        </w:rPr>
      </w:pPr>
      <w:r>
        <w:rPr>
          <w:rFonts w:cs="Times New Roman"/>
          <w:sz w:val="20"/>
          <w:szCs w:val="20"/>
        </w:rPr>
        <w:t xml:space="preserve">Any student who feels that he or she may need an accommodation for any sort of disability, please make an appointment to see me during office hours.  Students with disabilities should also contact Access Disabled Assistance Program for Tech Students (ADAPTS) to discuss reasonable accommodations.  For an appointment with a counselor, call 404-894-2564 (voice) or 404-894-1664 (voice/ TDD) or visit Suite 210 in the </w:t>
      </w:r>
      <w:proofErr w:type="spellStart"/>
      <w:r>
        <w:rPr>
          <w:rFonts w:cs="Times New Roman"/>
          <w:sz w:val="20"/>
          <w:szCs w:val="20"/>
        </w:rPr>
        <w:t>Smithgall</w:t>
      </w:r>
      <w:proofErr w:type="spellEnd"/>
      <w:r>
        <w:rPr>
          <w:rFonts w:cs="Times New Roman"/>
          <w:sz w:val="20"/>
          <w:szCs w:val="20"/>
        </w:rPr>
        <w:t xml:space="preserve"> Student Services Building.  For more information, please </w:t>
      </w:r>
      <w:hyperlink r:id="rId9" w:history="1">
        <w:r w:rsidRPr="003B4B3D">
          <w:rPr>
            <w:rStyle w:val="Hyperlink"/>
            <w:rFonts w:cs="Times New Roman"/>
            <w:sz w:val="20"/>
            <w:szCs w:val="20"/>
          </w:rPr>
          <w:t>visit the ADAPTS website</w:t>
        </w:r>
      </w:hyperlink>
      <w:r>
        <w:rPr>
          <w:rFonts w:cs="Times New Roman"/>
          <w:sz w:val="20"/>
          <w:szCs w:val="20"/>
        </w:rPr>
        <w:t>.</w:t>
      </w:r>
    </w:p>
    <w:p w:rsidR="009E5934" w:rsidRDefault="009E5934" w:rsidP="009E5934">
      <w:pPr>
        <w:spacing w:after="0"/>
        <w:rPr>
          <w:rFonts w:cs="Times New Roman"/>
          <w:sz w:val="20"/>
          <w:szCs w:val="20"/>
        </w:rPr>
      </w:pPr>
    </w:p>
    <w:p w:rsidR="009E5934" w:rsidRPr="00E52552" w:rsidRDefault="009E5934" w:rsidP="009E5934">
      <w:pPr>
        <w:spacing w:after="0"/>
        <w:rPr>
          <w:rFonts w:cs="Times New Roman"/>
          <w:b/>
          <w:sz w:val="28"/>
          <w:szCs w:val="28"/>
        </w:rPr>
      </w:pPr>
      <w:r w:rsidRPr="00E52552">
        <w:rPr>
          <w:rFonts w:cs="Times New Roman"/>
          <w:b/>
          <w:sz w:val="28"/>
          <w:szCs w:val="28"/>
        </w:rPr>
        <w:t>Academic Honesty and Integrity:</w:t>
      </w:r>
    </w:p>
    <w:p w:rsidR="009E5934" w:rsidRDefault="009E5934" w:rsidP="009E5934">
      <w:pPr>
        <w:spacing w:after="0" w:line="240" w:lineRule="auto"/>
        <w:rPr>
          <w:rFonts w:eastAsia="Times New Roman"/>
        </w:rPr>
      </w:pPr>
      <w:r w:rsidRPr="004D7E41">
        <w:rPr>
          <w:rFonts w:eastAsia="Times New Roman"/>
        </w:rPr>
        <w:t xml:space="preserve">Students are encouraged to seek help from each other on all assignments, as well as from the </w:t>
      </w:r>
      <w:proofErr w:type="spellStart"/>
      <w:r w:rsidRPr="004D7E41">
        <w:rPr>
          <w:rFonts w:eastAsia="Times New Roman"/>
        </w:rPr>
        <w:t>Comm</w:t>
      </w:r>
      <w:proofErr w:type="spellEnd"/>
      <w:r w:rsidRPr="004D7E41">
        <w:rPr>
          <w:rFonts w:eastAsia="Times New Roman"/>
        </w:rPr>
        <w:t xml:space="preserve"> Lab and the professor. Late assignments will be penalized </w:t>
      </w:r>
      <w:r>
        <w:rPr>
          <w:rFonts w:eastAsia="Times New Roman"/>
        </w:rPr>
        <w:t xml:space="preserve">1% </w:t>
      </w:r>
      <w:r w:rsidRPr="004D7E41">
        <w:rPr>
          <w:rFonts w:eastAsia="Times New Roman"/>
        </w:rPr>
        <w:t>per day.</w:t>
      </w:r>
    </w:p>
    <w:p w:rsidR="009E5934" w:rsidRDefault="009E5934" w:rsidP="009E5934">
      <w:pPr>
        <w:spacing w:after="0"/>
        <w:rPr>
          <w:rFonts w:cs="Times New Roman"/>
          <w:sz w:val="20"/>
          <w:szCs w:val="20"/>
        </w:rPr>
      </w:pPr>
    </w:p>
    <w:p w:rsidR="009E5934" w:rsidRDefault="009E5934" w:rsidP="009E5934">
      <w:pPr>
        <w:spacing w:after="0"/>
        <w:rPr>
          <w:rFonts w:cs="Times New Roman"/>
          <w:sz w:val="20"/>
          <w:szCs w:val="20"/>
        </w:rPr>
      </w:pPr>
      <w:r>
        <w:rPr>
          <w:rFonts w:cs="Times New Roman"/>
          <w:sz w:val="20"/>
          <w:szCs w:val="20"/>
        </w:rPr>
        <w:t>But all work you turn in for this class must be your own work, with all outside reference sources properly cited and acknowledged.  According to Section 3 of the</w:t>
      </w:r>
      <w:hyperlink r:id="rId10" w:history="1">
        <w:r w:rsidRPr="00E52552">
          <w:rPr>
            <w:rStyle w:val="Hyperlink"/>
            <w:rFonts w:cs="Times New Roman"/>
            <w:sz w:val="20"/>
            <w:szCs w:val="20"/>
          </w:rPr>
          <w:t xml:space="preserve"> Academic Honor Code</w:t>
        </w:r>
      </w:hyperlink>
      <w:r>
        <w:rPr>
          <w:rFonts w:cs="Times New Roman"/>
          <w:sz w:val="20"/>
          <w:szCs w:val="20"/>
        </w:rPr>
        <w:t>,</w:t>
      </w:r>
    </w:p>
    <w:p w:rsidR="009E5934" w:rsidRDefault="009E5934" w:rsidP="009E5934">
      <w:pPr>
        <w:spacing w:after="0"/>
        <w:ind w:left="720"/>
        <w:rPr>
          <w:rFonts w:cs="Times New Roman"/>
          <w:sz w:val="20"/>
          <w:szCs w:val="20"/>
        </w:rPr>
      </w:pPr>
      <w:r>
        <w:rPr>
          <w:rFonts w:cs="Times New Roman"/>
          <w:sz w:val="20"/>
          <w:szCs w:val="20"/>
        </w:rPr>
        <w:t xml:space="preserve">Students are expected to act according to the highest ethical standards.  The immediate objective of the Honor Code is to prevent any students from gaining an unfair advantage over other students through </w:t>
      </w:r>
      <w:r>
        <w:rPr>
          <w:rFonts w:cs="Times New Roman"/>
          <w:sz w:val="20"/>
          <w:szCs w:val="20"/>
        </w:rPr>
        <w:lastRenderedPageBreak/>
        <w:t>academic misconduct.  Academic misconduct is any act that does or could improperly distort student grades or other student academic records.  Such acts include but need not be limited to the following:</w:t>
      </w:r>
    </w:p>
    <w:p w:rsidR="009E5934" w:rsidRPr="00483D18" w:rsidRDefault="009E5934" w:rsidP="009E5934">
      <w:pPr>
        <w:pStyle w:val="ListParagraph"/>
        <w:numPr>
          <w:ilvl w:val="1"/>
          <w:numId w:val="5"/>
        </w:numPr>
        <w:spacing w:after="0" w:line="240" w:lineRule="auto"/>
        <w:rPr>
          <w:rFonts w:cs="Times New Roman"/>
          <w:sz w:val="20"/>
          <w:szCs w:val="20"/>
        </w:rPr>
      </w:pPr>
      <w:r w:rsidRPr="00483D18">
        <w:rPr>
          <w:rFonts w:cs="Times New Roman"/>
          <w:sz w:val="20"/>
          <w:szCs w:val="20"/>
        </w:rPr>
        <w:t>Possessing, using, or exchanging improperly acquired written or verbal information in the preparation of any essay, laboratory report, examination, or other assignment included in an academic course;</w:t>
      </w:r>
    </w:p>
    <w:p w:rsidR="009E5934" w:rsidRPr="00483D18" w:rsidRDefault="009E5934" w:rsidP="009E5934">
      <w:pPr>
        <w:pStyle w:val="ListParagraph"/>
        <w:numPr>
          <w:ilvl w:val="1"/>
          <w:numId w:val="5"/>
        </w:numPr>
        <w:spacing w:after="0" w:line="240" w:lineRule="auto"/>
        <w:rPr>
          <w:rFonts w:cs="Times New Roman"/>
          <w:sz w:val="20"/>
          <w:szCs w:val="20"/>
        </w:rPr>
      </w:pPr>
      <w:r w:rsidRPr="00483D18">
        <w:rPr>
          <w:rFonts w:cs="Times New Roman"/>
          <w:sz w:val="20"/>
          <w:szCs w:val="20"/>
        </w:rPr>
        <w:t>Substitution for, or unauthorized collaboration with, a student in the commission of academic requirements;</w:t>
      </w:r>
    </w:p>
    <w:p w:rsidR="009E5934" w:rsidRPr="00483D18" w:rsidRDefault="009E5934" w:rsidP="009E5934">
      <w:pPr>
        <w:pStyle w:val="ListParagraph"/>
        <w:numPr>
          <w:ilvl w:val="1"/>
          <w:numId w:val="5"/>
        </w:numPr>
        <w:spacing w:after="0" w:line="240" w:lineRule="auto"/>
        <w:rPr>
          <w:rFonts w:cs="Times New Roman"/>
          <w:sz w:val="20"/>
          <w:szCs w:val="20"/>
        </w:rPr>
      </w:pPr>
      <w:r w:rsidRPr="00483D18">
        <w:rPr>
          <w:rFonts w:cs="Times New Roman"/>
          <w:sz w:val="20"/>
          <w:szCs w:val="20"/>
        </w:rPr>
        <w:t>Submission of material that is wholly or substantially identical to that created or published by another person or persons, without adequate credit notations including authorship (plagiarism);</w:t>
      </w:r>
    </w:p>
    <w:p w:rsidR="009E5934" w:rsidRPr="00483D18" w:rsidRDefault="009E5934" w:rsidP="009E5934">
      <w:pPr>
        <w:pStyle w:val="ListParagraph"/>
        <w:numPr>
          <w:ilvl w:val="1"/>
          <w:numId w:val="5"/>
        </w:numPr>
        <w:spacing w:after="0" w:line="240" w:lineRule="auto"/>
        <w:rPr>
          <w:rFonts w:cs="Times New Roman"/>
          <w:sz w:val="20"/>
          <w:szCs w:val="20"/>
        </w:rPr>
      </w:pPr>
      <w:r w:rsidRPr="00483D18">
        <w:rPr>
          <w:rFonts w:cs="Times New Roman"/>
          <w:sz w:val="20"/>
          <w:szCs w:val="20"/>
        </w:rPr>
        <w:t>False claims of performance or work that has been submitted by the claimant;</w:t>
      </w:r>
    </w:p>
    <w:p w:rsidR="009E5934" w:rsidRPr="00483D18" w:rsidRDefault="009E5934" w:rsidP="009E5934">
      <w:pPr>
        <w:pStyle w:val="ListParagraph"/>
        <w:numPr>
          <w:ilvl w:val="1"/>
          <w:numId w:val="5"/>
        </w:numPr>
        <w:spacing w:after="0" w:line="240" w:lineRule="auto"/>
        <w:rPr>
          <w:rFonts w:cs="Times New Roman"/>
          <w:sz w:val="20"/>
          <w:szCs w:val="20"/>
        </w:rPr>
      </w:pPr>
      <w:r w:rsidRPr="00483D18">
        <w:rPr>
          <w:rFonts w:cs="Times New Roman"/>
          <w:sz w:val="20"/>
          <w:szCs w:val="20"/>
        </w:rPr>
        <w:t>Alteration or insertion of any academic grade or rating so as to obtain unearned academic credit;</w:t>
      </w:r>
    </w:p>
    <w:p w:rsidR="009E5934" w:rsidRPr="00483D18" w:rsidRDefault="009E5934" w:rsidP="009E5934">
      <w:pPr>
        <w:pStyle w:val="ListParagraph"/>
        <w:numPr>
          <w:ilvl w:val="1"/>
          <w:numId w:val="5"/>
        </w:numPr>
        <w:spacing w:after="0" w:line="240" w:lineRule="auto"/>
        <w:rPr>
          <w:rFonts w:cs="Times New Roman"/>
          <w:sz w:val="20"/>
          <w:szCs w:val="20"/>
        </w:rPr>
      </w:pPr>
      <w:r w:rsidRPr="00483D18">
        <w:rPr>
          <w:rFonts w:cs="Times New Roman"/>
          <w:sz w:val="20"/>
          <w:szCs w:val="20"/>
        </w:rPr>
        <w:t>Deliberate falsification of a written or verbal statement of fact to a member of the faculty so as to obtain unearned academic credit;</w:t>
      </w:r>
    </w:p>
    <w:p w:rsidR="009E5934" w:rsidRPr="00483D18" w:rsidRDefault="009E5934" w:rsidP="009E5934">
      <w:pPr>
        <w:pStyle w:val="ListParagraph"/>
        <w:numPr>
          <w:ilvl w:val="1"/>
          <w:numId w:val="5"/>
        </w:numPr>
        <w:spacing w:after="0" w:line="240" w:lineRule="auto"/>
        <w:rPr>
          <w:rFonts w:cs="Times New Roman"/>
          <w:sz w:val="20"/>
          <w:szCs w:val="20"/>
        </w:rPr>
      </w:pPr>
      <w:r w:rsidRPr="00483D18">
        <w:rPr>
          <w:rFonts w:cs="Times New Roman"/>
          <w:sz w:val="20"/>
          <w:szCs w:val="20"/>
        </w:rPr>
        <w:t>Forgery, alteration, or misuse of any institute document relating to the academic status of the student.</w:t>
      </w:r>
    </w:p>
    <w:p w:rsidR="009E5934" w:rsidRDefault="009E5934" w:rsidP="009E5934">
      <w:pPr>
        <w:pStyle w:val="ListParagraph"/>
        <w:spacing w:after="0"/>
        <w:rPr>
          <w:rFonts w:cs="Times New Roman"/>
          <w:sz w:val="20"/>
          <w:szCs w:val="20"/>
        </w:rPr>
      </w:pPr>
    </w:p>
    <w:p w:rsidR="009E5934" w:rsidRDefault="009E5934" w:rsidP="009E5934">
      <w:pPr>
        <w:pStyle w:val="ListParagraph"/>
        <w:spacing w:after="0"/>
        <w:rPr>
          <w:rFonts w:cs="Times New Roman"/>
          <w:sz w:val="20"/>
          <w:szCs w:val="20"/>
        </w:rPr>
      </w:pPr>
      <w:r>
        <w:rPr>
          <w:rFonts w:cs="Times New Roman"/>
          <w:sz w:val="20"/>
          <w:szCs w:val="20"/>
        </w:rPr>
        <w:t>While these acts constitute assured instances of academic misconduct, other acts of academic misconduct may be defined by the professor.</w:t>
      </w:r>
    </w:p>
    <w:p w:rsidR="009E5934" w:rsidRDefault="009E5934" w:rsidP="009E5934">
      <w:pPr>
        <w:pStyle w:val="ListParagraph"/>
        <w:spacing w:after="0"/>
        <w:rPr>
          <w:rFonts w:cs="Times New Roman"/>
          <w:sz w:val="20"/>
          <w:szCs w:val="20"/>
        </w:rPr>
      </w:pPr>
    </w:p>
    <w:p w:rsidR="009E5934" w:rsidRPr="00253C0A" w:rsidRDefault="009E5934" w:rsidP="009E5934">
      <w:pPr>
        <w:pStyle w:val="ListParagraph"/>
        <w:spacing w:after="0"/>
        <w:rPr>
          <w:rFonts w:cs="Times New Roman"/>
          <w:sz w:val="20"/>
          <w:szCs w:val="20"/>
        </w:rPr>
      </w:pPr>
      <w:r>
        <w:rPr>
          <w:rFonts w:cs="Times New Roman"/>
          <w:sz w:val="20"/>
          <w:szCs w:val="20"/>
        </w:rPr>
        <w:t>Students must sign the Honor Agreement affirming their commitment to uphold the Honor Code before becoming a part of the Georgia Tech community.  The Honor Agreement may reappear on exams and other assignments to remind students of their responsibilities under the Georgia Institute of Technology Academic Honor Code.</w:t>
      </w:r>
    </w:p>
    <w:p w:rsidR="009E5934" w:rsidRDefault="009E5934" w:rsidP="009E5934">
      <w:pPr>
        <w:spacing w:after="0"/>
        <w:rPr>
          <w:rFonts w:cs="Times New Roman"/>
          <w:sz w:val="20"/>
          <w:szCs w:val="20"/>
        </w:rPr>
      </w:pPr>
    </w:p>
    <w:p w:rsidR="009E5934" w:rsidRPr="00E413F6" w:rsidRDefault="009E5934" w:rsidP="009E5934">
      <w:pPr>
        <w:spacing w:after="0"/>
        <w:rPr>
          <w:rFonts w:cs="Times New Roman"/>
          <w:b/>
          <w:sz w:val="20"/>
          <w:szCs w:val="20"/>
        </w:rPr>
      </w:pPr>
      <w:r w:rsidRPr="00E413F6">
        <w:rPr>
          <w:rFonts w:cs="Times New Roman"/>
          <w:b/>
          <w:sz w:val="20"/>
          <w:szCs w:val="20"/>
        </w:rPr>
        <w:t xml:space="preserve">A </w:t>
      </w:r>
      <w:r>
        <w:rPr>
          <w:rFonts w:cs="Times New Roman"/>
          <w:b/>
          <w:sz w:val="20"/>
          <w:szCs w:val="20"/>
        </w:rPr>
        <w:t>Further Note a</w:t>
      </w:r>
      <w:r w:rsidRPr="00E413F6">
        <w:rPr>
          <w:rFonts w:cs="Times New Roman"/>
          <w:b/>
          <w:sz w:val="20"/>
          <w:szCs w:val="20"/>
        </w:rPr>
        <w:t>bout Plagiarism:</w:t>
      </w:r>
    </w:p>
    <w:p w:rsidR="009E5934" w:rsidRDefault="009E5934" w:rsidP="009E5934">
      <w:pPr>
        <w:spacing w:after="0"/>
        <w:rPr>
          <w:rFonts w:cs="Times New Roman"/>
          <w:sz w:val="20"/>
          <w:szCs w:val="20"/>
        </w:rPr>
      </w:pPr>
      <w:r>
        <w:rPr>
          <w:rFonts w:cs="Times New Roman"/>
          <w:sz w:val="20"/>
          <w:szCs w:val="20"/>
        </w:rPr>
        <w:t xml:space="preserve">According to Dictionary.com, </w:t>
      </w:r>
      <w:hyperlink r:id="rId11" w:history="1">
        <w:r w:rsidRPr="00E413F6">
          <w:rPr>
            <w:rStyle w:val="Hyperlink"/>
            <w:rFonts w:cs="Times New Roman"/>
            <w:sz w:val="20"/>
            <w:szCs w:val="20"/>
          </w:rPr>
          <w:t>plagiarism</w:t>
        </w:r>
      </w:hyperlink>
      <w:r>
        <w:rPr>
          <w:rFonts w:cs="Times New Roman"/>
          <w:sz w:val="20"/>
          <w:szCs w:val="20"/>
        </w:rPr>
        <w:t xml:space="preserve"> is defined as:</w:t>
      </w:r>
    </w:p>
    <w:p w:rsidR="009E5934" w:rsidRDefault="009E5934" w:rsidP="009E5934">
      <w:pPr>
        <w:pStyle w:val="ListParagraph"/>
        <w:numPr>
          <w:ilvl w:val="0"/>
          <w:numId w:val="4"/>
        </w:numPr>
        <w:spacing w:after="0" w:line="240" w:lineRule="auto"/>
        <w:rPr>
          <w:rFonts w:cs="Times New Roman"/>
          <w:sz w:val="20"/>
          <w:szCs w:val="20"/>
        </w:rPr>
      </w:pPr>
      <w:r>
        <w:rPr>
          <w:rFonts w:cs="Times New Roman"/>
          <w:sz w:val="20"/>
          <w:szCs w:val="20"/>
        </w:rPr>
        <w:t xml:space="preserve"> an act or instance of using or closely imitating the language and thoughts of another author without authorization and the representation of that author’s work as one’s own, as by  not crediting the original author;</w:t>
      </w:r>
    </w:p>
    <w:p w:rsidR="009E5934" w:rsidRDefault="009E5934" w:rsidP="009E5934">
      <w:pPr>
        <w:pStyle w:val="ListParagraph"/>
        <w:numPr>
          <w:ilvl w:val="0"/>
          <w:numId w:val="4"/>
        </w:numPr>
        <w:spacing w:after="0" w:line="240" w:lineRule="auto"/>
        <w:rPr>
          <w:rFonts w:cs="Times New Roman"/>
          <w:sz w:val="20"/>
          <w:szCs w:val="20"/>
        </w:rPr>
      </w:pPr>
      <w:proofErr w:type="gramStart"/>
      <w:r>
        <w:rPr>
          <w:rFonts w:cs="Times New Roman"/>
          <w:sz w:val="20"/>
          <w:szCs w:val="20"/>
        </w:rPr>
        <w:t>a</w:t>
      </w:r>
      <w:proofErr w:type="gramEnd"/>
      <w:r>
        <w:rPr>
          <w:rFonts w:cs="Times New Roman"/>
          <w:sz w:val="20"/>
          <w:szCs w:val="20"/>
        </w:rPr>
        <w:t xml:space="preserve"> piece of writing or other work reflection such unauthorized use or imitation.</w:t>
      </w:r>
    </w:p>
    <w:p w:rsidR="009E5934" w:rsidRDefault="009E5934" w:rsidP="009E5934">
      <w:pPr>
        <w:spacing w:after="0"/>
        <w:rPr>
          <w:rFonts w:cs="Times New Roman"/>
          <w:sz w:val="20"/>
          <w:szCs w:val="20"/>
        </w:rPr>
      </w:pPr>
    </w:p>
    <w:p w:rsidR="009E5934" w:rsidRDefault="009E5934" w:rsidP="009E5934">
      <w:pPr>
        <w:spacing w:after="0"/>
        <w:rPr>
          <w:rFonts w:cs="Times New Roman"/>
          <w:sz w:val="20"/>
          <w:szCs w:val="20"/>
        </w:rPr>
      </w:pPr>
      <w:r>
        <w:rPr>
          <w:rFonts w:cs="Times New Roman"/>
          <w:sz w:val="20"/>
          <w:szCs w:val="20"/>
        </w:rPr>
        <w:t>In addition, other instances of plagiarism include, but are not limited to, putting a quotation around an entire article, and citing it, and turning that “quoted” article in as your work; cutting and pasting more than 10%  of your paper; improperly citing sources including forgetting to include a source on your works cited page or within the body of your texts; imitating the arguing style of another author without attribution; buying and turning in a paper from a term paper mill; forgetting to use quotation marks for a direct quotation; paraphrasing materials from a source without proper documentation; etc.</w:t>
      </w:r>
    </w:p>
    <w:p w:rsidR="009E5934" w:rsidRDefault="009E5934" w:rsidP="009E5934">
      <w:pPr>
        <w:spacing w:after="0"/>
        <w:rPr>
          <w:rFonts w:cs="Times New Roman"/>
          <w:sz w:val="20"/>
          <w:szCs w:val="20"/>
        </w:rPr>
      </w:pPr>
    </w:p>
    <w:p w:rsidR="009E5934" w:rsidRPr="00E413F6" w:rsidRDefault="009E5934" w:rsidP="009E5934">
      <w:pPr>
        <w:rPr>
          <w:rFonts w:cs="Times New Roman"/>
          <w:sz w:val="20"/>
          <w:szCs w:val="20"/>
        </w:rPr>
      </w:pPr>
      <w:r>
        <w:rPr>
          <w:rFonts w:cs="Times New Roman"/>
          <w:sz w:val="20"/>
          <w:szCs w:val="20"/>
        </w:rPr>
        <w:t xml:space="preserve">Students who engage in academic dishonesty may receive a zero on the assignment or fail the course.  In addition, the instance will be reported to the Dean of Students who may take further action.  If you have any questions involving these or any other issues regarding plagiarism, the Academic Honor Code, or what constitutes appropriate academic integrity, please talk to me or visit the </w:t>
      </w:r>
      <w:hyperlink r:id="rId12" w:history="1">
        <w:r w:rsidRPr="003F6067">
          <w:rPr>
            <w:rStyle w:val="Hyperlink"/>
            <w:rFonts w:cs="Times New Roman"/>
            <w:sz w:val="20"/>
            <w:szCs w:val="20"/>
          </w:rPr>
          <w:t>Academic Honor Code website</w:t>
        </w:r>
      </w:hyperlink>
      <w:r>
        <w:rPr>
          <w:rFonts w:cs="Times New Roman"/>
          <w:sz w:val="20"/>
          <w:szCs w:val="20"/>
        </w:rPr>
        <w:t>.</w:t>
      </w:r>
    </w:p>
    <w:p w:rsidR="00A35B75" w:rsidRDefault="00A35B75" w:rsidP="00151D01">
      <w:pPr>
        <w:spacing w:after="240"/>
        <w:rPr>
          <w:rFonts w:eastAsia="Times New Roman"/>
        </w:rPr>
      </w:pPr>
    </w:p>
    <w:p w:rsidR="009E5934" w:rsidRDefault="009E5934" w:rsidP="00151D01">
      <w:pPr>
        <w:spacing w:after="240"/>
        <w:rPr>
          <w:rFonts w:eastAsia="Times New Roman"/>
        </w:rPr>
      </w:pPr>
    </w:p>
    <w:p w:rsidR="009E5934" w:rsidRPr="00151D01" w:rsidRDefault="009E5934" w:rsidP="00151D01">
      <w:pPr>
        <w:spacing w:after="240"/>
        <w:rPr>
          <w:rFonts w:eastAsia="Times New Roman"/>
        </w:rPr>
      </w:pPr>
    </w:p>
    <w:tbl>
      <w:tblPr>
        <w:tblStyle w:val="TableGrid"/>
        <w:tblW w:w="0" w:type="auto"/>
        <w:tblLook w:val="04A0"/>
      </w:tblPr>
      <w:tblGrid>
        <w:gridCol w:w="743"/>
        <w:gridCol w:w="2944"/>
        <w:gridCol w:w="2944"/>
        <w:gridCol w:w="2945"/>
      </w:tblGrid>
      <w:tr w:rsidR="00380B6E" w:rsidRPr="00ED78F1" w:rsidTr="00052673">
        <w:trPr>
          <w:cantSplit/>
        </w:trPr>
        <w:tc>
          <w:tcPr>
            <w:tcW w:w="743" w:type="dxa"/>
          </w:tcPr>
          <w:p w:rsidR="00380B6E" w:rsidRPr="00ED78F1" w:rsidRDefault="00380B6E" w:rsidP="007B50EC">
            <w:pPr>
              <w:jc w:val="center"/>
              <w:rPr>
                <w:b/>
              </w:rPr>
            </w:pPr>
            <w:r>
              <w:rPr>
                <w:b/>
              </w:rPr>
              <w:lastRenderedPageBreak/>
              <w:t>Week</w:t>
            </w:r>
          </w:p>
        </w:tc>
        <w:tc>
          <w:tcPr>
            <w:tcW w:w="2944" w:type="dxa"/>
          </w:tcPr>
          <w:p w:rsidR="00380B6E" w:rsidRPr="00ED78F1" w:rsidRDefault="00380B6E" w:rsidP="007B50EC">
            <w:pPr>
              <w:rPr>
                <w:b/>
              </w:rPr>
            </w:pPr>
            <w:r>
              <w:rPr>
                <w:b/>
              </w:rPr>
              <w:t>Monday</w:t>
            </w:r>
          </w:p>
        </w:tc>
        <w:tc>
          <w:tcPr>
            <w:tcW w:w="2944" w:type="dxa"/>
          </w:tcPr>
          <w:p w:rsidR="00380B6E" w:rsidRPr="00ED78F1" w:rsidRDefault="00380B6E" w:rsidP="007B50EC">
            <w:pPr>
              <w:rPr>
                <w:b/>
              </w:rPr>
            </w:pPr>
            <w:r>
              <w:rPr>
                <w:b/>
              </w:rPr>
              <w:t>Wednesday</w:t>
            </w:r>
          </w:p>
        </w:tc>
        <w:tc>
          <w:tcPr>
            <w:tcW w:w="2945" w:type="dxa"/>
          </w:tcPr>
          <w:p w:rsidR="00380B6E" w:rsidRPr="00ED78F1" w:rsidRDefault="00380B6E" w:rsidP="007B50EC">
            <w:pPr>
              <w:rPr>
                <w:b/>
              </w:rPr>
            </w:pPr>
            <w:r>
              <w:rPr>
                <w:b/>
              </w:rPr>
              <w:t>Friday</w:t>
            </w:r>
          </w:p>
        </w:tc>
      </w:tr>
      <w:tr w:rsidR="007B50EC" w:rsidTr="00052673">
        <w:trPr>
          <w:cantSplit/>
        </w:trPr>
        <w:tc>
          <w:tcPr>
            <w:tcW w:w="9576" w:type="dxa"/>
            <w:gridSpan w:val="4"/>
          </w:tcPr>
          <w:p w:rsidR="007B50EC" w:rsidRPr="007B50EC" w:rsidRDefault="007B50EC" w:rsidP="00E469CD">
            <w:pPr>
              <w:rPr>
                <w:b/>
              </w:rPr>
            </w:pPr>
            <w:r w:rsidRPr="007B50EC">
              <w:rPr>
                <w:b/>
              </w:rPr>
              <w:t xml:space="preserve">UNIT 1: </w:t>
            </w:r>
            <w:r w:rsidR="00E469CD">
              <w:rPr>
                <w:b/>
              </w:rPr>
              <w:t>FOODS AND DRUGS</w:t>
            </w:r>
          </w:p>
        </w:tc>
      </w:tr>
      <w:tr w:rsidR="00380B6E" w:rsidTr="00052673">
        <w:trPr>
          <w:cantSplit/>
        </w:trPr>
        <w:tc>
          <w:tcPr>
            <w:tcW w:w="743" w:type="dxa"/>
          </w:tcPr>
          <w:p w:rsidR="00380B6E" w:rsidRPr="00ED78F1" w:rsidRDefault="00380B6E" w:rsidP="007B50EC">
            <w:pPr>
              <w:jc w:val="center"/>
              <w:rPr>
                <w:b/>
              </w:rPr>
            </w:pPr>
            <w:r>
              <w:rPr>
                <w:b/>
              </w:rPr>
              <w:t>1</w:t>
            </w:r>
          </w:p>
        </w:tc>
        <w:tc>
          <w:tcPr>
            <w:tcW w:w="2944" w:type="dxa"/>
          </w:tcPr>
          <w:p w:rsidR="00380B6E" w:rsidRDefault="00F91ABE" w:rsidP="007B50EC">
            <w:pPr>
              <w:jc w:val="right"/>
            </w:pPr>
            <w:r>
              <w:t>Jan 9</w:t>
            </w:r>
          </w:p>
          <w:p w:rsidR="007B50EC" w:rsidRDefault="007B50EC" w:rsidP="007B50EC">
            <w:r>
              <w:t>Intro to the course</w:t>
            </w:r>
          </w:p>
          <w:p w:rsidR="002F754E" w:rsidRDefault="002F754E" w:rsidP="007B50EC"/>
          <w:p w:rsidR="00881AF0" w:rsidRDefault="00881AF0" w:rsidP="007B50EC">
            <w:r>
              <w:t>In-class reading:</w:t>
            </w:r>
          </w:p>
          <w:p w:rsidR="00881AF0" w:rsidRDefault="00881AF0" w:rsidP="00881AF0">
            <w:r w:rsidRPr="00F56661">
              <w:rPr>
                <w:rFonts w:eastAsia="Times New Roman"/>
                <w:sz w:val="24"/>
                <w:szCs w:val="24"/>
              </w:rPr>
              <w:t xml:space="preserve">Dumit, Joseph. “Drugs for Life,” </w:t>
            </w:r>
            <w:r w:rsidRPr="00F56661">
              <w:rPr>
                <w:rFonts w:eastAsia="Times New Roman"/>
                <w:i/>
                <w:iCs/>
                <w:sz w:val="24"/>
                <w:szCs w:val="24"/>
              </w:rPr>
              <w:t xml:space="preserve">Molecular Interventions </w:t>
            </w:r>
            <w:proofErr w:type="spellStart"/>
            <w:r w:rsidRPr="00F56661">
              <w:rPr>
                <w:rFonts w:eastAsia="Times New Roman"/>
                <w:sz w:val="24"/>
                <w:szCs w:val="24"/>
              </w:rPr>
              <w:t>Vol</w:t>
            </w:r>
            <w:proofErr w:type="spellEnd"/>
            <w:r w:rsidRPr="00F56661">
              <w:rPr>
                <w:rFonts w:eastAsia="Times New Roman"/>
                <w:sz w:val="24"/>
                <w:szCs w:val="24"/>
              </w:rPr>
              <w:t xml:space="preserve"> 2 </w:t>
            </w:r>
            <w:proofErr w:type="spellStart"/>
            <w:r w:rsidRPr="00F56661">
              <w:rPr>
                <w:rFonts w:eastAsia="Times New Roman"/>
                <w:sz w:val="24"/>
                <w:szCs w:val="24"/>
              </w:rPr>
              <w:t>Iss</w:t>
            </w:r>
            <w:proofErr w:type="spellEnd"/>
            <w:r w:rsidRPr="00F56661">
              <w:rPr>
                <w:rFonts w:eastAsia="Times New Roman"/>
                <w:sz w:val="24"/>
                <w:szCs w:val="24"/>
              </w:rPr>
              <w:t>. 3 (June 2002): 124-127.</w:t>
            </w:r>
          </w:p>
          <w:p w:rsidR="002F754E" w:rsidRDefault="002F754E" w:rsidP="007B50EC"/>
        </w:tc>
        <w:tc>
          <w:tcPr>
            <w:tcW w:w="2944" w:type="dxa"/>
          </w:tcPr>
          <w:p w:rsidR="00380B6E" w:rsidRDefault="00F91ABE" w:rsidP="007B50EC">
            <w:pPr>
              <w:jc w:val="right"/>
            </w:pPr>
            <w:r>
              <w:t>Jan 11</w:t>
            </w:r>
          </w:p>
          <w:p w:rsidR="00700575" w:rsidRDefault="00700575" w:rsidP="007B50EC">
            <w:r>
              <w:t xml:space="preserve">Food/Drug 1: </w:t>
            </w:r>
          </w:p>
          <w:p w:rsidR="007B50EC" w:rsidRDefault="00700575" w:rsidP="007B50EC">
            <w:r>
              <w:t>Patent Medicine</w:t>
            </w:r>
          </w:p>
          <w:p w:rsidR="002F754E" w:rsidRPr="002F754E" w:rsidRDefault="002F754E" w:rsidP="007B50EC"/>
          <w:p w:rsidR="002F754E" w:rsidRPr="00700575" w:rsidRDefault="00700575" w:rsidP="002A6620">
            <w:r>
              <w:t xml:space="preserve">Cohen, Michael M., “Jim Crow’s Drug War: Race, Coca-Cola, and the Southern Origins of Drug Prohibition,” </w:t>
            </w:r>
            <w:r>
              <w:rPr>
                <w:i/>
              </w:rPr>
              <w:t xml:space="preserve">Southern Cultures </w:t>
            </w:r>
            <w:r w:rsidR="00FC6C0C">
              <w:t>12.3 (Fall 2006): 55-79</w:t>
            </w:r>
            <w:r>
              <w:t>.</w:t>
            </w:r>
          </w:p>
        </w:tc>
        <w:tc>
          <w:tcPr>
            <w:tcW w:w="2945" w:type="dxa"/>
          </w:tcPr>
          <w:p w:rsidR="00380B6E" w:rsidRDefault="00F91ABE" w:rsidP="007B50EC">
            <w:pPr>
              <w:jc w:val="right"/>
            </w:pPr>
            <w:r>
              <w:t>Jan 13</w:t>
            </w:r>
          </w:p>
          <w:p w:rsidR="007B50EC" w:rsidRDefault="007B50EC" w:rsidP="007B50EC">
            <w:r>
              <w:t>Food</w:t>
            </w:r>
            <w:r w:rsidR="00700575">
              <w:t>/</w:t>
            </w:r>
            <w:r w:rsidR="002A6620">
              <w:t>Drug</w:t>
            </w:r>
            <w:r w:rsidR="00700575">
              <w:t xml:space="preserve"> 2:</w:t>
            </w:r>
          </w:p>
          <w:p w:rsidR="00700575" w:rsidRDefault="009D547F" w:rsidP="007B50EC">
            <w:r>
              <w:t xml:space="preserve">Foods as </w:t>
            </w:r>
            <w:r w:rsidR="004800DB">
              <w:t>Pharmaceuticals</w:t>
            </w:r>
          </w:p>
          <w:p w:rsidR="002A6620" w:rsidRDefault="002A6620" w:rsidP="007B50EC"/>
          <w:p w:rsidR="002A6620" w:rsidRDefault="002A6620" w:rsidP="002A6620">
            <w:pPr>
              <w:rPr>
                <w:rFonts w:cs="Times New Roman"/>
              </w:rPr>
            </w:pPr>
            <w:proofErr w:type="spellStart"/>
            <w:r w:rsidRPr="002F754E">
              <w:rPr>
                <w:rFonts w:cs="Times New Roman"/>
              </w:rPr>
              <w:t>Pollan</w:t>
            </w:r>
            <w:proofErr w:type="spellEnd"/>
            <w:r w:rsidRPr="002F754E">
              <w:rPr>
                <w:rFonts w:cs="Times New Roman"/>
              </w:rPr>
              <w:t xml:space="preserve">, Michael. “Unhappy Meals,” </w:t>
            </w:r>
            <w:r w:rsidRPr="002F754E">
              <w:rPr>
                <w:rFonts w:cs="Times New Roman"/>
                <w:i/>
              </w:rPr>
              <w:t>New York Times Magazine</w:t>
            </w:r>
            <w:r w:rsidRPr="002F754E">
              <w:rPr>
                <w:rFonts w:cs="Times New Roman"/>
              </w:rPr>
              <w:t xml:space="preserve"> January 28, 2007.</w:t>
            </w:r>
          </w:p>
          <w:p w:rsidR="002A6620" w:rsidRDefault="002A6620" w:rsidP="002A6620">
            <w:pPr>
              <w:rPr>
                <w:rFonts w:cs="Times New Roman"/>
              </w:rPr>
            </w:pPr>
          </w:p>
          <w:p w:rsidR="002A6620" w:rsidRDefault="002A6620" w:rsidP="002A6620">
            <w:r>
              <w:t xml:space="preserve">Weiner, Kate. “Configuring users of cholesterol lowering foods: A review of biomedical discourse,” </w:t>
            </w:r>
            <w:r w:rsidRPr="002A6620">
              <w:rPr>
                <w:i/>
              </w:rPr>
              <w:t>Social Science &amp; Medicine</w:t>
            </w:r>
            <w:r>
              <w:rPr>
                <w:i/>
              </w:rPr>
              <w:t xml:space="preserve">, </w:t>
            </w:r>
            <w:r>
              <w:t>Volume 71, Issue 9, November 2010, Pages 1541-1547.</w:t>
            </w:r>
          </w:p>
        </w:tc>
      </w:tr>
      <w:tr w:rsidR="00380B6E" w:rsidTr="00052673">
        <w:trPr>
          <w:cantSplit/>
        </w:trPr>
        <w:tc>
          <w:tcPr>
            <w:tcW w:w="743" w:type="dxa"/>
          </w:tcPr>
          <w:p w:rsidR="00380B6E" w:rsidRPr="00ED78F1" w:rsidRDefault="00380B6E" w:rsidP="007B50EC">
            <w:pPr>
              <w:jc w:val="center"/>
              <w:rPr>
                <w:b/>
              </w:rPr>
            </w:pPr>
            <w:r w:rsidRPr="00ED78F1">
              <w:rPr>
                <w:b/>
              </w:rPr>
              <w:t>2</w:t>
            </w:r>
          </w:p>
        </w:tc>
        <w:tc>
          <w:tcPr>
            <w:tcW w:w="2944" w:type="dxa"/>
          </w:tcPr>
          <w:p w:rsidR="00380B6E" w:rsidRDefault="00F91ABE" w:rsidP="007B50EC">
            <w:pPr>
              <w:jc w:val="right"/>
            </w:pPr>
            <w:r>
              <w:t>Jan 16</w:t>
            </w:r>
          </w:p>
          <w:p w:rsidR="00380B6E" w:rsidRDefault="00380B6E" w:rsidP="007B50EC">
            <w:r>
              <w:t>MLK Day – No Class</w:t>
            </w:r>
          </w:p>
        </w:tc>
        <w:tc>
          <w:tcPr>
            <w:tcW w:w="2944" w:type="dxa"/>
          </w:tcPr>
          <w:p w:rsidR="00380B6E" w:rsidRDefault="00F91ABE" w:rsidP="007B50EC">
            <w:pPr>
              <w:jc w:val="right"/>
            </w:pPr>
            <w:r>
              <w:t>Jan 18</w:t>
            </w:r>
          </w:p>
          <w:p w:rsidR="007B50EC" w:rsidRDefault="00700575" w:rsidP="007B50EC">
            <w:r>
              <w:t>Anthropology of</w:t>
            </w:r>
            <w:r w:rsidR="00905E74">
              <w:t xml:space="preserve"> </w:t>
            </w:r>
            <w:r w:rsidR="007B50EC">
              <w:t>Drugs</w:t>
            </w:r>
          </w:p>
          <w:p w:rsidR="007B50EC" w:rsidRDefault="007B50EC" w:rsidP="007B50EC"/>
          <w:p w:rsidR="007B50EC" w:rsidRDefault="002A6620" w:rsidP="00905E74">
            <w:r w:rsidRPr="00F56661">
              <w:rPr>
                <w:rFonts w:eastAsia="Times New Roman"/>
                <w:sz w:val="24"/>
                <w:szCs w:val="24"/>
              </w:rPr>
              <w:t xml:space="preserve">Van </w:t>
            </w:r>
            <w:proofErr w:type="spellStart"/>
            <w:r w:rsidRPr="00F56661">
              <w:rPr>
                <w:rFonts w:eastAsia="Times New Roman"/>
                <w:sz w:val="24"/>
                <w:szCs w:val="24"/>
              </w:rPr>
              <w:t>der</w:t>
            </w:r>
            <w:proofErr w:type="spellEnd"/>
            <w:r w:rsidRPr="00F56661">
              <w:rPr>
                <w:rFonts w:eastAsia="Times New Roman"/>
                <w:sz w:val="24"/>
                <w:szCs w:val="24"/>
              </w:rPr>
              <w:t xml:space="preserve"> </w:t>
            </w:r>
            <w:proofErr w:type="spellStart"/>
            <w:r w:rsidRPr="00F56661">
              <w:rPr>
                <w:rFonts w:eastAsia="Times New Roman"/>
                <w:sz w:val="24"/>
                <w:szCs w:val="24"/>
              </w:rPr>
              <w:t>Geest</w:t>
            </w:r>
            <w:proofErr w:type="spellEnd"/>
            <w:r w:rsidRPr="00F56661">
              <w:rPr>
                <w:rFonts w:eastAsia="Times New Roman"/>
                <w:sz w:val="24"/>
                <w:szCs w:val="24"/>
              </w:rPr>
              <w:t xml:space="preserve"> et. al., “The Anthropology of Pharmaceuticals,” </w:t>
            </w:r>
            <w:r w:rsidRPr="00F56661">
              <w:rPr>
                <w:rFonts w:eastAsia="Times New Roman"/>
                <w:i/>
                <w:iCs/>
                <w:sz w:val="24"/>
                <w:szCs w:val="24"/>
              </w:rPr>
              <w:t>Annual Review of Anthropology</w:t>
            </w:r>
            <w:r w:rsidRPr="00F56661">
              <w:rPr>
                <w:rFonts w:eastAsia="Times New Roman"/>
                <w:sz w:val="24"/>
                <w:szCs w:val="24"/>
              </w:rPr>
              <w:t>, Vol. 25 (1996): 153-178.</w:t>
            </w:r>
          </w:p>
        </w:tc>
        <w:tc>
          <w:tcPr>
            <w:tcW w:w="2945" w:type="dxa"/>
          </w:tcPr>
          <w:p w:rsidR="00380B6E" w:rsidRDefault="00F91ABE" w:rsidP="007B50EC">
            <w:pPr>
              <w:jc w:val="right"/>
            </w:pPr>
            <w:r>
              <w:t>Jan 20</w:t>
            </w:r>
          </w:p>
          <w:p w:rsidR="005B7347" w:rsidRDefault="005B7347" w:rsidP="005B7347">
            <w:proofErr w:type="spellStart"/>
            <w:r>
              <w:t>Pharmakon</w:t>
            </w:r>
            <w:proofErr w:type="spellEnd"/>
          </w:p>
          <w:p w:rsidR="005B7347" w:rsidRDefault="005B7347" w:rsidP="005B7347"/>
          <w:p w:rsidR="007B50EC" w:rsidRPr="00487E30" w:rsidRDefault="005B7347" w:rsidP="00881AF0">
            <w:proofErr w:type="spellStart"/>
            <w:r w:rsidRPr="002A6620">
              <w:t>Persson</w:t>
            </w:r>
            <w:proofErr w:type="spellEnd"/>
            <w:r w:rsidRPr="002A6620">
              <w:t xml:space="preserve">, </w:t>
            </w:r>
            <w:proofErr w:type="spellStart"/>
            <w:r w:rsidRPr="002A6620">
              <w:t>Asha</w:t>
            </w:r>
            <w:proofErr w:type="spellEnd"/>
            <w:r w:rsidRPr="002A6620">
              <w:t xml:space="preserve">. “Incorporating </w:t>
            </w:r>
            <w:proofErr w:type="spellStart"/>
            <w:r w:rsidRPr="002A6620">
              <w:t>Pharmakon</w:t>
            </w:r>
            <w:proofErr w:type="spellEnd"/>
            <w:r w:rsidRPr="002A6620">
              <w:t xml:space="preserve">: HIV, medicine and body shape change,” </w:t>
            </w:r>
            <w:r w:rsidRPr="002A6620">
              <w:rPr>
                <w:i/>
              </w:rPr>
              <w:t>Body and Society</w:t>
            </w:r>
            <w:r w:rsidRPr="002A6620">
              <w:t xml:space="preserve"> 10 (2004): 45-67.</w:t>
            </w:r>
          </w:p>
        </w:tc>
      </w:tr>
      <w:tr w:rsidR="00380B6E" w:rsidTr="00052673">
        <w:trPr>
          <w:cantSplit/>
        </w:trPr>
        <w:tc>
          <w:tcPr>
            <w:tcW w:w="743" w:type="dxa"/>
          </w:tcPr>
          <w:p w:rsidR="00380B6E" w:rsidRPr="00ED78F1" w:rsidRDefault="00380B6E" w:rsidP="007B50EC">
            <w:pPr>
              <w:jc w:val="center"/>
              <w:rPr>
                <w:b/>
              </w:rPr>
            </w:pPr>
            <w:r>
              <w:rPr>
                <w:b/>
              </w:rPr>
              <w:t>3</w:t>
            </w:r>
          </w:p>
        </w:tc>
        <w:tc>
          <w:tcPr>
            <w:tcW w:w="2944" w:type="dxa"/>
          </w:tcPr>
          <w:p w:rsidR="00380B6E" w:rsidRDefault="00F91ABE" w:rsidP="007B50EC">
            <w:pPr>
              <w:jc w:val="right"/>
            </w:pPr>
            <w:r>
              <w:t>Jan 23</w:t>
            </w:r>
          </w:p>
          <w:p w:rsidR="005B7347" w:rsidRDefault="005B7347" w:rsidP="005B7347">
            <w:r>
              <w:t>Blockbuster Drugs</w:t>
            </w:r>
          </w:p>
          <w:p w:rsidR="005B7347" w:rsidRDefault="005B7347" w:rsidP="005B7347"/>
          <w:p w:rsidR="005B7347" w:rsidRDefault="005B7347" w:rsidP="005B7347">
            <w:r>
              <w:t xml:space="preserve">Greene, Jeremy, “Releasing the Flood Waters: </w:t>
            </w:r>
            <w:proofErr w:type="spellStart"/>
            <w:r>
              <w:t>Diuril</w:t>
            </w:r>
            <w:proofErr w:type="spellEnd"/>
            <w:r>
              <w:t xml:space="preserve"> and the Reshaping of Hypertension” </w:t>
            </w:r>
            <w:r>
              <w:rPr>
                <w:i/>
              </w:rPr>
              <w:t xml:space="preserve">Bulletin of the History of Medicine </w:t>
            </w:r>
            <w:r>
              <w:t>79 (2005): 749-794.</w:t>
            </w:r>
          </w:p>
        </w:tc>
        <w:tc>
          <w:tcPr>
            <w:tcW w:w="2944" w:type="dxa"/>
          </w:tcPr>
          <w:p w:rsidR="00380B6E" w:rsidRDefault="00F91ABE" w:rsidP="007B50EC">
            <w:pPr>
              <w:jc w:val="right"/>
            </w:pPr>
            <w:r>
              <w:t>Jan 25</w:t>
            </w:r>
          </w:p>
          <w:p w:rsidR="002A6620" w:rsidRDefault="0009733E" w:rsidP="002A6620">
            <w:r>
              <w:t>Marketing Gender and Drugs</w:t>
            </w:r>
          </w:p>
          <w:p w:rsidR="002A6620" w:rsidRDefault="002A6620" w:rsidP="002A6620"/>
          <w:p w:rsidR="002A6620" w:rsidRDefault="002A6620" w:rsidP="002A6620">
            <w:proofErr w:type="spellStart"/>
            <w:r w:rsidRPr="002A6620">
              <w:t>Mamo</w:t>
            </w:r>
            <w:proofErr w:type="spellEnd"/>
            <w:r w:rsidRPr="002A6620">
              <w:t xml:space="preserve">, Laura, and Jennifer Fishman. “Potency in All the Right Places: Viagra as Technology of the Gendered Body,” </w:t>
            </w:r>
            <w:r w:rsidRPr="002A6620">
              <w:rPr>
                <w:i/>
              </w:rPr>
              <w:t>Body and Society</w:t>
            </w:r>
            <w:r w:rsidRPr="002A6620">
              <w:t xml:space="preserve"> 7.4(2001): 13-35.</w:t>
            </w:r>
          </w:p>
        </w:tc>
        <w:tc>
          <w:tcPr>
            <w:tcW w:w="2945" w:type="dxa"/>
          </w:tcPr>
          <w:p w:rsidR="00380B6E" w:rsidRDefault="00F91ABE" w:rsidP="007B50EC">
            <w:pPr>
              <w:jc w:val="right"/>
            </w:pPr>
            <w:r>
              <w:t>Jan 27</w:t>
            </w:r>
          </w:p>
          <w:p w:rsidR="0009733E" w:rsidRDefault="00F13FCA" w:rsidP="0009733E">
            <w:r>
              <w:t>Il/licit drugs</w:t>
            </w:r>
          </w:p>
          <w:p w:rsidR="00F13FCA" w:rsidRDefault="00F13FCA" w:rsidP="0009733E"/>
          <w:p w:rsidR="00F13FCA" w:rsidRDefault="00F13FCA" w:rsidP="00F13FCA">
            <w:proofErr w:type="spellStart"/>
            <w:r>
              <w:t>Chapkis</w:t>
            </w:r>
            <w:proofErr w:type="spellEnd"/>
            <w:r>
              <w:t xml:space="preserve">, Wendy, “Cannabis, Consciousness and Healing,” </w:t>
            </w:r>
            <w:r w:rsidRPr="00865494">
              <w:rPr>
                <w:i/>
              </w:rPr>
              <w:t>Contemporary Justice Review</w:t>
            </w:r>
          </w:p>
          <w:p w:rsidR="00F13FCA" w:rsidRDefault="00F13FCA" w:rsidP="0009733E">
            <w:r>
              <w:t>10.4 (December 2007): pp. 443–460.</w:t>
            </w:r>
          </w:p>
        </w:tc>
      </w:tr>
    </w:tbl>
    <w:p w:rsidR="00052673" w:rsidRDefault="00052673">
      <w:r>
        <w:br w:type="page"/>
      </w:r>
    </w:p>
    <w:tbl>
      <w:tblPr>
        <w:tblStyle w:val="TableGrid"/>
        <w:tblW w:w="0" w:type="auto"/>
        <w:tblLook w:val="04A0"/>
      </w:tblPr>
      <w:tblGrid>
        <w:gridCol w:w="332"/>
        <w:gridCol w:w="3081"/>
        <w:gridCol w:w="3081"/>
        <w:gridCol w:w="3082"/>
      </w:tblGrid>
      <w:tr w:rsidR="002F754E" w:rsidTr="00052673">
        <w:trPr>
          <w:cantSplit/>
        </w:trPr>
        <w:tc>
          <w:tcPr>
            <w:tcW w:w="9576" w:type="dxa"/>
            <w:gridSpan w:val="4"/>
          </w:tcPr>
          <w:p w:rsidR="002F754E" w:rsidRPr="002F754E" w:rsidRDefault="0080286C" w:rsidP="002F754E">
            <w:pPr>
              <w:rPr>
                <w:b/>
              </w:rPr>
            </w:pPr>
            <w:r>
              <w:lastRenderedPageBreak/>
              <w:br w:type="page"/>
            </w:r>
            <w:r w:rsidR="002F754E" w:rsidRPr="002F754E">
              <w:rPr>
                <w:b/>
              </w:rPr>
              <w:t xml:space="preserve">UNIT 2: </w:t>
            </w:r>
            <w:r w:rsidR="002F754E">
              <w:rPr>
                <w:b/>
              </w:rPr>
              <w:t>DIAGNOSTICS</w:t>
            </w:r>
          </w:p>
        </w:tc>
      </w:tr>
      <w:tr w:rsidR="00380B6E" w:rsidTr="00052673">
        <w:trPr>
          <w:cantSplit/>
        </w:trPr>
        <w:tc>
          <w:tcPr>
            <w:tcW w:w="0" w:type="auto"/>
          </w:tcPr>
          <w:p w:rsidR="00380B6E" w:rsidRPr="00ED78F1" w:rsidRDefault="00380B6E" w:rsidP="007B50EC">
            <w:pPr>
              <w:jc w:val="center"/>
              <w:rPr>
                <w:b/>
              </w:rPr>
            </w:pPr>
            <w:r>
              <w:rPr>
                <w:b/>
              </w:rPr>
              <w:t>4</w:t>
            </w:r>
          </w:p>
        </w:tc>
        <w:tc>
          <w:tcPr>
            <w:tcW w:w="3040" w:type="dxa"/>
          </w:tcPr>
          <w:p w:rsidR="00380B6E" w:rsidRDefault="00F91ABE" w:rsidP="007B50EC">
            <w:pPr>
              <w:jc w:val="right"/>
            </w:pPr>
            <w:r>
              <w:t>Jan 30</w:t>
            </w:r>
          </w:p>
          <w:p w:rsidR="00E1093A" w:rsidRDefault="00E1093A" w:rsidP="00905E74"/>
          <w:p w:rsidR="00905E74" w:rsidRDefault="00905E74" w:rsidP="00905E74">
            <w:r>
              <w:t>Unit 1 Assignment Due</w:t>
            </w:r>
            <w:r w:rsidR="00E1093A">
              <w:t>,</w:t>
            </w:r>
            <w:r>
              <w:t xml:space="preserve"> </w:t>
            </w:r>
            <w:r w:rsidR="00E1093A">
              <w:t>Noon</w:t>
            </w:r>
          </w:p>
          <w:p w:rsidR="00905E74" w:rsidRDefault="00905E74" w:rsidP="00905E74"/>
          <w:p w:rsidR="00905E74" w:rsidRDefault="00905E74" w:rsidP="00905E74">
            <w:r>
              <w:t>Screening replaces class:</w:t>
            </w:r>
          </w:p>
          <w:p w:rsidR="00905E74" w:rsidRDefault="00E7521E" w:rsidP="00905E74">
            <w:r>
              <w:t>7pm</w:t>
            </w:r>
          </w:p>
          <w:p w:rsidR="00096F66" w:rsidRDefault="00096F66" w:rsidP="00905E74">
            <w:r>
              <w:t xml:space="preserve">“In the Family” </w:t>
            </w:r>
          </w:p>
          <w:p w:rsidR="00905E74" w:rsidRDefault="00905E74" w:rsidP="00905E74"/>
        </w:tc>
        <w:tc>
          <w:tcPr>
            <w:tcW w:w="3040" w:type="dxa"/>
          </w:tcPr>
          <w:p w:rsidR="00380B6E" w:rsidRDefault="00F91ABE" w:rsidP="007B50EC">
            <w:pPr>
              <w:jc w:val="right"/>
            </w:pPr>
            <w:r>
              <w:t>Feb 1</w:t>
            </w:r>
          </w:p>
          <w:p w:rsidR="007E2CAE" w:rsidRDefault="007E2CAE" w:rsidP="00905E74">
            <w:r>
              <w:t>Diagnosis and Control</w:t>
            </w:r>
          </w:p>
          <w:p w:rsidR="007E2CAE" w:rsidRDefault="007E2CAE" w:rsidP="00905E74"/>
          <w:p w:rsidR="00905E74" w:rsidRDefault="007E2CAE" w:rsidP="00905E74">
            <w:proofErr w:type="spellStart"/>
            <w:r w:rsidRPr="007E2CAE">
              <w:t>Nelkin</w:t>
            </w:r>
            <w:proofErr w:type="spellEnd"/>
            <w:r w:rsidRPr="007E2CAE">
              <w:t xml:space="preserve">, Dorothy, and Laurence </w:t>
            </w:r>
            <w:proofErr w:type="spellStart"/>
            <w:r w:rsidRPr="007E2CAE">
              <w:t>Tankredi</w:t>
            </w:r>
            <w:proofErr w:type="spellEnd"/>
            <w:r w:rsidRPr="007E2CAE">
              <w:t xml:space="preserve">, “The New Diagnostics” and “Defining Diagnosis,” from </w:t>
            </w:r>
            <w:r w:rsidRPr="007E2CAE">
              <w:rPr>
                <w:i/>
              </w:rPr>
              <w:t>Dangerous Diagnostics: The Social Power of Biological Information</w:t>
            </w:r>
            <w:r w:rsidRPr="007E2CAE">
              <w:t>, New York: Basic Books, 1989, pp. 3-36.</w:t>
            </w:r>
          </w:p>
        </w:tc>
        <w:tc>
          <w:tcPr>
            <w:tcW w:w="3041" w:type="dxa"/>
          </w:tcPr>
          <w:p w:rsidR="00380B6E" w:rsidRDefault="00F91ABE" w:rsidP="007B50EC">
            <w:pPr>
              <w:jc w:val="right"/>
            </w:pPr>
            <w:r>
              <w:t>Feb 3</w:t>
            </w:r>
          </w:p>
          <w:p w:rsidR="00905E74" w:rsidRDefault="00F13FCA" w:rsidP="00905E74">
            <w:r>
              <w:t>Consuming new diagnostics</w:t>
            </w:r>
          </w:p>
          <w:p w:rsidR="007E2CAE" w:rsidRDefault="007E2CAE" w:rsidP="00905E74"/>
          <w:p w:rsidR="007E2CAE" w:rsidRDefault="001C1DFB" w:rsidP="00905E74">
            <w:r w:rsidRPr="001C1DFB">
              <w:t xml:space="preserve">Nikolas Rose "Introduction," </w:t>
            </w:r>
            <w:r w:rsidRPr="001C1DFB">
              <w:rPr>
                <w:i/>
              </w:rPr>
              <w:t>Politics of Life Itself</w:t>
            </w:r>
            <w:r w:rsidRPr="001C1DFB">
              <w:t xml:space="preserve"> (Princeton University Press 2006), pp. 1-7.</w:t>
            </w:r>
          </w:p>
        </w:tc>
      </w:tr>
      <w:tr w:rsidR="00380B6E" w:rsidTr="00052673">
        <w:trPr>
          <w:cantSplit/>
        </w:trPr>
        <w:tc>
          <w:tcPr>
            <w:tcW w:w="0" w:type="auto"/>
          </w:tcPr>
          <w:p w:rsidR="00380B6E" w:rsidRPr="00ED78F1" w:rsidRDefault="00380B6E" w:rsidP="007B50EC">
            <w:pPr>
              <w:jc w:val="center"/>
              <w:rPr>
                <w:b/>
              </w:rPr>
            </w:pPr>
            <w:r>
              <w:rPr>
                <w:b/>
              </w:rPr>
              <w:t>5</w:t>
            </w:r>
          </w:p>
        </w:tc>
        <w:tc>
          <w:tcPr>
            <w:tcW w:w="3040" w:type="dxa"/>
          </w:tcPr>
          <w:p w:rsidR="00380B6E" w:rsidRDefault="00F91ABE" w:rsidP="007B50EC">
            <w:pPr>
              <w:jc w:val="right"/>
            </w:pPr>
            <w:r>
              <w:t>Feb 6</w:t>
            </w:r>
          </w:p>
          <w:p w:rsidR="001C1DFB" w:rsidRDefault="001C1DFB" w:rsidP="001C1DFB">
            <w:r>
              <w:t>Monitoring</w:t>
            </w:r>
          </w:p>
          <w:p w:rsidR="001C1DFB" w:rsidRDefault="001C1DFB" w:rsidP="001C1DFB"/>
          <w:p w:rsidR="007E2CAE" w:rsidRDefault="001C1DFB" w:rsidP="001C1DFB">
            <w:r w:rsidRPr="001C1DFB">
              <w:t xml:space="preserve">Cartwright, Elizabeth. “The Logic of Heartbeats.” In </w:t>
            </w:r>
            <w:proofErr w:type="spellStart"/>
            <w:r w:rsidRPr="001C1DFB">
              <w:rPr>
                <w:i/>
              </w:rPr>
              <w:t>Cyborg</w:t>
            </w:r>
            <w:proofErr w:type="spellEnd"/>
            <w:r w:rsidRPr="001C1DFB">
              <w:rPr>
                <w:i/>
              </w:rPr>
              <w:t xml:space="preserve"> Babies: From </w:t>
            </w:r>
            <w:proofErr w:type="spellStart"/>
            <w:r w:rsidRPr="001C1DFB">
              <w:rPr>
                <w:i/>
              </w:rPr>
              <w:t>Technosex</w:t>
            </w:r>
            <w:proofErr w:type="spellEnd"/>
            <w:r w:rsidRPr="001C1DFB">
              <w:rPr>
                <w:i/>
              </w:rPr>
              <w:t xml:space="preserve"> to </w:t>
            </w:r>
            <w:proofErr w:type="spellStart"/>
            <w:r w:rsidRPr="001C1DFB">
              <w:rPr>
                <w:i/>
              </w:rPr>
              <w:t>Technotots</w:t>
            </w:r>
            <w:proofErr w:type="spellEnd"/>
            <w:r w:rsidRPr="001C1DFB">
              <w:rPr>
                <w:i/>
              </w:rPr>
              <w:t>,</w:t>
            </w:r>
            <w:r w:rsidRPr="001C1DFB">
              <w:t xml:space="preserve"> Edited by Robbie Davis-Floyd and Joseph </w:t>
            </w:r>
            <w:proofErr w:type="spellStart"/>
            <w:r w:rsidRPr="001C1DFB">
              <w:t>Dumit</w:t>
            </w:r>
            <w:proofErr w:type="spellEnd"/>
            <w:r w:rsidRPr="001C1DFB">
              <w:t xml:space="preserve">, New York: </w:t>
            </w:r>
            <w:proofErr w:type="spellStart"/>
            <w:r w:rsidRPr="001C1DFB">
              <w:t>Routledge</w:t>
            </w:r>
            <w:proofErr w:type="spellEnd"/>
            <w:r w:rsidRPr="001C1DFB">
              <w:t>, 1998.</w:t>
            </w:r>
          </w:p>
        </w:tc>
        <w:tc>
          <w:tcPr>
            <w:tcW w:w="3040" w:type="dxa"/>
          </w:tcPr>
          <w:p w:rsidR="00380B6E" w:rsidRDefault="00F91ABE" w:rsidP="007B50EC">
            <w:pPr>
              <w:jc w:val="right"/>
            </w:pPr>
            <w:r>
              <w:t>Feb 8</w:t>
            </w:r>
          </w:p>
          <w:p w:rsidR="007E2CAE" w:rsidRDefault="007E2CAE" w:rsidP="007E2CAE">
            <w:r>
              <w:t>Diagnosing Relatedness I</w:t>
            </w:r>
          </w:p>
          <w:p w:rsidR="007E2CAE" w:rsidRDefault="007E2CAE" w:rsidP="007E2CAE"/>
          <w:p w:rsidR="007E2CAE" w:rsidRDefault="007E2CAE" w:rsidP="007E2CAE">
            <w:r w:rsidRPr="00905E74">
              <w:t xml:space="preserve">Nelson, </w:t>
            </w:r>
            <w:proofErr w:type="spellStart"/>
            <w:r w:rsidRPr="00905E74">
              <w:t>Alondra</w:t>
            </w:r>
            <w:proofErr w:type="spellEnd"/>
            <w:r w:rsidRPr="00905E74">
              <w:t xml:space="preserve">. “Bio Science: Genetic Genealogy Testing and the Pursuit of African Ancestry,” </w:t>
            </w:r>
            <w:r w:rsidRPr="00905E74">
              <w:rPr>
                <w:i/>
              </w:rPr>
              <w:t xml:space="preserve">Social Studies of Science </w:t>
            </w:r>
            <w:r w:rsidRPr="00905E74">
              <w:t>38.5 (October 2008): 759–783.</w:t>
            </w:r>
          </w:p>
        </w:tc>
        <w:tc>
          <w:tcPr>
            <w:tcW w:w="3041" w:type="dxa"/>
          </w:tcPr>
          <w:p w:rsidR="00380B6E" w:rsidRDefault="00F91ABE" w:rsidP="007B50EC">
            <w:pPr>
              <w:jc w:val="right"/>
            </w:pPr>
            <w:r>
              <w:t>Feb 10</w:t>
            </w:r>
          </w:p>
          <w:p w:rsidR="007E2CAE" w:rsidRDefault="007E2CAE" w:rsidP="007E2CAE">
            <w:r>
              <w:t>Diagnosing Relatedness II</w:t>
            </w:r>
          </w:p>
          <w:p w:rsidR="007E2CAE" w:rsidRDefault="007E2CAE" w:rsidP="007E2CAE"/>
          <w:p w:rsidR="007E2CAE" w:rsidRDefault="007E2CAE" w:rsidP="007E2CAE">
            <w:r w:rsidRPr="007E2CAE">
              <w:t xml:space="preserve">Thompson, </w:t>
            </w:r>
            <w:proofErr w:type="spellStart"/>
            <w:r w:rsidRPr="007E2CAE">
              <w:t>Charis</w:t>
            </w:r>
            <w:proofErr w:type="spellEnd"/>
            <w:r w:rsidRPr="007E2CAE">
              <w:t xml:space="preserve">. “Strategic Naturalizing: Kinship in an Infertility Clinic,” in Sarah Franklin and Susan McKinnon, eds., </w:t>
            </w:r>
            <w:r w:rsidRPr="007E2CAE">
              <w:rPr>
                <w:i/>
              </w:rPr>
              <w:t>Relative Values: Refiguring Kinship Studies,</w:t>
            </w:r>
            <w:r w:rsidRPr="007E2CAE">
              <w:t xml:space="preserve"> Duke University Press 2001, pp. 175-202.</w:t>
            </w:r>
          </w:p>
        </w:tc>
      </w:tr>
      <w:tr w:rsidR="00380B6E" w:rsidTr="00052673">
        <w:trPr>
          <w:cantSplit/>
        </w:trPr>
        <w:tc>
          <w:tcPr>
            <w:tcW w:w="0" w:type="auto"/>
          </w:tcPr>
          <w:p w:rsidR="00380B6E" w:rsidRPr="00ED78F1" w:rsidRDefault="00380B6E" w:rsidP="007B50EC">
            <w:pPr>
              <w:jc w:val="center"/>
              <w:rPr>
                <w:b/>
              </w:rPr>
            </w:pPr>
            <w:r>
              <w:rPr>
                <w:b/>
              </w:rPr>
              <w:t>6</w:t>
            </w:r>
          </w:p>
        </w:tc>
        <w:tc>
          <w:tcPr>
            <w:tcW w:w="3040" w:type="dxa"/>
          </w:tcPr>
          <w:p w:rsidR="00380B6E" w:rsidRDefault="00F91ABE" w:rsidP="007B50EC">
            <w:pPr>
              <w:jc w:val="right"/>
            </w:pPr>
            <w:r>
              <w:t>Feb 13</w:t>
            </w:r>
          </w:p>
          <w:p w:rsidR="001C1DFB" w:rsidRDefault="001C1DFB" w:rsidP="001C1DFB">
            <w:r>
              <w:t>Diagnosing Sex</w:t>
            </w:r>
          </w:p>
          <w:p w:rsidR="001C1DFB" w:rsidRDefault="001C1DFB" w:rsidP="001C1DFB"/>
          <w:p w:rsidR="001C1DFB" w:rsidRDefault="001C1DFB" w:rsidP="001C1DFB">
            <w:proofErr w:type="spellStart"/>
            <w:r>
              <w:t>Fausto</w:t>
            </w:r>
            <w:proofErr w:type="spellEnd"/>
            <w:r>
              <w:t>-Sterling, Anne. (2000).</w:t>
            </w:r>
            <w:r w:rsidRPr="002B0E6D">
              <w:t xml:space="preserve"> “Dueling Dualisms,” from </w:t>
            </w:r>
            <w:r w:rsidRPr="002B0E6D">
              <w:rPr>
                <w:i/>
              </w:rPr>
              <w:t>Sexing the Body: Gender Politics and the Construction of Sexuality</w:t>
            </w:r>
            <w:r>
              <w:t xml:space="preserve"> (</w:t>
            </w:r>
            <w:r w:rsidRPr="002B0E6D">
              <w:t>pp. 1-29</w:t>
            </w:r>
            <w:r>
              <w:t>). Boston: Basic Books</w:t>
            </w:r>
            <w:r w:rsidRPr="002B0E6D">
              <w:t xml:space="preserve">. </w:t>
            </w:r>
          </w:p>
        </w:tc>
        <w:tc>
          <w:tcPr>
            <w:tcW w:w="3040" w:type="dxa"/>
          </w:tcPr>
          <w:p w:rsidR="00380B6E" w:rsidRDefault="00F91ABE" w:rsidP="007B50EC">
            <w:pPr>
              <w:jc w:val="right"/>
            </w:pPr>
            <w:r>
              <w:t>Feb 15</w:t>
            </w:r>
          </w:p>
          <w:p w:rsidR="001C1DFB" w:rsidRDefault="00E1093A" w:rsidP="001C1DFB">
            <w:r>
              <w:t>Racialization of Diagnosis</w:t>
            </w:r>
          </w:p>
          <w:p w:rsidR="001C1DFB" w:rsidRDefault="001C1DFB" w:rsidP="001C1DFB"/>
          <w:p w:rsidR="001C1DFB" w:rsidRDefault="001C1DFB" w:rsidP="001C1DFB">
            <w:proofErr w:type="spellStart"/>
            <w:r w:rsidRPr="001C1DFB">
              <w:t>Metzl</w:t>
            </w:r>
            <w:proofErr w:type="spellEnd"/>
            <w:r w:rsidRPr="001C1DFB">
              <w:t xml:space="preserve">, Jonathan, “A </w:t>
            </w:r>
            <w:proofErr w:type="spellStart"/>
            <w:r w:rsidRPr="001C1DFB">
              <w:t>Racialized</w:t>
            </w:r>
            <w:proofErr w:type="spellEnd"/>
            <w:r w:rsidRPr="001C1DFB">
              <w:t xml:space="preserve"> Disease” in </w:t>
            </w:r>
            <w:r w:rsidRPr="001C1DFB">
              <w:rPr>
                <w:i/>
              </w:rPr>
              <w:t>The Protest Psychosis: How Schizophrenia Became a Black Disease</w:t>
            </w:r>
            <w:r w:rsidRPr="001C1DFB">
              <w:t xml:space="preserve"> (Boston: Beacon Press, 2009):  95-108.</w:t>
            </w:r>
          </w:p>
        </w:tc>
        <w:tc>
          <w:tcPr>
            <w:tcW w:w="3041" w:type="dxa"/>
          </w:tcPr>
          <w:p w:rsidR="00380B6E" w:rsidRDefault="00F91ABE" w:rsidP="007B50EC">
            <w:pPr>
              <w:jc w:val="right"/>
            </w:pPr>
            <w:r>
              <w:t>Feb 17</w:t>
            </w:r>
          </w:p>
          <w:p w:rsidR="001C1DFB" w:rsidRDefault="001C1DFB" w:rsidP="001C1DFB">
            <w:r>
              <w:t>Confronting Diagnosis</w:t>
            </w:r>
          </w:p>
          <w:p w:rsidR="001C1DFB" w:rsidRDefault="001C1DFB" w:rsidP="001C1DFB"/>
          <w:p w:rsidR="001C1DFB" w:rsidRDefault="001C1DFB" w:rsidP="001C1DFB">
            <w:r>
              <w:t xml:space="preserve">Dumit, Joseph. “Is it Me or My Brain? Depression and </w:t>
            </w:r>
            <w:proofErr w:type="spellStart"/>
            <w:r>
              <w:t>Neuroscientific</w:t>
            </w:r>
            <w:proofErr w:type="spellEnd"/>
            <w:r>
              <w:t xml:space="preserve"> Facts,”</w:t>
            </w:r>
          </w:p>
          <w:p w:rsidR="001C1DFB" w:rsidRDefault="001C1DFB" w:rsidP="001C1DFB">
            <w:r w:rsidRPr="00905E74">
              <w:rPr>
                <w:i/>
              </w:rPr>
              <w:t>Journal of the Medical Humanities</w:t>
            </w:r>
            <w:r>
              <w:t xml:space="preserve"> </w:t>
            </w:r>
            <w:proofErr w:type="spellStart"/>
            <w:r>
              <w:t>Vol</w:t>
            </w:r>
            <w:proofErr w:type="spellEnd"/>
            <w:r>
              <w:t xml:space="preserve"> 24, Nos. 1/2 (Summer 2003): 35-47.</w:t>
            </w:r>
          </w:p>
        </w:tc>
      </w:tr>
    </w:tbl>
    <w:p w:rsidR="00052673" w:rsidRDefault="00052673">
      <w:r>
        <w:br w:type="page"/>
      </w:r>
    </w:p>
    <w:tbl>
      <w:tblPr>
        <w:tblStyle w:val="TableGrid"/>
        <w:tblW w:w="0" w:type="auto"/>
        <w:tblLook w:val="04A0"/>
      </w:tblPr>
      <w:tblGrid>
        <w:gridCol w:w="332"/>
        <w:gridCol w:w="3081"/>
        <w:gridCol w:w="3081"/>
        <w:gridCol w:w="3082"/>
      </w:tblGrid>
      <w:tr w:rsidR="002F754E" w:rsidTr="00052673">
        <w:trPr>
          <w:cantSplit/>
        </w:trPr>
        <w:tc>
          <w:tcPr>
            <w:tcW w:w="9576" w:type="dxa"/>
            <w:gridSpan w:val="4"/>
          </w:tcPr>
          <w:p w:rsidR="002F754E" w:rsidRPr="002F754E" w:rsidRDefault="002F754E" w:rsidP="002F754E">
            <w:pPr>
              <w:rPr>
                <w:b/>
              </w:rPr>
            </w:pPr>
            <w:r w:rsidRPr="002F754E">
              <w:rPr>
                <w:b/>
              </w:rPr>
              <w:lastRenderedPageBreak/>
              <w:t xml:space="preserve">UNIT 3: </w:t>
            </w:r>
            <w:r w:rsidR="00B1468B">
              <w:rPr>
                <w:b/>
              </w:rPr>
              <w:t>SURGERY</w:t>
            </w:r>
          </w:p>
        </w:tc>
      </w:tr>
      <w:tr w:rsidR="00380B6E" w:rsidTr="00052673">
        <w:trPr>
          <w:cantSplit/>
        </w:trPr>
        <w:tc>
          <w:tcPr>
            <w:tcW w:w="0" w:type="auto"/>
          </w:tcPr>
          <w:p w:rsidR="00380B6E" w:rsidRPr="00ED78F1" w:rsidRDefault="00380B6E" w:rsidP="007B50EC">
            <w:pPr>
              <w:jc w:val="center"/>
              <w:rPr>
                <w:b/>
              </w:rPr>
            </w:pPr>
            <w:r>
              <w:rPr>
                <w:b/>
              </w:rPr>
              <w:t>7</w:t>
            </w:r>
          </w:p>
        </w:tc>
        <w:tc>
          <w:tcPr>
            <w:tcW w:w="3045" w:type="dxa"/>
          </w:tcPr>
          <w:p w:rsidR="00380B6E" w:rsidRDefault="00380B6E" w:rsidP="007B50EC">
            <w:pPr>
              <w:jc w:val="right"/>
            </w:pPr>
            <w:r>
              <w:t>Feb 21</w:t>
            </w:r>
          </w:p>
          <w:p w:rsidR="00E1093A" w:rsidRDefault="00E1093A" w:rsidP="00905E74"/>
          <w:p w:rsidR="00905E74" w:rsidRDefault="00905E74" w:rsidP="00905E74">
            <w:r>
              <w:t>Unit 2 Assignment Due</w:t>
            </w:r>
            <w:r w:rsidR="00E1093A">
              <w:t>, Noon</w:t>
            </w:r>
          </w:p>
          <w:p w:rsidR="00905E74" w:rsidRDefault="00905E74" w:rsidP="00905E74"/>
          <w:p w:rsidR="00905E74" w:rsidRDefault="00905E74" w:rsidP="00905E74">
            <w:r>
              <w:t>Screening replaces class:</w:t>
            </w:r>
          </w:p>
          <w:p w:rsidR="00905E74" w:rsidRDefault="00E7521E" w:rsidP="00905E74">
            <w:r>
              <w:t>7pm</w:t>
            </w:r>
          </w:p>
          <w:p w:rsidR="00905E74" w:rsidRDefault="00905E74" w:rsidP="00096F66">
            <w:r>
              <w:t>“Dirty Pretty Things”</w:t>
            </w:r>
          </w:p>
        </w:tc>
        <w:tc>
          <w:tcPr>
            <w:tcW w:w="3045" w:type="dxa"/>
          </w:tcPr>
          <w:p w:rsidR="00380B6E" w:rsidRDefault="00380B6E" w:rsidP="007B50EC">
            <w:pPr>
              <w:jc w:val="right"/>
            </w:pPr>
            <w:r>
              <w:t>Feb 23</w:t>
            </w:r>
          </w:p>
          <w:p w:rsidR="0028262A" w:rsidRDefault="0028262A" w:rsidP="003512B4">
            <w:r>
              <w:t>Organ Trades</w:t>
            </w:r>
          </w:p>
          <w:p w:rsidR="0028262A" w:rsidRDefault="0028262A" w:rsidP="003512B4"/>
          <w:p w:rsidR="00905E74" w:rsidRDefault="003512B4" w:rsidP="003512B4">
            <w:proofErr w:type="spellStart"/>
            <w:r w:rsidRPr="003512B4">
              <w:t>Waldby</w:t>
            </w:r>
            <w:proofErr w:type="spellEnd"/>
            <w:r w:rsidRPr="003512B4">
              <w:t xml:space="preserve">, Cathy, and Robert Mitchell, “Real Time Demand: Information, Regeneration, and Organ Markets,” in </w:t>
            </w:r>
            <w:r w:rsidRPr="003512B4">
              <w:rPr>
                <w:i/>
              </w:rPr>
              <w:t>Tissue Economies: Blood, Organs and Cell Lines in Late Capitalism</w:t>
            </w:r>
            <w:r w:rsidRPr="003512B4">
              <w:t xml:space="preserve"> (Duke University Press 2006), pp. 160-180.</w:t>
            </w:r>
          </w:p>
        </w:tc>
        <w:tc>
          <w:tcPr>
            <w:tcW w:w="3046" w:type="dxa"/>
          </w:tcPr>
          <w:p w:rsidR="00380B6E" w:rsidRDefault="00380B6E" w:rsidP="007B50EC">
            <w:pPr>
              <w:jc w:val="right"/>
            </w:pPr>
            <w:r>
              <w:t>Feb 25</w:t>
            </w:r>
          </w:p>
          <w:p w:rsidR="0028262A" w:rsidRDefault="0028262A" w:rsidP="00505458">
            <w:r>
              <w:t>Training Surgeons I</w:t>
            </w:r>
          </w:p>
          <w:p w:rsidR="0028262A" w:rsidRDefault="0028262A" w:rsidP="00505458"/>
          <w:p w:rsidR="00905E74" w:rsidRDefault="003512B4" w:rsidP="00505458">
            <w:proofErr w:type="spellStart"/>
            <w:r w:rsidRPr="003512B4">
              <w:t>Gawande</w:t>
            </w:r>
            <w:proofErr w:type="spellEnd"/>
            <w:r w:rsidRPr="003512B4">
              <w:t xml:space="preserve">, </w:t>
            </w:r>
            <w:proofErr w:type="spellStart"/>
            <w:r w:rsidRPr="003512B4">
              <w:t>Atul</w:t>
            </w:r>
            <w:proofErr w:type="spellEnd"/>
            <w:r w:rsidRPr="003512B4">
              <w:t>. “The Learning Curve: Like Everyone Else, Surgeons Need Practice. That’s where you come in,” The New Yorker January 28, 2002.</w:t>
            </w:r>
          </w:p>
        </w:tc>
      </w:tr>
      <w:tr w:rsidR="00380B6E" w:rsidTr="00052673">
        <w:trPr>
          <w:cantSplit/>
        </w:trPr>
        <w:tc>
          <w:tcPr>
            <w:tcW w:w="0" w:type="auto"/>
          </w:tcPr>
          <w:p w:rsidR="00380B6E" w:rsidRPr="00ED78F1" w:rsidRDefault="00380B6E" w:rsidP="007B50EC">
            <w:pPr>
              <w:jc w:val="center"/>
              <w:rPr>
                <w:b/>
              </w:rPr>
            </w:pPr>
            <w:r>
              <w:rPr>
                <w:b/>
              </w:rPr>
              <w:t>8</w:t>
            </w:r>
          </w:p>
        </w:tc>
        <w:tc>
          <w:tcPr>
            <w:tcW w:w="3045" w:type="dxa"/>
          </w:tcPr>
          <w:p w:rsidR="00380B6E" w:rsidRDefault="00F91ABE" w:rsidP="007B50EC">
            <w:pPr>
              <w:jc w:val="right"/>
            </w:pPr>
            <w:r>
              <w:t>Feb 27</w:t>
            </w:r>
          </w:p>
          <w:p w:rsidR="0028262A" w:rsidRDefault="0028262A" w:rsidP="003512B4">
            <w:r>
              <w:t>Training Surgeons II</w:t>
            </w:r>
          </w:p>
          <w:p w:rsidR="0028262A" w:rsidRDefault="0028262A" w:rsidP="003512B4"/>
          <w:p w:rsidR="003512B4" w:rsidRDefault="003512B4" w:rsidP="00E7521E">
            <w:r>
              <w:t>Prentice, Rachel. “The Anatomy of a Surgical Simulation: The Mutual Articulation of Bodies in and</w:t>
            </w:r>
            <w:r w:rsidR="00E7521E">
              <w:t xml:space="preserve"> </w:t>
            </w:r>
            <w:r>
              <w:t xml:space="preserve">through the Machine,” </w:t>
            </w:r>
            <w:r w:rsidRPr="003512B4">
              <w:rPr>
                <w:i/>
              </w:rPr>
              <w:t>Social Studies of Science</w:t>
            </w:r>
            <w:r>
              <w:t xml:space="preserve"> 35/6 (December 2005) 837–866.</w:t>
            </w:r>
          </w:p>
        </w:tc>
        <w:tc>
          <w:tcPr>
            <w:tcW w:w="3045" w:type="dxa"/>
          </w:tcPr>
          <w:p w:rsidR="00380B6E" w:rsidRDefault="00F91ABE" w:rsidP="007B50EC">
            <w:pPr>
              <w:jc w:val="right"/>
            </w:pPr>
            <w:r>
              <w:t>Feb 29</w:t>
            </w:r>
          </w:p>
          <w:p w:rsidR="006F4E76" w:rsidRDefault="006F4E76" w:rsidP="006F4E76">
            <w:r>
              <w:t>Knowledge in Surgery</w:t>
            </w:r>
          </w:p>
          <w:p w:rsidR="006F4E76" w:rsidRDefault="006F4E76" w:rsidP="006F4E76"/>
          <w:p w:rsidR="006F4E76" w:rsidRPr="00336A1B" w:rsidRDefault="006F4E76" w:rsidP="006F4E76">
            <w:r w:rsidRPr="003512B4">
              <w:t xml:space="preserve">Jones, David S. “Visions of a Cure: Visualization, Clinical Trials, and Controversies in Cardiac Therapeutics, 1968-1998,” </w:t>
            </w:r>
            <w:r w:rsidRPr="003512B4">
              <w:rPr>
                <w:i/>
              </w:rPr>
              <w:t>Isis</w:t>
            </w:r>
            <w:r w:rsidRPr="003512B4">
              <w:t>, Vol. 91, No. 3. (Sep., 2000), pp. 504-541.</w:t>
            </w:r>
          </w:p>
          <w:p w:rsidR="00336A1B" w:rsidRPr="00336A1B" w:rsidRDefault="00336A1B" w:rsidP="003512B4"/>
        </w:tc>
        <w:tc>
          <w:tcPr>
            <w:tcW w:w="3046" w:type="dxa"/>
          </w:tcPr>
          <w:p w:rsidR="00380B6E" w:rsidRDefault="00F91ABE" w:rsidP="007B50EC">
            <w:pPr>
              <w:jc w:val="right"/>
            </w:pPr>
            <w:r>
              <w:t>Mar 2</w:t>
            </w:r>
          </w:p>
          <w:p w:rsidR="006F4E76" w:rsidRDefault="006F4E76" w:rsidP="006F4E76">
            <w:r>
              <w:t>The Operating Room</w:t>
            </w:r>
          </w:p>
          <w:p w:rsidR="006F4E76" w:rsidRDefault="006F4E76" w:rsidP="006F4E76"/>
          <w:p w:rsidR="003512B4" w:rsidRDefault="006F4E76" w:rsidP="006F4E76">
            <w:r>
              <w:t xml:space="preserve">Moreira, Tiago. “Coordination and Embodiment in the Operating Room,” </w:t>
            </w:r>
            <w:r>
              <w:rPr>
                <w:i/>
              </w:rPr>
              <w:t>Body &amp; Society</w:t>
            </w:r>
            <w:r>
              <w:t xml:space="preserve"> 10.1(2004): 109-129.</w:t>
            </w:r>
          </w:p>
        </w:tc>
      </w:tr>
      <w:tr w:rsidR="00380B6E" w:rsidTr="00052673">
        <w:trPr>
          <w:cantSplit/>
        </w:trPr>
        <w:tc>
          <w:tcPr>
            <w:tcW w:w="0" w:type="auto"/>
          </w:tcPr>
          <w:p w:rsidR="00380B6E" w:rsidRPr="00ED78F1" w:rsidRDefault="00380B6E" w:rsidP="007B50EC">
            <w:pPr>
              <w:jc w:val="center"/>
              <w:rPr>
                <w:b/>
              </w:rPr>
            </w:pPr>
            <w:r>
              <w:rPr>
                <w:b/>
              </w:rPr>
              <w:t>9</w:t>
            </w:r>
          </w:p>
        </w:tc>
        <w:tc>
          <w:tcPr>
            <w:tcW w:w="3045" w:type="dxa"/>
          </w:tcPr>
          <w:p w:rsidR="00380B6E" w:rsidRDefault="00F91ABE" w:rsidP="007B50EC">
            <w:pPr>
              <w:jc w:val="right"/>
            </w:pPr>
            <w:r>
              <w:t>Mar 5</w:t>
            </w:r>
          </w:p>
          <w:p w:rsidR="00336A1B" w:rsidRDefault="00336A1B" w:rsidP="00336A1B">
            <w:r>
              <w:t xml:space="preserve">Surgical </w:t>
            </w:r>
            <w:proofErr w:type="spellStart"/>
            <w:r>
              <w:t>Shapings</w:t>
            </w:r>
            <w:proofErr w:type="spellEnd"/>
          </w:p>
          <w:p w:rsidR="00336A1B" w:rsidRDefault="00336A1B" w:rsidP="00336A1B"/>
          <w:p w:rsidR="00336A1B" w:rsidRDefault="00336A1B" w:rsidP="00336A1B">
            <w:r w:rsidRPr="003512B4">
              <w:t xml:space="preserve">Frank, Arthur W. “Emily’s Scars: Surgical </w:t>
            </w:r>
            <w:proofErr w:type="spellStart"/>
            <w:r w:rsidRPr="003512B4">
              <w:t>Shapings</w:t>
            </w:r>
            <w:proofErr w:type="spellEnd"/>
            <w:r w:rsidRPr="003512B4">
              <w:t xml:space="preserve">, </w:t>
            </w:r>
            <w:proofErr w:type="spellStart"/>
            <w:r w:rsidRPr="003512B4">
              <w:t>Technoluxe</w:t>
            </w:r>
            <w:proofErr w:type="spellEnd"/>
            <w:r w:rsidRPr="003512B4">
              <w:t xml:space="preserve">, and Bioethics,” </w:t>
            </w:r>
            <w:r w:rsidRPr="003512B4">
              <w:rPr>
                <w:i/>
              </w:rPr>
              <w:t>Hastings Center Report</w:t>
            </w:r>
            <w:r w:rsidRPr="003512B4">
              <w:t xml:space="preserve"> 34 no. 2 (2004): 18-29.</w:t>
            </w:r>
          </w:p>
          <w:p w:rsidR="00E7521E" w:rsidRDefault="00E7521E" w:rsidP="00E1093A"/>
          <w:p w:rsidR="00E7521E" w:rsidRDefault="00E7521E" w:rsidP="00E1093A"/>
        </w:tc>
        <w:tc>
          <w:tcPr>
            <w:tcW w:w="3045" w:type="dxa"/>
          </w:tcPr>
          <w:p w:rsidR="00380B6E" w:rsidRDefault="00F91ABE" w:rsidP="007B50EC">
            <w:pPr>
              <w:jc w:val="right"/>
            </w:pPr>
            <w:r>
              <w:t>Mar 7</w:t>
            </w:r>
          </w:p>
          <w:p w:rsidR="00336A1B" w:rsidRDefault="00336A1B" w:rsidP="00336A1B">
            <w:r>
              <w:t>Patient Accounts I</w:t>
            </w:r>
          </w:p>
          <w:p w:rsidR="00336A1B" w:rsidRDefault="00336A1B" w:rsidP="00336A1B"/>
          <w:p w:rsidR="00336A1B" w:rsidRDefault="00336A1B" w:rsidP="00336A1B">
            <w:proofErr w:type="spellStart"/>
            <w:r>
              <w:t>Lorde</w:t>
            </w:r>
            <w:proofErr w:type="spellEnd"/>
            <w:r>
              <w:t xml:space="preserve">, </w:t>
            </w:r>
            <w:proofErr w:type="spellStart"/>
            <w:r>
              <w:t>Audre</w:t>
            </w:r>
            <w:proofErr w:type="spellEnd"/>
            <w:r>
              <w:t xml:space="preserve">. “Breast Cancer: Power Versus Prosthesis,” from </w:t>
            </w:r>
            <w:r w:rsidRPr="00505458">
              <w:rPr>
                <w:i/>
              </w:rPr>
              <w:t>The Cancer Journals</w:t>
            </w:r>
            <w:r>
              <w:t xml:space="preserve"> (San Francisco: Aunt Lute Books, 1980): 55-77.</w:t>
            </w:r>
          </w:p>
          <w:p w:rsidR="003512B4" w:rsidRDefault="003512B4" w:rsidP="0051735C"/>
        </w:tc>
        <w:tc>
          <w:tcPr>
            <w:tcW w:w="3046" w:type="dxa"/>
          </w:tcPr>
          <w:p w:rsidR="00380B6E" w:rsidRDefault="00380B6E" w:rsidP="007B50EC">
            <w:pPr>
              <w:jc w:val="right"/>
            </w:pPr>
            <w:r>
              <w:t>Ma</w:t>
            </w:r>
            <w:r w:rsidR="00F91ABE">
              <w:t>r 9</w:t>
            </w:r>
          </w:p>
          <w:p w:rsidR="00336A1B" w:rsidRDefault="00336A1B" w:rsidP="00336A1B">
            <w:r>
              <w:t>Patient Accounts II</w:t>
            </w:r>
          </w:p>
          <w:p w:rsidR="00336A1B" w:rsidRDefault="00336A1B" w:rsidP="00336A1B"/>
          <w:p w:rsidR="003512B4" w:rsidRDefault="00336A1B" w:rsidP="00336A1B">
            <w:proofErr w:type="spellStart"/>
            <w:r>
              <w:t>Gimlin</w:t>
            </w:r>
            <w:proofErr w:type="spellEnd"/>
            <w:r>
              <w:t xml:space="preserve">, Debra. “Imagining the Other in Cosmetic Surgery,” </w:t>
            </w:r>
            <w:r w:rsidRPr="007E2CAE">
              <w:rPr>
                <w:i/>
              </w:rPr>
              <w:t>Body &amp; Society</w:t>
            </w:r>
            <w:r>
              <w:t>, Vol. 16.4 (2010): 57-76.</w:t>
            </w:r>
          </w:p>
        </w:tc>
      </w:tr>
    </w:tbl>
    <w:p w:rsidR="00052673" w:rsidRDefault="00052673">
      <w:r>
        <w:br w:type="page"/>
      </w:r>
    </w:p>
    <w:tbl>
      <w:tblPr>
        <w:tblStyle w:val="TableGrid"/>
        <w:tblW w:w="0" w:type="auto"/>
        <w:tblLook w:val="04A0"/>
      </w:tblPr>
      <w:tblGrid>
        <w:gridCol w:w="440"/>
        <w:gridCol w:w="3045"/>
        <w:gridCol w:w="3045"/>
        <w:gridCol w:w="3046"/>
      </w:tblGrid>
      <w:tr w:rsidR="002F754E" w:rsidTr="00052673">
        <w:trPr>
          <w:cantSplit/>
        </w:trPr>
        <w:tc>
          <w:tcPr>
            <w:tcW w:w="9576" w:type="dxa"/>
            <w:gridSpan w:val="4"/>
          </w:tcPr>
          <w:p w:rsidR="002F754E" w:rsidRPr="002F754E" w:rsidRDefault="002F754E" w:rsidP="0009733E">
            <w:pPr>
              <w:rPr>
                <w:b/>
              </w:rPr>
            </w:pPr>
            <w:r w:rsidRPr="002F754E">
              <w:rPr>
                <w:b/>
              </w:rPr>
              <w:lastRenderedPageBreak/>
              <w:t xml:space="preserve">UNIT 4: </w:t>
            </w:r>
            <w:r w:rsidR="0009733E">
              <w:rPr>
                <w:b/>
              </w:rPr>
              <w:t>IM/MORTALITY</w:t>
            </w:r>
          </w:p>
        </w:tc>
      </w:tr>
      <w:tr w:rsidR="00380B6E" w:rsidTr="00052673">
        <w:trPr>
          <w:cantSplit/>
        </w:trPr>
        <w:tc>
          <w:tcPr>
            <w:tcW w:w="0" w:type="auto"/>
          </w:tcPr>
          <w:p w:rsidR="00380B6E" w:rsidRPr="00ED78F1" w:rsidRDefault="00380B6E" w:rsidP="007B50EC">
            <w:pPr>
              <w:jc w:val="center"/>
              <w:rPr>
                <w:b/>
              </w:rPr>
            </w:pPr>
            <w:r>
              <w:rPr>
                <w:b/>
              </w:rPr>
              <w:t>10</w:t>
            </w:r>
          </w:p>
        </w:tc>
        <w:tc>
          <w:tcPr>
            <w:tcW w:w="3045" w:type="dxa"/>
          </w:tcPr>
          <w:p w:rsidR="00380B6E" w:rsidRDefault="00F91ABE" w:rsidP="007B50EC">
            <w:pPr>
              <w:jc w:val="right"/>
            </w:pPr>
            <w:r>
              <w:t>Mar 12</w:t>
            </w:r>
          </w:p>
          <w:p w:rsidR="003512B4" w:rsidRDefault="003512B4" w:rsidP="00905E74"/>
          <w:p w:rsidR="00905E74" w:rsidRDefault="00336A1B" w:rsidP="00905E74">
            <w:r>
              <w:t>Unit 3 Assignment Due, Noon</w:t>
            </w:r>
          </w:p>
          <w:p w:rsidR="00905E74" w:rsidRDefault="00905E74" w:rsidP="00905E74"/>
          <w:p w:rsidR="00905E74" w:rsidRDefault="00905E74" w:rsidP="00905E74">
            <w:r>
              <w:t>Intro to Death</w:t>
            </w:r>
          </w:p>
          <w:p w:rsidR="00505458" w:rsidRDefault="00505458" w:rsidP="00905E74"/>
          <w:p w:rsidR="00505458" w:rsidRDefault="00505458" w:rsidP="00905E74">
            <w:r>
              <w:t>Form groups for final project</w:t>
            </w:r>
          </w:p>
        </w:tc>
        <w:tc>
          <w:tcPr>
            <w:tcW w:w="3045" w:type="dxa"/>
          </w:tcPr>
          <w:p w:rsidR="00F91ABE" w:rsidRDefault="00F91ABE" w:rsidP="00F91ABE">
            <w:pPr>
              <w:jc w:val="right"/>
            </w:pPr>
            <w:r>
              <w:t xml:space="preserve">Mar 14 </w:t>
            </w:r>
          </w:p>
          <w:p w:rsidR="0009733E" w:rsidRDefault="0009733E" w:rsidP="00F91ABE">
            <w:r>
              <w:t>Immortal Cells I</w:t>
            </w:r>
          </w:p>
          <w:p w:rsidR="0009733E" w:rsidRDefault="0009733E" w:rsidP="0009733E"/>
          <w:p w:rsidR="0009733E" w:rsidRDefault="0009733E" w:rsidP="0009733E">
            <w:proofErr w:type="spellStart"/>
            <w:r>
              <w:t>Landecker</w:t>
            </w:r>
            <w:proofErr w:type="spellEnd"/>
            <w:r>
              <w:t xml:space="preserve">, Hannah. Immortality In Vitro: A History of the </w:t>
            </w:r>
            <w:proofErr w:type="spellStart"/>
            <w:r>
              <w:t>HeLa</w:t>
            </w:r>
            <w:proofErr w:type="spellEnd"/>
            <w:r>
              <w:t xml:space="preserve"> Cell Line,”</w:t>
            </w:r>
          </w:p>
          <w:p w:rsidR="00505458" w:rsidRDefault="0009733E" w:rsidP="0009733E">
            <w:r>
              <w:t xml:space="preserve">in </w:t>
            </w:r>
            <w:r w:rsidRPr="00505458">
              <w:rPr>
                <w:i/>
              </w:rPr>
              <w:t>Biotechnology and Culture: Bodies, Anxieties, Ethics,</w:t>
            </w:r>
            <w:r>
              <w:t xml:space="preserve"> edited by Paul </w:t>
            </w:r>
            <w:proofErr w:type="spellStart"/>
            <w:r>
              <w:t>Brodwin</w:t>
            </w:r>
            <w:proofErr w:type="spellEnd"/>
            <w:r>
              <w:t>, Indiana University Press 2000, pp. 53-72.</w:t>
            </w:r>
          </w:p>
        </w:tc>
        <w:tc>
          <w:tcPr>
            <w:tcW w:w="3046" w:type="dxa"/>
          </w:tcPr>
          <w:p w:rsidR="00380B6E" w:rsidRDefault="00F91ABE" w:rsidP="007B50EC">
            <w:pPr>
              <w:jc w:val="right"/>
            </w:pPr>
            <w:r>
              <w:t>Mar 16</w:t>
            </w:r>
          </w:p>
          <w:p w:rsidR="0009733E" w:rsidRDefault="0009733E" w:rsidP="00505458">
            <w:pPr>
              <w:rPr>
                <w:sz w:val="24"/>
                <w:szCs w:val="24"/>
              </w:rPr>
            </w:pPr>
            <w:r>
              <w:rPr>
                <w:sz w:val="24"/>
                <w:szCs w:val="24"/>
              </w:rPr>
              <w:t>Immortal Cells II</w:t>
            </w:r>
          </w:p>
          <w:p w:rsidR="0009733E" w:rsidRDefault="0009733E" w:rsidP="00505458">
            <w:pPr>
              <w:rPr>
                <w:sz w:val="24"/>
                <w:szCs w:val="24"/>
              </w:rPr>
            </w:pPr>
          </w:p>
          <w:p w:rsidR="007E2CAE" w:rsidRDefault="007E2CAE" w:rsidP="00505458">
            <w:pPr>
              <w:rPr>
                <w:sz w:val="24"/>
                <w:szCs w:val="24"/>
              </w:rPr>
            </w:pPr>
            <w:r w:rsidRPr="007E2CAE">
              <w:rPr>
                <w:sz w:val="24"/>
                <w:szCs w:val="24"/>
              </w:rPr>
              <w:t xml:space="preserve">Franklin, Sarah. “Embryonic Economies: The Double Reproductive Value of Stem Cells,” </w:t>
            </w:r>
            <w:proofErr w:type="spellStart"/>
            <w:r w:rsidRPr="007E2CAE">
              <w:rPr>
                <w:i/>
                <w:sz w:val="24"/>
                <w:szCs w:val="24"/>
              </w:rPr>
              <w:t>BioSocieties</w:t>
            </w:r>
            <w:proofErr w:type="spellEnd"/>
            <w:r w:rsidRPr="007E2CAE">
              <w:rPr>
                <w:sz w:val="24"/>
                <w:szCs w:val="24"/>
              </w:rPr>
              <w:t>, Vol. 1(2006), 71-90.</w:t>
            </w:r>
          </w:p>
          <w:p w:rsidR="007E2CAE" w:rsidRDefault="007E2CAE" w:rsidP="00505458">
            <w:pPr>
              <w:rPr>
                <w:sz w:val="24"/>
                <w:szCs w:val="24"/>
              </w:rPr>
            </w:pPr>
          </w:p>
          <w:p w:rsidR="00505458" w:rsidRDefault="00505458" w:rsidP="00505458"/>
        </w:tc>
      </w:tr>
      <w:tr w:rsidR="00DD3395" w:rsidTr="00052673">
        <w:trPr>
          <w:cantSplit/>
        </w:trPr>
        <w:tc>
          <w:tcPr>
            <w:tcW w:w="0" w:type="auto"/>
          </w:tcPr>
          <w:p w:rsidR="00DD3395" w:rsidRPr="00ED78F1" w:rsidRDefault="00DD3395" w:rsidP="007B50EC">
            <w:pPr>
              <w:jc w:val="center"/>
              <w:rPr>
                <w:b/>
              </w:rPr>
            </w:pPr>
            <w:r>
              <w:rPr>
                <w:b/>
              </w:rPr>
              <w:t>11</w:t>
            </w:r>
          </w:p>
        </w:tc>
        <w:tc>
          <w:tcPr>
            <w:tcW w:w="9136" w:type="dxa"/>
            <w:gridSpan w:val="3"/>
          </w:tcPr>
          <w:p w:rsidR="00DD3395" w:rsidRDefault="00DD3395" w:rsidP="007B50EC">
            <w:r>
              <w:t>SPRING BREAK</w:t>
            </w:r>
          </w:p>
        </w:tc>
      </w:tr>
      <w:tr w:rsidR="00380B6E" w:rsidTr="00052673">
        <w:trPr>
          <w:cantSplit/>
        </w:trPr>
        <w:tc>
          <w:tcPr>
            <w:tcW w:w="0" w:type="auto"/>
          </w:tcPr>
          <w:p w:rsidR="00380B6E" w:rsidRPr="00ED78F1" w:rsidRDefault="00380B6E" w:rsidP="007B50EC">
            <w:pPr>
              <w:jc w:val="center"/>
              <w:rPr>
                <w:b/>
              </w:rPr>
            </w:pPr>
            <w:r>
              <w:rPr>
                <w:b/>
              </w:rPr>
              <w:t>12</w:t>
            </w:r>
          </w:p>
        </w:tc>
        <w:tc>
          <w:tcPr>
            <w:tcW w:w="3045" w:type="dxa"/>
          </w:tcPr>
          <w:p w:rsidR="00380B6E" w:rsidRDefault="00F91ABE" w:rsidP="007B50EC">
            <w:pPr>
              <w:jc w:val="right"/>
            </w:pPr>
            <w:r>
              <w:t>Mar 26</w:t>
            </w:r>
          </w:p>
          <w:p w:rsidR="00505458" w:rsidRDefault="0009733E" w:rsidP="00505458">
            <w:r>
              <w:t>New Deaths</w:t>
            </w:r>
          </w:p>
          <w:p w:rsidR="0009733E" w:rsidRDefault="0009733E" w:rsidP="00505458"/>
          <w:p w:rsidR="0009733E" w:rsidRDefault="0009733E" w:rsidP="00505458">
            <w:r>
              <w:t xml:space="preserve">Pollock, Anne. </w:t>
            </w:r>
            <w:r w:rsidRPr="0009733E">
              <w:t xml:space="preserve">“The Internal Cardiac Defibrillator.” Ed. Sherry </w:t>
            </w:r>
            <w:proofErr w:type="spellStart"/>
            <w:r w:rsidRPr="0009733E">
              <w:t>Turkle</w:t>
            </w:r>
            <w:proofErr w:type="spellEnd"/>
            <w:r w:rsidRPr="0009733E">
              <w:t xml:space="preserve">. </w:t>
            </w:r>
            <w:r w:rsidRPr="0009733E">
              <w:rPr>
                <w:i/>
              </w:rPr>
              <w:t>The Inner History of Devices: Technology and Self</w:t>
            </w:r>
            <w:r w:rsidRPr="0009733E">
              <w:t>. Cambridge, MA: MIT Press, 2008: 98-111.</w:t>
            </w:r>
          </w:p>
        </w:tc>
        <w:tc>
          <w:tcPr>
            <w:tcW w:w="3045" w:type="dxa"/>
          </w:tcPr>
          <w:p w:rsidR="00380B6E" w:rsidRDefault="00F91ABE" w:rsidP="007B50EC">
            <w:pPr>
              <w:jc w:val="right"/>
            </w:pPr>
            <w:r>
              <w:t>Mar 28</w:t>
            </w:r>
          </w:p>
          <w:p w:rsidR="0009733E" w:rsidRDefault="0009733E" w:rsidP="0009733E">
            <w:r>
              <w:t>Living Dead I</w:t>
            </w:r>
          </w:p>
          <w:p w:rsidR="0009733E" w:rsidRDefault="0009733E" w:rsidP="0009733E"/>
          <w:p w:rsidR="0009733E" w:rsidRDefault="0009733E" w:rsidP="0009733E">
            <w:r>
              <w:t xml:space="preserve">Lock, Margaret. “Living Cadavers and the Calculation of Death,” </w:t>
            </w:r>
            <w:r w:rsidRPr="00505458">
              <w:rPr>
                <w:i/>
              </w:rPr>
              <w:t>Body &amp; Society</w:t>
            </w:r>
          </w:p>
          <w:p w:rsidR="00505458" w:rsidRDefault="0009733E" w:rsidP="0009733E">
            <w:proofErr w:type="spellStart"/>
            <w:r>
              <w:t>Vol</w:t>
            </w:r>
            <w:proofErr w:type="spellEnd"/>
            <w:r>
              <w:t xml:space="preserve"> 10 (2004): 135-152.</w:t>
            </w:r>
          </w:p>
        </w:tc>
        <w:tc>
          <w:tcPr>
            <w:tcW w:w="3046" w:type="dxa"/>
          </w:tcPr>
          <w:p w:rsidR="00380B6E" w:rsidRDefault="00F91ABE" w:rsidP="007B50EC">
            <w:pPr>
              <w:jc w:val="right"/>
            </w:pPr>
            <w:r>
              <w:t>Mar 30</w:t>
            </w:r>
          </w:p>
          <w:p w:rsidR="0009733E" w:rsidRDefault="0009733E" w:rsidP="0009733E">
            <w:r>
              <w:t>Living Dead II</w:t>
            </w:r>
          </w:p>
          <w:p w:rsidR="0009733E" w:rsidRDefault="0009733E" w:rsidP="0009733E"/>
          <w:p w:rsidR="0009733E" w:rsidRDefault="0009733E" w:rsidP="0009733E">
            <w:r>
              <w:t>Anderson, Patrick. “On Feeding Tubes,” The Drama Review 49.3 (Fall 2005), pp.</w:t>
            </w:r>
          </w:p>
          <w:p w:rsidR="00505458" w:rsidRDefault="0009733E" w:rsidP="0009733E">
            <w:r>
              <w:t>5-9.</w:t>
            </w:r>
          </w:p>
        </w:tc>
      </w:tr>
      <w:tr w:rsidR="00380B6E" w:rsidTr="00052673">
        <w:trPr>
          <w:cantSplit/>
        </w:trPr>
        <w:tc>
          <w:tcPr>
            <w:tcW w:w="0" w:type="auto"/>
          </w:tcPr>
          <w:p w:rsidR="00380B6E" w:rsidRPr="00ED78F1" w:rsidRDefault="00380B6E" w:rsidP="007B50EC">
            <w:pPr>
              <w:jc w:val="center"/>
              <w:rPr>
                <w:b/>
              </w:rPr>
            </w:pPr>
            <w:r>
              <w:rPr>
                <w:b/>
              </w:rPr>
              <w:t>13</w:t>
            </w:r>
          </w:p>
        </w:tc>
        <w:tc>
          <w:tcPr>
            <w:tcW w:w="3045" w:type="dxa"/>
          </w:tcPr>
          <w:p w:rsidR="00380B6E" w:rsidRDefault="00F91ABE" w:rsidP="007B50EC">
            <w:pPr>
              <w:jc w:val="right"/>
            </w:pPr>
            <w:r>
              <w:t>April 2</w:t>
            </w:r>
          </w:p>
          <w:p w:rsidR="00505458" w:rsidRDefault="00373452" w:rsidP="00715334">
            <w:r>
              <w:t>Examining Corpses</w:t>
            </w:r>
          </w:p>
          <w:p w:rsidR="00373452" w:rsidRDefault="00373452" w:rsidP="00715334"/>
          <w:p w:rsidR="00373452" w:rsidRPr="00373452" w:rsidRDefault="00373452" w:rsidP="00715334">
            <w:proofErr w:type="spellStart"/>
            <w:r>
              <w:t>Timmermans</w:t>
            </w:r>
            <w:proofErr w:type="spellEnd"/>
            <w:r>
              <w:t xml:space="preserve">, Stefan, “Making the Case for Heart Disease,” in </w:t>
            </w:r>
            <w:r>
              <w:rPr>
                <w:i/>
              </w:rPr>
              <w:t>Postmortem: How Medical Examiners Explain Suspicious Deaths</w:t>
            </w:r>
            <w:r>
              <w:t>.  Chicago: University of Chicago Press, 2006: 35-73.</w:t>
            </w:r>
          </w:p>
        </w:tc>
        <w:tc>
          <w:tcPr>
            <w:tcW w:w="3045" w:type="dxa"/>
          </w:tcPr>
          <w:p w:rsidR="00380B6E" w:rsidRDefault="00F91ABE" w:rsidP="007B50EC">
            <w:pPr>
              <w:jc w:val="right"/>
            </w:pPr>
            <w:r>
              <w:t>April 4</w:t>
            </w:r>
          </w:p>
          <w:p w:rsidR="00373452" w:rsidRDefault="00373452" w:rsidP="00373452">
            <w:r>
              <w:t>Corpses on Display I</w:t>
            </w:r>
          </w:p>
          <w:p w:rsidR="00373452" w:rsidRDefault="00373452" w:rsidP="00373452"/>
          <w:p w:rsidR="00505458" w:rsidRDefault="00373452" w:rsidP="00373452">
            <w:proofErr w:type="spellStart"/>
            <w:r>
              <w:t>Trompette</w:t>
            </w:r>
            <w:proofErr w:type="spellEnd"/>
            <w:r>
              <w:t xml:space="preserve">, </w:t>
            </w:r>
            <w:proofErr w:type="spellStart"/>
            <w:r>
              <w:t>Pascale</w:t>
            </w:r>
            <w:proofErr w:type="spellEnd"/>
            <w:r>
              <w:t xml:space="preserve">, and Melanie </w:t>
            </w:r>
            <w:proofErr w:type="spellStart"/>
            <w:r>
              <w:t>Lemonnier</w:t>
            </w:r>
            <w:proofErr w:type="spellEnd"/>
            <w:r>
              <w:t xml:space="preserve">, “Funeral embalming: the transformation of a medical innovation,” </w:t>
            </w:r>
            <w:r>
              <w:rPr>
                <w:i/>
              </w:rPr>
              <w:t xml:space="preserve">Science Studies </w:t>
            </w:r>
            <w:r>
              <w:t>22.2 (2009): 9-30.</w:t>
            </w:r>
          </w:p>
        </w:tc>
        <w:tc>
          <w:tcPr>
            <w:tcW w:w="3046" w:type="dxa"/>
          </w:tcPr>
          <w:p w:rsidR="00380B6E" w:rsidRDefault="00F91ABE" w:rsidP="007B50EC">
            <w:pPr>
              <w:jc w:val="right"/>
            </w:pPr>
            <w:r>
              <w:t>April 6</w:t>
            </w:r>
          </w:p>
          <w:p w:rsidR="00373452" w:rsidRDefault="00373452" w:rsidP="00373452">
            <w:r>
              <w:t>Corpses on Display II</w:t>
            </w:r>
          </w:p>
          <w:p w:rsidR="00373452" w:rsidRDefault="00373452" w:rsidP="00373452"/>
          <w:p w:rsidR="00373452" w:rsidRDefault="00373452" w:rsidP="00373452">
            <w:r>
              <w:t xml:space="preserve">Van </w:t>
            </w:r>
            <w:proofErr w:type="spellStart"/>
            <w:r>
              <w:t>Dijck</w:t>
            </w:r>
            <w:proofErr w:type="spellEnd"/>
            <w:r>
              <w:t>, Jose. “</w:t>
            </w:r>
            <w:proofErr w:type="spellStart"/>
            <w:r>
              <w:t>BodyWorlds</w:t>
            </w:r>
            <w:proofErr w:type="spellEnd"/>
            <w:r>
              <w:t xml:space="preserve">: The Art of </w:t>
            </w:r>
            <w:proofErr w:type="spellStart"/>
            <w:r>
              <w:t>Plastinated</w:t>
            </w:r>
            <w:proofErr w:type="spellEnd"/>
            <w:r>
              <w:t xml:space="preserve"> Cadavers,” </w:t>
            </w:r>
            <w:r w:rsidRPr="00505458">
              <w:rPr>
                <w:i/>
              </w:rPr>
              <w:t>Configurations</w:t>
            </w:r>
            <w:r>
              <w:t xml:space="preserve"> 9 (2001):99–126.</w:t>
            </w:r>
          </w:p>
          <w:p w:rsidR="00505458" w:rsidRDefault="00505458" w:rsidP="007B50EC"/>
          <w:p w:rsidR="00505458" w:rsidRDefault="00505458" w:rsidP="00373452"/>
        </w:tc>
      </w:tr>
      <w:tr w:rsidR="00380B6E" w:rsidTr="00052673">
        <w:trPr>
          <w:cantSplit/>
        </w:trPr>
        <w:tc>
          <w:tcPr>
            <w:tcW w:w="0" w:type="auto"/>
          </w:tcPr>
          <w:p w:rsidR="00380B6E" w:rsidRPr="00ED78F1" w:rsidRDefault="00380B6E" w:rsidP="007B50EC">
            <w:pPr>
              <w:jc w:val="center"/>
              <w:rPr>
                <w:b/>
              </w:rPr>
            </w:pPr>
            <w:r w:rsidRPr="00ED78F1">
              <w:rPr>
                <w:b/>
              </w:rPr>
              <w:t>14</w:t>
            </w:r>
          </w:p>
        </w:tc>
        <w:tc>
          <w:tcPr>
            <w:tcW w:w="3045" w:type="dxa"/>
          </w:tcPr>
          <w:p w:rsidR="00380B6E" w:rsidRDefault="00F91ABE" w:rsidP="007B50EC">
            <w:pPr>
              <w:jc w:val="right"/>
            </w:pPr>
            <w:r>
              <w:t>April 9</w:t>
            </w:r>
          </w:p>
          <w:p w:rsidR="00505458" w:rsidRDefault="0009733E" w:rsidP="00505458">
            <w:r>
              <w:t>Bring sources for final project</w:t>
            </w:r>
          </w:p>
        </w:tc>
        <w:tc>
          <w:tcPr>
            <w:tcW w:w="3045" w:type="dxa"/>
          </w:tcPr>
          <w:p w:rsidR="00380B6E" w:rsidRDefault="00F91ABE" w:rsidP="007B50EC">
            <w:pPr>
              <w:jc w:val="right"/>
            </w:pPr>
            <w:r>
              <w:t>April 11</w:t>
            </w:r>
          </w:p>
          <w:p w:rsidR="00505458" w:rsidRDefault="0009733E" w:rsidP="00505458">
            <w:r>
              <w:t>Final Project group work</w:t>
            </w:r>
          </w:p>
        </w:tc>
        <w:tc>
          <w:tcPr>
            <w:tcW w:w="3046" w:type="dxa"/>
          </w:tcPr>
          <w:p w:rsidR="00380B6E" w:rsidRDefault="00F91ABE" w:rsidP="007B50EC">
            <w:pPr>
              <w:jc w:val="right"/>
            </w:pPr>
            <w:r>
              <w:t>April 13</w:t>
            </w:r>
          </w:p>
          <w:p w:rsidR="0009733E" w:rsidRDefault="0009733E" w:rsidP="0009733E">
            <w:r>
              <w:t>Final Project annotated bibliography due</w:t>
            </w:r>
          </w:p>
        </w:tc>
      </w:tr>
      <w:tr w:rsidR="00380B6E" w:rsidTr="00052673">
        <w:trPr>
          <w:cantSplit/>
        </w:trPr>
        <w:tc>
          <w:tcPr>
            <w:tcW w:w="0" w:type="auto"/>
          </w:tcPr>
          <w:p w:rsidR="00380B6E" w:rsidRPr="00ED78F1" w:rsidRDefault="00380B6E" w:rsidP="007B50EC">
            <w:pPr>
              <w:jc w:val="center"/>
              <w:rPr>
                <w:b/>
              </w:rPr>
            </w:pPr>
            <w:r w:rsidRPr="00ED78F1">
              <w:rPr>
                <w:b/>
              </w:rPr>
              <w:t>15</w:t>
            </w:r>
          </w:p>
        </w:tc>
        <w:tc>
          <w:tcPr>
            <w:tcW w:w="3045" w:type="dxa"/>
          </w:tcPr>
          <w:p w:rsidR="00380B6E" w:rsidRDefault="00F91ABE" w:rsidP="007B50EC">
            <w:pPr>
              <w:jc w:val="right"/>
            </w:pPr>
            <w:r>
              <w:t>April 16</w:t>
            </w:r>
          </w:p>
          <w:p w:rsidR="0009733E" w:rsidRDefault="0009733E" w:rsidP="0009733E">
            <w:r>
              <w:t>Final Project group work</w:t>
            </w:r>
          </w:p>
        </w:tc>
        <w:tc>
          <w:tcPr>
            <w:tcW w:w="3045" w:type="dxa"/>
          </w:tcPr>
          <w:p w:rsidR="00380B6E" w:rsidRDefault="00F91ABE" w:rsidP="007B50EC">
            <w:pPr>
              <w:jc w:val="right"/>
            </w:pPr>
            <w:r>
              <w:t>April 18</w:t>
            </w:r>
          </w:p>
          <w:p w:rsidR="0009733E" w:rsidRDefault="0009733E" w:rsidP="0009733E">
            <w:r>
              <w:t>Final Project group work</w:t>
            </w:r>
          </w:p>
        </w:tc>
        <w:tc>
          <w:tcPr>
            <w:tcW w:w="3046" w:type="dxa"/>
          </w:tcPr>
          <w:p w:rsidR="00380B6E" w:rsidRDefault="00F91ABE" w:rsidP="007B50EC">
            <w:pPr>
              <w:jc w:val="right"/>
            </w:pPr>
            <w:r>
              <w:t>April 20</w:t>
            </w:r>
          </w:p>
          <w:p w:rsidR="0009733E" w:rsidRDefault="0009733E" w:rsidP="0009733E">
            <w:r>
              <w:t>Poster Presentations</w:t>
            </w:r>
          </w:p>
        </w:tc>
      </w:tr>
      <w:tr w:rsidR="00380B6E" w:rsidTr="00052673">
        <w:trPr>
          <w:cantSplit/>
        </w:trPr>
        <w:tc>
          <w:tcPr>
            <w:tcW w:w="0" w:type="auto"/>
          </w:tcPr>
          <w:p w:rsidR="00380B6E" w:rsidRPr="00ED78F1" w:rsidRDefault="00380B6E" w:rsidP="007B50EC">
            <w:pPr>
              <w:jc w:val="center"/>
              <w:rPr>
                <w:b/>
              </w:rPr>
            </w:pPr>
            <w:r w:rsidRPr="00ED78F1">
              <w:rPr>
                <w:b/>
              </w:rPr>
              <w:t>16</w:t>
            </w:r>
          </w:p>
        </w:tc>
        <w:tc>
          <w:tcPr>
            <w:tcW w:w="3045" w:type="dxa"/>
          </w:tcPr>
          <w:p w:rsidR="00380B6E" w:rsidRDefault="00F91ABE" w:rsidP="007B50EC">
            <w:pPr>
              <w:jc w:val="right"/>
            </w:pPr>
            <w:r>
              <w:t>April 23</w:t>
            </w:r>
          </w:p>
          <w:p w:rsidR="0009733E" w:rsidRDefault="0009733E" w:rsidP="0009733E">
            <w:r>
              <w:t>Poster Presentations</w:t>
            </w:r>
          </w:p>
        </w:tc>
        <w:tc>
          <w:tcPr>
            <w:tcW w:w="3045" w:type="dxa"/>
          </w:tcPr>
          <w:p w:rsidR="00380B6E" w:rsidRDefault="00F91ABE" w:rsidP="007B50EC">
            <w:pPr>
              <w:jc w:val="right"/>
            </w:pPr>
            <w:r>
              <w:t>April 25</w:t>
            </w:r>
          </w:p>
          <w:p w:rsidR="0009733E" w:rsidRDefault="0009733E" w:rsidP="0009733E">
            <w:r>
              <w:t>Poster presentations</w:t>
            </w:r>
          </w:p>
        </w:tc>
        <w:tc>
          <w:tcPr>
            <w:tcW w:w="3046" w:type="dxa"/>
          </w:tcPr>
          <w:p w:rsidR="00380B6E" w:rsidRDefault="00F91ABE" w:rsidP="007B50EC">
            <w:pPr>
              <w:jc w:val="right"/>
            </w:pPr>
            <w:r>
              <w:t>April 27</w:t>
            </w:r>
          </w:p>
          <w:p w:rsidR="0009733E" w:rsidRDefault="0009733E" w:rsidP="0009733E">
            <w:r>
              <w:t>Last day of class: wrap up</w:t>
            </w:r>
          </w:p>
          <w:p w:rsidR="00E171E9" w:rsidRDefault="00E171E9" w:rsidP="0009733E"/>
          <w:p w:rsidR="00E171E9" w:rsidRDefault="00E171E9" w:rsidP="0009733E">
            <w:r>
              <w:t>Group Poster Due at Midnight</w:t>
            </w:r>
          </w:p>
          <w:p w:rsidR="00E171E9" w:rsidRDefault="00E171E9" w:rsidP="0009733E"/>
          <w:p w:rsidR="00E171E9" w:rsidRDefault="00E171E9" w:rsidP="0009733E">
            <w:r>
              <w:t>Individual Self-Assessment Due at Midnight</w:t>
            </w:r>
          </w:p>
        </w:tc>
      </w:tr>
    </w:tbl>
    <w:p w:rsidR="00813390" w:rsidRDefault="00813390" w:rsidP="007B50EC">
      <w:pPr>
        <w:spacing w:after="0" w:line="240" w:lineRule="auto"/>
      </w:pPr>
    </w:p>
    <w:sectPr w:rsidR="00813390" w:rsidSect="00813390">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52A" w:rsidRDefault="0070752A" w:rsidP="00380B6E">
      <w:pPr>
        <w:spacing w:after="0" w:line="240" w:lineRule="auto"/>
      </w:pPr>
      <w:r>
        <w:separator/>
      </w:r>
    </w:p>
  </w:endnote>
  <w:endnote w:type="continuationSeparator" w:id="0">
    <w:p w:rsidR="0070752A" w:rsidRDefault="0070752A" w:rsidP="00380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1000000" w:usb1="00000000" w:usb2="07040001" w:usb3="00000000" w:csb0="00020000"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1000000" w:usb1="00000000" w:usb2="07040001"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08844"/>
      <w:docPartObj>
        <w:docPartGallery w:val="Page Numbers (Bottom of Page)"/>
        <w:docPartUnique/>
      </w:docPartObj>
    </w:sdtPr>
    <w:sdtContent>
      <w:p w:rsidR="00B1468B" w:rsidRDefault="008A238C">
        <w:pPr>
          <w:pStyle w:val="Footer"/>
          <w:jc w:val="center"/>
        </w:pPr>
        <w:r>
          <w:fldChar w:fldCharType="begin"/>
        </w:r>
        <w:r w:rsidR="00EC0BE0">
          <w:instrText xml:space="preserve"> PAGE   \* MERGEFORMAT </w:instrText>
        </w:r>
        <w:r>
          <w:fldChar w:fldCharType="separate"/>
        </w:r>
        <w:r w:rsidR="009E5934">
          <w:rPr>
            <w:noProof/>
          </w:rPr>
          <w:t>6</w:t>
        </w:r>
        <w:r>
          <w:rPr>
            <w:noProof/>
          </w:rPr>
          <w:fldChar w:fldCharType="end"/>
        </w:r>
      </w:p>
    </w:sdtContent>
  </w:sdt>
  <w:p w:rsidR="00B1468B" w:rsidRDefault="00B146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52A" w:rsidRDefault="0070752A" w:rsidP="00380B6E">
      <w:pPr>
        <w:spacing w:after="0" w:line="240" w:lineRule="auto"/>
      </w:pPr>
      <w:r>
        <w:separator/>
      </w:r>
    </w:p>
  </w:footnote>
  <w:footnote w:type="continuationSeparator" w:id="0">
    <w:p w:rsidR="0070752A" w:rsidRDefault="0070752A" w:rsidP="00380B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F7C21"/>
    <w:multiLevelType w:val="hybridMultilevel"/>
    <w:tmpl w:val="90A6A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5525E"/>
    <w:multiLevelType w:val="hybridMultilevel"/>
    <w:tmpl w:val="6F127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478AC"/>
    <w:multiLevelType w:val="hybridMultilevel"/>
    <w:tmpl w:val="5EB2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051AEE"/>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5D375A"/>
    <w:multiLevelType w:val="hybridMultilevel"/>
    <w:tmpl w:val="D3D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80B6E"/>
    <w:rsid w:val="00030950"/>
    <w:rsid w:val="00052673"/>
    <w:rsid w:val="00052E9F"/>
    <w:rsid w:val="00096F66"/>
    <w:rsid w:val="0009733E"/>
    <w:rsid w:val="001014A2"/>
    <w:rsid w:val="001222C2"/>
    <w:rsid w:val="00151D01"/>
    <w:rsid w:val="001764AF"/>
    <w:rsid w:val="001C1DFB"/>
    <w:rsid w:val="001D2E69"/>
    <w:rsid w:val="001E4529"/>
    <w:rsid w:val="0022274A"/>
    <w:rsid w:val="00234DCC"/>
    <w:rsid w:val="00244051"/>
    <w:rsid w:val="0028262A"/>
    <w:rsid w:val="002A6620"/>
    <w:rsid w:val="002F754E"/>
    <w:rsid w:val="00336A1B"/>
    <w:rsid w:val="003512B4"/>
    <w:rsid w:val="00373452"/>
    <w:rsid w:val="00380B6E"/>
    <w:rsid w:val="003B67BB"/>
    <w:rsid w:val="004800DB"/>
    <w:rsid w:val="00487E30"/>
    <w:rsid w:val="004D7E41"/>
    <w:rsid w:val="004F01EE"/>
    <w:rsid w:val="00505458"/>
    <w:rsid w:val="0051735C"/>
    <w:rsid w:val="0053534C"/>
    <w:rsid w:val="0057146D"/>
    <w:rsid w:val="00592616"/>
    <w:rsid w:val="005B7347"/>
    <w:rsid w:val="005C7D2D"/>
    <w:rsid w:val="00634C6B"/>
    <w:rsid w:val="00642529"/>
    <w:rsid w:val="006F4E76"/>
    <w:rsid w:val="00700575"/>
    <w:rsid w:val="00706377"/>
    <w:rsid w:val="0070752A"/>
    <w:rsid w:val="00715334"/>
    <w:rsid w:val="00737096"/>
    <w:rsid w:val="007B50EC"/>
    <w:rsid w:val="007B741B"/>
    <w:rsid w:val="007C127B"/>
    <w:rsid w:val="007E2CAE"/>
    <w:rsid w:val="0080286C"/>
    <w:rsid w:val="00813390"/>
    <w:rsid w:val="0085531A"/>
    <w:rsid w:val="00881AF0"/>
    <w:rsid w:val="008A238C"/>
    <w:rsid w:val="008B1AB1"/>
    <w:rsid w:val="00905E74"/>
    <w:rsid w:val="009071D7"/>
    <w:rsid w:val="00967867"/>
    <w:rsid w:val="009947A1"/>
    <w:rsid w:val="009D226C"/>
    <w:rsid w:val="009D47DA"/>
    <w:rsid w:val="009D547F"/>
    <w:rsid w:val="009E5934"/>
    <w:rsid w:val="00A35B75"/>
    <w:rsid w:val="00A552AD"/>
    <w:rsid w:val="00A96952"/>
    <w:rsid w:val="00AC39BC"/>
    <w:rsid w:val="00AD47A1"/>
    <w:rsid w:val="00B123AE"/>
    <w:rsid w:val="00B1468B"/>
    <w:rsid w:val="00B451B3"/>
    <w:rsid w:val="00B974FA"/>
    <w:rsid w:val="00BC01D2"/>
    <w:rsid w:val="00BF1AF0"/>
    <w:rsid w:val="00BF5C1C"/>
    <w:rsid w:val="00C162B9"/>
    <w:rsid w:val="00C668E6"/>
    <w:rsid w:val="00DD3395"/>
    <w:rsid w:val="00E1093A"/>
    <w:rsid w:val="00E12F37"/>
    <w:rsid w:val="00E171E9"/>
    <w:rsid w:val="00E26A68"/>
    <w:rsid w:val="00E469CD"/>
    <w:rsid w:val="00E47952"/>
    <w:rsid w:val="00E7521E"/>
    <w:rsid w:val="00EC0BE0"/>
    <w:rsid w:val="00EF2994"/>
    <w:rsid w:val="00F13FCA"/>
    <w:rsid w:val="00F91ABE"/>
    <w:rsid w:val="00FC09EB"/>
    <w:rsid w:val="00FC6C0C"/>
    <w:rsid w:val="00FF3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38C"/>
  </w:style>
  <w:style w:type="paragraph" w:styleId="Heading1">
    <w:name w:val="heading 1"/>
    <w:basedOn w:val="Normal"/>
    <w:next w:val="Normal"/>
    <w:link w:val="Heading1Char"/>
    <w:uiPriority w:val="9"/>
    <w:qFormat/>
    <w:rsid w:val="0003095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3095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3095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3095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3095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30950"/>
    <w:pPr>
      <w:spacing w:before="240" w:after="60"/>
      <w:outlineLvl w:val="5"/>
    </w:pPr>
    <w:rPr>
      <w:b/>
      <w:bCs/>
    </w:rPr>
  </w:style>
  <w:style w:type="paragraph" w:styleId="Heading7">
    <w:name w:val="heading 7"/>
    <w:basedOn w:val="Normal"/>
    <w:next w:val="Normal"/>
    <w:link w:val="Heading7Char"/>
    <w:uiPriority w:val="9"/>
    <w:semiHidden/>
    <w:unhideWhenUsed/>
    <w:qFormat/>
    <w:rsid w:val="00030950"/>
    <w:pPr>
      <w:spacing w:before="240" w:after="60"/>
      <w:outlineLvl w:val="6"/>
    </w:pPr>
  </w:style>
  <w:style w:type="paragraph" w:styleId="Heading8">
    <w:name w:val="heading 8"/>
    <w:basedOn w:val="Normal"/>
    <w:next w:val="Normal"/>
    <w:link w:val="Heading8Char"/>
    <w:uiPriority w:val="9"/>
    <w:semiHidden/>
    <w:unhideWhenUsed/>
    <w:qFormat/>
    <w:rsid w:val="00030950"/>
    <w:pPr>
      <w:spacing w:before="240" w:after="60"/>
      <w:outlineLvl w:val="7"/>
    </w:pPr>
    <w:rPr>
      <w:i/>
      <w:iCs/>
    </w:rPr>
  </w:style>
  <w:style w:type="paragraph" w:styleId="Heading9">
    <w:name w:val="heading 9"/>
    <w:basedOn w:val="Normal"/>
    <w:next w:val="Normal"/>
    <w:link w:val="Heading9Char"/>
    <w:uiPriority w:val="9"/>
    <w:semiHidden/>
    <w:unhideWhenUsed/>
    <w:qFormat/>
    <w:rsid w:val="00030950"/>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95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3095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3095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30950"/>
    <w:rPr>
      <w:b/>
      <w:bCs/>
      <w:sz w:val="28"/>
      <w:szCs w:val="28"/>
    </w:rPr>
  </w:style>
  <w:style w:type="character" w:customStyle="1" w:styleId="Heading5Char">
    <w:name w:val="Heading 5 Char"/>
    <w:basedOn w:val="DefaultParagraphFont"/>
    <w:link w:val="Heading5"/>
    <w:uiPriority w:val="9"/>
    <w:semiHidden/>
    <w:rsid w:val="00030950"/>
    <w:rPr>
      <w:b/>
      <w:bCs/>
      <w:i/>
      <w:iCs/>
      <w:sz w:val="26"/>
      <w:szCs w:val="26"/>
    </w:rPr>
  </w:style>
  <w:style w:type="character" w:customStyle="1" w:styleId="Heading6Char">
    <w:name w:val="Heading 6 Char"/>
    <w:basedOn w:val="DefaultParagraphFont"/>
    <w:link w:val="Heading6"/>
    <w:uiPriority w:val="9"/>
    <w:semiHidden/>
    <w:rsid w:val="00030950"/>
    <w:rPr>
      <w:b/>
      <w:bCs/>
    </w:rPr>
  </w:style>
  <w:style w:type="character" w:customStyle="1" w:styleId="Heading7Char">
    <w:name w:val="Heading 7 Char"/>
    <w:basedOn w:val="DefaultParagraphFont"/>
    <w:link w:val="Heading7"/>
    <w:uiPriority w:val="9"/>
    <w:semiHidden/>
    <w:rsid w:val="00030950"/>
    <w:rPr>
      <w:sz w:val="24"/>
      <w:szCs w:val="24"/>
    </w:rPr>
  </w:style>
  <w:style w:type="character" w:customStyle="1" w:styleId="Heading8Char">
    <w:name w:val="Heading 8 Char"/>
    <w:basedOn w:val="DefaultParagraphFont"/>
    <w:link w:val="Heading8"/>
    <w:uiPriority w:val="9"/>
    <w:semiHidden/>
    <w:rsid w:val="00030950"/>
    <w:rPr>
      <w:i/>
      <w:iCs/>
      <w:sz w:val="24"/>
      <w:szCs w:val="24"/>
    </w:rPr>
  </w:style>
  <w:style w:type="character" w:customStyle="1" w:styleId="Heading9Char">
    <w:name w:val="Heading 9 Char"/>
    <w:basedOn w:val="DefaultParagraphFont"/>
    <w:link w:val="Heading9"/>
    <w:uiPriority w:val="9"/>
    <w:semiHidden/>
    <w:rsid w:val="00030950"/>
    <w:rPr>
      <w:rFonts w:asciiTheme="majorHAnsi" w:eastAsiaTheme="majorEastAsia" w:hAnsiTheme="majorHAnsi"/>
    </w:rPr>
  </w:style>
  <w:style w:type="paragraph" w:styleId="Title">
    <w:name w:val="Title"/>
    <w:basedOn w:val="Normal"/>
    <w:next w:val="Normal"/>
    <w:link w:val="TitleChar"/>
    <w:uiPriority w:val="10"/>
    <w:qFormat/>
    <w:rsid w:val="0003095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3095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3095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30950"/>
    <w:rPr>
      <w:rFonts w:asciiTheme="majorHAnsi" w:eastAsiaTheme="majorEastAsia" w:hAnsiTheme="majorHAnsi"/>
      <w:sz w:val="24"/>
      <w:szCs w:val="24"/>
    </w:rPr>
  </w:style>
  <w:style w:type="character" w:styleId="Strong">
    <w:name w:val="Strong"/>
    <w:basedOn w:val="DefaultParagraphFont"/>
    <w:uiPriority w:val="22"/>
    <w:qFormat/>
    <w:rsid w:val="00030950"/>
    <w:rPr>
      <w:b/>
      <w:bCs/>
    </w:rPr>
  </w:style>
  <w:style w:type="character" w:styleId="Emphasis">
    <w:name w:val="Emphasis"/>
    <w:basedOn w:val="DefaultParagraphFont"/>
    <w:uiPriority w:val="20"/>
    <w:qFormat/>
    <w:rsid w:val="00030950"/>
    <w:rPr>
      <w:rFonts w:asciiTheme="minorHAnsi" w:hAnsiTheme="minorHAnsi"/>
      <w:b/>
      <w:i/>
      <w:iCs/>
    </w:rPr>
  </w:style>
  <w:style w:type="paragraph" w:styleId="NoSpacing">
    <w:name w:val="No Spacing"/>
    <w:basedOn w:val="Normal"/>
    <w:uiPriority w:val="1"/>
    <w:qFormat/>
    <w:rsid w:val="00030950"/>
    <w:rPr>
      <w:szCs w:val="32"/>
    </w:rPr>
  </w:style>
  <w:style w:type="paragraph" w:styleId="ListParagraph">
    <w:name w:val="List Paragraph"/>
    <w:basedOn w:val="Normal"/>
    <w:uiPriority w:val="34"/>
    <w:qFormat/>
    <w:rsid w:val="00030950"/>
    <w:pPr>
      <w:ind w:left="720"/>
      <w:contextualSpacing/>
    </w:pPr>
  </w:style>
  <w:style w:type="paragraph" w:styleId="Quote">
    <w:name w:val="Quote"/>
    <w:basedOn w:val="Normal"/>
    <w:next w:val="Normal"/>
    <w:link w:val="QuoteChar"/>
    <w:uiPriority w:val="29"/>
    <w:qFormat/>
    <w:rsid w:val="00030950"/>
    <w:rPr>
      <w:i/>
    </w:rPr>
  </w:style>
  <w:style w:type="character" w:customStyle="1" w:styleId="QuoteChar">
    <w:name w:val="Quote Char"/>
    <w:basedOn w:val="DefaultParagraphFont"/>
    <w:link w:val="Quote"/>
    <w:uiPriority w:val="29"/>
    <w:rsid w:val="00030950"/>
    <w:rPr>
      <w:i/>
      <w:sz w:val="24"/>
      <w:szCs w:val="24"/>
    </w:rPr>
  </w:style>
  <w:style w:type="paragraph" w:styleId="IntenseQuote">
    <w:name w:val="Intense Quote"/>
    <w:basedOn w:val="Normal"/>
    <w:next w:val="Normal"/>
    <w:link w:val="IntenseQuoteChar"/>
    <w:uiPriority w:val="30"/>
    <w:qFormat/>
    <w:rsid w:val="00030950"/>
    <w:pPr>
      <w:ind w:left="720" w:right="720"/>
    </w:pPr>
    <w:rPr>
      <w:b/>
      <w:i/>
    </w:rPr>
  </w:style>
  <w:style w:type="character" w:customStyle="1" w:styleId="IntenseQuoteChar">
    <w:name w:val="Intense Quote Char"/>
    <w:basedOn w:val="DefaultParagraphFont"/>
    <w:link w:val="IntenseQuote"/>
    <w:uiPriority w:val="30"/>
    <w:rsid w:val="00030950"/>
    <w:rPr>
      <w:b/>
      <w:i/>
      <w:sz w:val="24"/>
    </w:rPr>
  </w:style>
  <w:style w:type="character" w:styleId="SubtleEmphasis">
    <w:name w:val="Subtle Emphasis"/>
    <w:uiPriority w:val="19"/>
    <w:qFormat/>
    <w:rsid w:val="00030950"/>
    <w:rPr>
      <w:i/>
      <w:color w:val="5A5A5A" w:themeColor="text1" w:themeTint="A5"/>
    </w:rPr>
  </w:style>
  <w:style w:type="character" w:styleId="IntenseEmphasis">
    <w:name w:val="Intense Emphasis"/>
    <w:basedOn w:val="DefaultParagraphFont"/>
    <w:uiPriority w:val="21"/>
    <w:qFormat/>
    <w:rsid w:val="00030950"/>
    <w:rPr>
      <w:b/>
      <w:i/>
      <w:sz w:val="24"/>
      <w:szCs w:val="24"/>
      <w:u w:val="single"/>
    </w:rPr>
  </w:style>
  <w:style w:type="character" w:styleId="SubtleReference">
    <w:name w:val="Subtle Reference"/>
    <w:basedOn w:val="DefaultParagraphFont"/>
    <w:uiPriority w:val="31"/>
    <w:qFormat/>
    <w:rsid w:val="00030950"/>
    <w:rPr>
      <w:sz w:val="24"/>
      <w:szCs w:val="24"/>
      <w:u w:val="single"/>
    </w:rPr>
  </w:style>
  <w:style w:type="character" w:styleId="IntenseReference">
    <w:name w:val="Intense Reference"/>
    <w:basedOn w:val="DefaultParagraphFont"/>
    <w:uiPriority w:val="32"/>
    <w:qFormat/>
    <w:rsid w:val="00030950"/>
    <w:rPr>
      <w:b/>
      <w:sz w:val="24"/>
      <w:u w:val="single"/>
    </w:rPr>
  </w:style>
  <w:style w:type="character" w:styleId="BookTitle">
    <w:name w:val="Book Title"/>
    <w:basedOn w:val="DefaultParagraphFont"/>
    <w:uiPriority w:val="33"/>
    <w:qFormat/>
    <w:rsid w:val="0003095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30950"/>
    <w:pPr>
      <w:outlineLvl w:val="9"/>
    </w:pPr>
  </w:style>
  <w:style w:type="table" w:styleId="TableGrid">
    <w:name w:val="Table Grid"/>
    <w:basedOn w:val="TableNormal"/>
    <w:uiPriority w:val="59"/>
    <w:rsid w:val="00380B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0B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0B6E"/>
    <w:rPr>
      <w:rFonts w:eastAsiaTheme="minorEastAsia" w:cstheme="minorBidi"/>
      <w:lang w:bidi="ar-SA"/>
    </w:rPr>
  </w:style>
  <w:style w:type="paragraph" w:styleId="Footer">
    <w:name w:val="footer"/>
    <w:basedOn w:val="Normal"/>
    <w:link w:val="FooterChar"/>
    <w:uiPriority w:val="99"/>
    <w:unhideWhenUsed/>
    <w:rsid w:val="0038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E"/>
    <w:rPr>
      <w:rFonts w:eastAsiaTheme="minorEastAsia" w:cstheme="minorBidi"/>
      <w:lang w:bidi="ar-SA"/>
    </w:rPr>
  </w:style>
  <w:style w:type="character" w:styleId="Hyperlink">
    <w:name w:val="Hyperlink"/>
    <w:basedOn w:val="DefaultParagraphFont"/>
    <w:uiPriority w:val="99"/>
    <w:unhideWhenUsed/>
    <w:rsid w:val="00151D01"/>
    <w:rPr>
      <w:color w:val="0000FF" w:themeColor="hyperlink"/>
      <w:u w:val="single"/>
    </w:rPr>
  </w:style>
  <w:style w:type="character" w:customStyle="1" w:styleId="apple-converted-space">
    <w:name w:val="apple-converted-space"/>
    <w:basedOn w:val="DefaultParagraphFont"/>
    <w:rsid w:val="009071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95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3095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3095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3095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3095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30950"/>
    <w:pPr>
      <w:spacing w:before="240" w:after="60"/>
      <w:outlineLvl w:val="5"/>
    </w:pPr>
    <w:rPr>
      <w:b/>
      <w:bCs/>
    </w:rPr>
  </w:style>
  <w:style w:type="paragraph" w:styleId="Heading7">
    <w:name w:val="heading 7"/>
    <w:basedOn w:val="Normal"/>
    <w:next w:val="Normal"/>
    <w:link w:val="Heading7Char"/>
    <w:uiPriority w:val="9"/>
    <w:semiHidden/>
    <w:unhideWhenUsed/>
    <w:qFormat/>
    <w:rsid w:val="00030950"/>
    <w:pPr>
      <w:spacing w:before="240" w:after="60"/>
      <w:outlineLvl w:val="6"/>
    </w:pPr>
  </w:style>
  <w:style w:type="paragraph" w:styleId="Heading8">
    <w:name w:val="heading 8"/>
    <w:basedOn w:val="Normal"/>
    <w:next w:val="Normal"/>
    <w:link w:val="Heading8Char"/>
    <w:uiPriority w:val="9"/>
    <w:semiHidden/>
    <w:unhideWhenUsed/>
    <w:qFormat/>
    <w:rsid w:val="00030950"/>
    <w:pPr>
      <w:spacing w:before="240" w:after="60"/>
      <w:outlineLvl w:val="7"/>
    </w:pPr>
    <w:rPr>
      <w:i/>
      <w:iCs/>
    </w:rPr>
  </w:style>
  <w:style w:type="paragraph" w:styleId="Heading9">
    <w:name w:val="heading 9"/>
    <w:basedOn w:val="Normal"/>
    <w:next w:val="Normal"/>
    <w:link w:val="Heading9Char"/>
    <w:uiPriority w:val="9"/>
    <w:semiHidden/>
    <w:unhideWhenUsed/>
    <w:qFormat/>
    <w:rsid w:val="00030950"/>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95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3095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3095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30950"/>
    <w:rPr>
      <w:b/>
      <w:bCs/>
      <w:sz w:val="28"/>
      <w:szCs w:val="28"/>
    </w:rPr>
  </w:style>
  <w:style w:type="character" w:customStyle="1" w:styleId="Heading5Char">
    <w:name w:val="Heading 5 Char"/>
    <w:basedOn w:val="DefaultParagraphFont"/>
    <w:link w:val="Heading5"/>
    <w:uiPriority w:val="9"/>
    <w:semiHidden/>
    <w:rsid w:val="00030950"/>
    <w:rPr>
      <w:b/>
      <w:bCs/>
      <w:i/>
      <w:iCs/>
      <w:sz w:val="26"/>
      <w:szCs w:val="26"/>
    </w:rPr>
  </w:style>
  <w:style w:type="character" w:customStyle="1" w:styleId="Heading6Char">
    <w:name w:val="Heading 6 Char"/>
    <w:basedOn w:val="DefaultParagraphFont"/>
    <w:link w:val="Heading6"/>
    <w:uiPriority w:val="9"/>
    <w:semiHidden/>
    <w:rsid w:val="00030950"/>
    <w:rPr>
      <w:b/>
      <w:bCs/>
    </w:rPr>
  </w:style>
  <w:style w:type="character" w:customStyle="1" w:styleId="Heading7Char">
    <w:name w:val="Heading 7 Char"/>
    <w:basedOn w:val="DefaultParagraphFont"/>
    <w:link w:val="Heading7"/>
    <w:uiPriority w:val="9"/>
    <w:semiHidden/>
    <w:rsid w:val="00030950"/>
    <w:rPr>
      <w:sz w:val="24"/>
      <w:szCs w:val="24"/>
    </w:rPr>
  </w:style>
  <w:style w:type="character" w:customStyle="1" w:styleId="Heading8Char">
    <w:name w:val="Heading 8 Char"/>
    <w:basedOn w:val="DefaultParagraphFont"/>
    <w:link w:val="Heading8"/>
    <w:uiPriority w:val="9"/>
    <w:semiHidden/>
    <w:rsid w:val="00030950"/>
    <w:rPr>
      <w:i/>
      <w:iCs/>
      <w:sz w:val="24"/>
      <w:szCs w:val="24"/>
    </w:rPr>
  </w:style>
  <w:style w:type="character" w:customStyle="1" w:styleId="Heading9Char">
    <w:name w:val="Heading 9 Char"/>
    <w:basedOn w:val="DefaultParagraphFont"/>
    <w:link w:val="Heading9"/>
    <w:uiPriority w:val="9"/>
    <w:semiHidden/>
    <w:rsid w:val="00030950"/>
    <w:rPr>
      <w:rFonts w:asciiTheme="majorHAnsi" w:eastAsiaTheme="majorEastAsia" w:hAnsiTheme="majorHAnsi"/>
    </w:rPr>
  </w:style>
  <w:style w:type="paragraph" w:styleId="Title">
    <w:name w:val="Title"/>
    <w:basedOn w:val="Normal"/>
    <w:next w:val="Normal"/>
    <w:link w:val="TitleChar"/>
    <w:uiPriority w:val="10"/>
    <w:qFormat/>
    <w:rsid w:val="0003095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3095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3095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30950"/>
    <w:rPr>
      <w:rFonts w:asciiTheme="majorHAnsi" w:eastAsiaTheme="majorEastAsia" w:hAnsiTheme="majorHAnsi"/>
      <w:sz w:val="24"/>
      <w:szCs w:val="24"/>
    </w:rPr>
  </w:style>
  <w:style w:type="character" w:styleId="Strong">
    <w:name w:val="Strong"/>
    <w:basedOn w:val="DefaultParagraphFont"/>
    <w:uiPriority w:val="22"/>
    <w:qFormat/>
    <w:rsid w:val="00030950"/>
    <w:rPr>
      <w:b/>
      <w:bCs/>
    </w:rPr>
  </w:style>
  <w:style w:type="character" w:styleId="Emphasis">
    <w:name w:val="Emphasis"/>
    <w:basedOn w:val="DefaultParagraphFont"/>
    <w:uiPriority w:val="20"/>
    <w:qFormat/>
    <w:rsid w:val="00030950"/>
    <w:rPr>
      <w:rFonts w:asciiTheme="minorHAnsi" w:hAnsiTheme="minorHAnsi"/>
      <w:b/>
      <w:i/>
      <w:iCs/>
    </w:rPr>
  </w:style>
  <w:style w:type="paragraph" w:styleId="NoSpacing">
    <w:name w:val="No Spacing"/>
    <w:basedOn w:val="Normal"/>
    <w:uiPriority w:val="1"/>
    <w:qFormat/>
    <w:rsid w:val="00030950"/>
    <w:rPr>
      <w:szCs w:val="32"/>
    </w:rPr>
  </w:style>
  <w:style w:type="paragraph" w:styleId="ListParagraph">
    <w:name w:val="List Paragraph"/>
    <w:basedOn w:val="Normal"/>
    <w:uiPriority w:val="34"/>
    <w:qFormat/>
    <w:rsid w:val="00030950"/>
    <w:pPr>
      <w:ind w:left="720"/>
      <w:contextualSpacing/>
    </w:pPr>
  </w:style>
  <w:style w:type="paragraph" w:styleId="Quote">
    <w:name w:val="Quote"/>
    <w:basedOn w:val="Normal"/>
    <w:next w:val="Normal"/>
    <w:link w:val="QuoteChar"/>
    <w:uiPriority w:val="29"/>
    <w:qFormat/>
    <w:rsid w:val="00030950"/>
    <w:rPr>
      <w:i/>
    </w:rPr>
  </w:style>
  <w:style w:type="character" w:customStyle="1" w:styleId="QuoteChar">
    <w:name w:val="Quote Char"/>
    <w:basedOn w:val="DefaultParagraphFont"/>
    <w:link w:val="Quote"/>
    <w:uiPriority w:val="29"/>
    <w:rsid w:val="00030950"/>
    <w:rPr>
      <w:i/>
      <w:sz w:val="24"/>
      <w:szCs w:val="24"/>
    </w:rPr>
  </w:style>
  <w:style w:type="paragraph" w:styleId="IntenseQuote">
    <w:name w:val="Intense Quote"/>
    <w:basedOn w:val="Normal"/>
    <w:next w:val="Normal"/>
    <w:link w:val="IntenseQuoteChar"/>
    <w:uiPriority w:val="30"/>
    <w:qFormat/>
    <w:rsid w:val="00030950"/>
    <w:pPr>
      <w:ind w:left="720" w:right="720"/>
    </w:pPr>
    <w:rPr>
      <w:b/>
      <w:i/>
    </w:rPr>
  </w:style>
  <w:style w:type="character" w:customStyle="1" w:styleId="IntenseQuoteChar">
    <w:name w:val="Intense Quote Char"/>
    <w:basedOn w:val="DefaultParagraphFont"/>
    <w:link w:val="IntenseQuote"/>
    <w:uiPriority w:val="30"/>
    <w:rsid w:val="00030950"/>
    <w:rPr>
      <w:b/>
      <w:i/>
      <w:sz w:val="24"/>
    </w:rPr>
  </w:style>
  <w:style w:type="character" w:styleId="SubtleEmphasis">
    <w:name w:val="Subtle Emphasis"/>
    <w:uiPriority w:val="19"/>
    <w:qFormat/>
    <w:rsid w:val="00030950"/>
    <w:rPr>
      <w:i/>
      <w:color w:val="5A5A5A" w:themeColor="text1" w:themeTint="A5"/>
    </w:rPr>
  </w:style>
  <w:style w:type="character" w:styleId="IntenseEmphasis">
    <w:name w:val="Intense Emphasis"/>
    <w:basedOn w:val="DefaultParagraphFont"/>
    <w:uiPriority w:val="21"/>
    <w:qFormat/>
    <w:rsid w:val="00030950"/>
    <w:rPr>
      <w:b/>
      <w:i/>
      <w:sz w:val="24"/>
      <w:szCs w:val="24"/>
      <w:u w:val="single"/>
    </w:rPr>
  </w:style>
  <w:style w:type="character" w:styleId="SubtleReference">
    <w:name w:val="Subtle Reference"/>
    <w:basedOn w:val="DefaultParagraphFont"/>
    <w:uiPriority w:val="31"/>
    <w:qFormat/>
    <w:rsid w:val="00030950"/>
    <w:rPr>
      <w:sz w:val="24"/>
      <w:szCs w:val="24"/>
      <w:u w:val="single"/>
    </w:rPr>
  </w:style>
  <w:style w:type="character" w:styleId="IntenseReference">
    <w:name w:val="Intense Reference"/>
    <w:basedOn w:val="DefaultParagraphFont"/>
    <w:uiPriority w:val="32"/>
    <w:qFormat/>
    <w:rsid w:val="00030950"/>
    <w:rPr>
      <w:b/>
      <w:sz w:val="24"/>
      <w:u w:val="single"/>
    </w:rPr>
  </w:style>
  <w:style w:type="character" w:styleId="BookTitle">
    <w:name w:val="Book Title"/>
    <w:basedOn w:val="DefaultParagraphFont"/>
    <w:uiPriority w:val="33"/>
    <w:qFormat/>
    <w:rsid w:val="0003095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30950"/>
    <w:pPr>
      <w:outlineLvl w:val="9"/>
    </w:pPr>
  </w:style>
  <w:style w:type="table" w:styleId="TableGrid">
    <w:name w:val="Table Grid"/>
    <w:basedOn w:val="TableNormal"/>
    <w:uiPriority w:val="59"/>
    <w:rsid w:val="00380B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0B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0B6E"/>
    <w:rPr>
      <w:rFonts w:eastAsiaTheme="minorEastAsia" w:cstheme="minorBidi"/>
      <w:lang w:bidi="ar-SA"/>
    </w:rPr>
  </w:style>
  <w:style w:type="paragraph" w:styleId="Footer">
    <w:name w:val="footer"/>
    <w:basedOn w:val="Normal"/>
    <w:link w:val="FooterChar"/>
    <w:uiPriority w:val="99"/>
    <w:unhideWhenUsed/>
    <w:rsid w:val="0038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E"/>
    <w:rPr>
      <w:rFonts w:eastAsiaTheme="minorEastAsia" w:cstheme="minorBidi"/>
      <w:lang w:bidi="ar-SA"/>
    </w:rPr>
  </w:style>
  <w:style w:type="character" w:styleId="Hyperlink">
    <w:name w:val="Hyperlink"/>
    <w:basedOn w:val="DefaultParagraphFont"/>
    <w:uiPriority w:val="99"/>
    <w:unhideWhenUsed/>
    <w:rsid w:val="00151D0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3093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nne.pollock@lmc.gate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nor.gatech.edu/"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ionary.reference.com/browse/plagiarism?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b.php" TargetMode="External"/><Relationship Id="rId4" Type="http://schemas.openxmlformats.org/officeDocument/2006/relationships/settings" Target="settings.xml"/><Relationship Id="rId9" Type="http://schemas.openxmlformats.org/officeDocument/2006/relationships/hyperlink" Target="http://adapts.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941E1-6962-4A58-9EF0-38373126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Pollock, Anne</dc:creator>
  <cp:lastModifiedBy>jr324</cp:lastModifiedBy>
  <cp:revision>2</cp:revision>
  <cp:lastPrinted>2011-01-11T18:33:00Z</cp:lastPrinted>
  <dcterms:created xsi:type="dcterms:W3CDTF">2012-12-05T15:38:00Z</dcterms:created>
  <dcterms:modified xsi:type="dcterms:W3CDTF">2012-12-05T15:38:00Z</dcterms:modified>
</cp:coreProperties>
</file>