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4D04C" w14:textId="77777777" w:rsidR="00FE1F29" w:rsidRPr="0087605D" w:rsidRDefault="00FE1F29" w:rsidP="00927564">
      <w:pPr>
        <w:widowControl w:val="0"/>
        <w:autoSpaceDE w:val="0"/>
        <w:autoSpaceDN w:val="0"/>
        <w:adjustRightInd w:val="0"/>
        <w:jc w:val="center"/>
        <w:rPr>
          <w:rFonts w:cs="Cambria"/>
        </w:rPr>
      </w:pPr>
      <w:r w:rsidRPr="0087605D">
        <w:rPr>
          <w:rFonts w:cs="Cambria"/>
        </w:rPr>
        <w:t>Professor Rebecca E. Burnett</w:t>
      </w:r>
    </w:p>
    <w:p w14:paraId="1C37E50E" w14:textId="77777777" w:rsidR="00FE1F29" w:rsidRPr="0087605D" w:rsidRDefault="00FE1F29" w:rsidP="00927564">
      <w:pPr>
        <w:widowControl w:val="0"/>
        <w:autoSpaceDE w:val="0"/>
        <w:autoSpaceDN w:val="0"/>
        <w:adjustRightInd w:val="0"/>
        <w:jc w:val="center"/>
        <w:rPr>
          <w:rFonts w:cs="Cambria"/>
        </w:rPr>
      </w:pPr>
      <w:r w:rsidRPr="0087605D">
        <w:rPr>
          <w:rFonts w:cs="Cambria"/>
        </w:rPr>
        <w:t>Office: Hall 111 </w:t>
      </w:r>
    </w:p>
    <w:p w14:paraId="275AFDB7" w14:textId="77777777" w:rsidR="00FE1F29" w:rsidRPr="0087605D" w:rsidRDefault="00FE1F29" w:rsidP="00927564">
      <w:pPr>
        <w:widowControl w:val="0"/>
        <w:autoSpaceDE w:val="0"/>
        <w:autoSpaceDN w:val="0"/>
        <w:adjustRightInd w:val="0"/>
        <w:jc w:val="center"/>
        <w:rPr>
          <w:rFonts w:cs="Cambria"/>
        </w:rPr>
      </w:pPr>
      <w:r w:rsidRPr="0087605D">
        <w:rPr>
          <w:rFonts w:cs="Cambria"/>
        </w:rPr>
        <w:t>Office hours: T/</w:t>
      </w:r>
      <w:proofErr w:type="spellStart"/>
      <w:r w:rsidRPr="0087605D">
        <w:rPr>
          <w:rFonts w:cs="Cambria"/>
        </w:rPr>
        <w:t>Th</w:t>
      </w:r>
      <w:proofErr w:type="spellEnd"/>
      <w:r w:rsidRPr="0087605D">
        <w:rPr>
          <w:rFonts w:cs="Cambria"/>
        </w:rPr>
        <w:t xml:space="preserve"> </w:t>
      </w:r>
      <w:r w:rsidR="00F365BE" w:rsidRPr="0087605D">
        <w:rPr>
          <w:rFonts w:cs="Cambria"/>
        </w:rPr>
        <w:t>9:30-11 am</w:t>
      </w:r>
    </w:p>
    <w:p w14:paraId="68C40EB9" w14:textId="77777777" w:rsidR="00FE1F29" w:rsidRPr="0087605D" w:rsidRDefault="00FE1F29" w:rsidP="00927564">
      <w:pPr>
        <w:widowControl w:val="0"/>
        <w:autoSpaceDE w:val="0"/>
        <w:autoSpaceDN w:val="0"/>
        <w:adjustRightInd w:val="0"/>
        <w:jc w:val="center"/>
        <w:rPr>
          <w:rFonts w:cs="Cambria"/>
        </w:rPr>
      </w:pPr>
      <w:r w:rsidRPr="0087605D">
        <w:rPr>
          <w:rFonts w:cs="Cambria"/>
        </w:rPr>
        <w:t>Phone: 404-894-1158 </w:t>
      </w:r>
    </w:p>
    <w:p w14:paraId="4475C6B8" w14:textId="77777777" w:rsidR="00FE1F29" w:rsidRPr="0087605D" w:rsidRDefault="00FE1F29" w:rsidP="00927564">
      <w:pPr>
        <w:widowControl w:val="0"/>
        <w:autoSpaceDE w:val="0"/>
        <w:autoSpaceDN w:val="0"/>
        <w:adjustRightInd w:val="0"/>
        <w:jc w:val="center"/>
        <w:rPr>
          <w:rFonts w:cs="Cambria"/>
        </w:rPr>
      </w:pPr>
      <w:r w:rsidRPr="0087605D">
        <w:rPr>
          <w:rFonts w:cs="Cambria"/>
        </w:rPr>
        <w:t xml:space="preserve">Email: </w:t>
      </w:r>
      <w:hyperlink r:id="rId6" w:history="1">
        <w:r w:rsidRPr="0087605D">
          <w:rPr>
            <w:rStyle w:val="Hyperlink"/>
            <w:rFonts w:cs="Cambria"/>
            <w:color w:val="auto"/>
          </w:rPr>
          <w:t>rebecca.burnett@lmc.gatech.edu</w:t>
        </w:r>
      </w:hyperlink>
    </w:p>
    <w:p w14:paraId="75554FD1" w14:textId="77777777" w:rsidR="00927564" w:rsidRPr="0087605D" w:rsidRDefault="00927564" w:rsidP="00927564">
      <w:pPr>
        <w:widowControl w:val="0"/>
        <w:autoSpaceDE w:val="0"/>
        <w:autoSpaceDN w:val="0"/>
        <w:adjustRightInd w:val="0"/>
        <w:jc w:val="center"/>
        <w:rPr>
          <w:rFonts w:cs="Cambria"/>
        </w:rPr>
      </w:pPr>
    </w:p>
    <w:p w14:paraId="64E3EFFF" w14:textId="01747166" w:rsidR="00FE1F29" w:rsidRPr="0087605D" w:rsidRDefault="007D5C97" w:rsidP="00927564">
      <w:pPr>
        <w:widowControl w:val="0"/>
        <w:autoSpaceDE w:val="0"/>
        <w:autoSpaceDN w:val="0"/>
        <w:adjustRightInd w:val="0"/>
        <w:jc w:val="center"/>
        <w:rPr>
          <w:rFonts w:cs="Cambria"/>
          <w:b/>
          <w:bCs/>
        </w:rPr>
      </w:pPr>
      <w:bookmarkStart w:id="0" w:name="_GoBack"/>
      <w:r>
        <w:rPr>
          <w:rFonts w:cs="Cambria"/>
          <w:b/>
          <w:bCs/>
        </w:rPr>
        <w:t>LMC 3412—Communicating Science and Technology to the Public</w:t>
      </w:r>
    </w:p>
    <w:bookmarkEnd w:id="0"/>
    <w:p w14:paraId="177AF935" w14:textId="77777777" w:rsidR="00927564" w:rsidRPr="0087605D" w:rsidRDefault="00927564" w:rsidP="00927564">
      <w:pPr>
        <w:widowControl w:val="0"/>
        <w:autoSpaceDE w:val="0"/>
        <w:autoSpaceDN w:val="0"/>
        <w:adjustRightInd w:val="0"/>
        <w:jc w:val="center"/>
        <w:rPr>
          <w:rFonts w:cs="Cambria"/>
          <w:b/>
          <w:bCs/>
        </w:rPr>
      </w:pPr>
    </w:p>
    <w:p w14:paraId="63B72B7C" w14:textId="77777777" w:rsidR="00FE1F29" w:rsidRPr="0087605D" w:rsidRDefault="00FE1F29" w:rsidP="00927564">
      <w:pPr>
        <w:widowControl w:val="0"/>
        <w:autoSpaceDE w:val="0"/>
        <w:autoSpaceDN w:val="0"/>
        <w:adjustRightInd w:val="0"/>
        <w:jc w:val="center"/>
        <w:rPr>
          <w:rFonts w:cs="Cambria"/>
          <w:b/>
          <w:bCs/>
        </w:rPr>
      </w:pPr>
      <w:r w:rsidRPr="0087605D">
        <w:rPr>
          <w:rFonts w:cs="Cambria"/>
          <w:b/>
          <w:bCs/>
        </w:rPr>
        <w:t xml:space="preserve">Course Prerequisite: </w:t>
      </w:r>
      <w:r w:rsidRPr="0087605D">
        <w:rPr>
          <w:rFonts w:cs="Cambria"/>
          <w:bCs/>
        </w:rPr>
        <w:t>English 1102</w:t>
      </w:r>
    </w:p>
    <w:p w14:paraId="050C2DF6" w14:textId="77777777" w:rsidR="00927564" w:rsidRPr="0087605D" w:rsidRDefault="00927564" w:rsidP="00927564">
      <w:pPr>
        <w:widowControl w:val="0"/>
        <w:autoSpaceDE w:val="0"/>
        <w:autoSpaceDN w:val="0"/>
        <w:adjustRightInd w:val="0"/>
        <w:rPr>
          <w:rFonts w:cs="Cambria"/>
          <w:b/>
          <w:bCs/>
        </w:rPr>
      </w:pPr>
    </w:p>
    <w:p w14:paraId="3F4BD7C9" w14:textId="77777777" w:rsidR="00FE1F29" w:rsidRPr="0087605D" w:rsidRDefault="00FE1F29" w:rsidP="00927564">
      <w:pPr>
        <w:widowControl w:val="0"/>
        <w:autoSpaceDE w:val="0"/>
        <w:autoSpaceDN w:val="0"/>
        <w:adjustRightInd w:val="0"/>
        <w:rPr>
          <w:rFonts w:cs="Cambria"/>
          <w:b/>
          <w:bCs/>
        </w:rPr>
      </w:pPr>
      <w:r w:rsidRPr="0087605D">
        <w:rPr>
          <w:rFonts w:cs="Cambria"/>
          <w:b/>
          <w:bCs/>
        </w:rPr>
        <w:t>Course Description</w:t>
      </w:r>
    </w:p>
    <w:p w14:paraId="5BA2144F" w14:textId="77777777" w:rsidR="00F365BE" w:rsidRPr="0087605D" w:rsidRDefault="00F365BE" w:rsidP="00F365BE">
      <w:pPr>
        <w:widowControl w:val="0"/>
        <w:autoSpaceDE w:val="0"/>
        <w:autoSpaceDN w:val="0"/>
        <w:adjustRightInd w:val="0"/>
        <w:spacing w:after="240"/>
        <w:rPr>
          <w:rFonts w:cs="Times New Roman"/>
        </w:rPr>
      </w:pPr>
      <w:r w:rsidRPr="0087605D">
        <w:rPr>
          <w:rFonts w:cs="Times New Roman"/>
        </w:rPr>
        <w:t xml:space="preserve">This course examines both the theoretical and practical issues involved in communicating scientific and/or technological material to a variety of non-expert audiences. During the </w:t>
      </w:r>
      <w:proofErr w:type="gramStart"/>
      <w:r w:rsidRPr="0087605D">
        <w:rPr>
          <w:rFonts w:cs="Times New Roman"/>
        </w:rPr>
        <w:t>Spring</w:t>
      </w:r>
      <w:proofErr w:type="gramEnd"/>
      <w:r w:rsidRPr="0087605D">
        <w:rPr>
          <w:rFonts w:cs="Times New Roman"/>
        </w:rPr>
        <w:t>, 2012, students will focus on “Risk in the City: Factors that Affect the Perception and Communication of Risk in the City of Atlanta.”</w:t>
      </w:r>
    </w:p>
    <w:p w14:paraId="73F1EFD1" w14:textId="77777777" w:rsidR="00F365BE" w:rsidRPr="0087605D" w:rsidRDefault="00F365BE" w:rsidP="00F365BE">
      <w:pPr>
        <w:widowControl w:val="0"/>
        <w:autoSpaceDE w:val="0"/>
        <w:autoSpaceDN w:val="0"/>
        <w:adjustRightInd w:val="0"/>
        <w:spacing w:after="240"/>
        <w:rPr>
          <w:rFonts w:cs="Times"/>
        </w:rPr>
      </w:pPr>
      <w:r w:rsidRPr="0087605D">
        <w:rPr>
          <w:rFonts w:cs="Times New Roman"/>
        </w:rPr>
        <w:t>Risk communication and risk perception have recently received extraordinary attention because of international terrorism, but concerns about risks involve the City of Atlanta as well — concerns about, for example, aircraft, air quality, biohazards, dead zones, environmental pollution, housing, food and water, infrastructure, medical services, natural disasters, public health, public safety, sex trafficking, tobacco, transportation.</w:t>
      </w:r>
    </w:p>
    <w:p w14:paraId="238A0BF4" w14:textId="77777777" w:rsidR="00F365BE" w:rsidRPr="0087605D" w:rsidRDefault="00F365BE" w:rsidP="00F365BE">
      <w:pPr>
        <w:widowControl w:val="0"/>
        <w:autoSpaceDE w:val="0"/>
        <w:autoSpaceDN w:val="0"/>
        <w:adjustRightInd w:val="0"/>
        <w:spacing w:after="240"/>
        <w:rPr>
          <w:rFonts w:cs="Times"/>
        </w:rPr>
      </w:pPr>
      <w:r w:rsidRPr="0087605D">
        <w:rPr>
          <w:rFonts w:cs="Times New Roman"/>
        </w:rPr>
        <w:t xml:space="preserve">Sandia National Labs’ Risk Perception Website </w:t>
      </w:r>
      <w:proofErr w:type="gramStart"/>
      <w:r w:rsidRPr="0087605D">
        <w:rPr>
          <w:rFonts w:cs="Times New Roman"/>
        </w:rPr>
        <w:t>explains that</w:t>
      </w:r>
      <w:proofErr w:type="gramEnd"/>
      <w:r w:rsidRPr="0087605D">
        <w:rPr>
          <w:rFonts w:cs="Times New Roman"/>
        </w:rPr>
        <w:t xml:space="preserve"> “our </w:t>
      </w:r>
      <w:r w:rsidRPr="0087605D">
        <w:rPr>
          <w:rFonts w:cs="Times"/>
          <w:i/>
          <w:iCs/>
        </w:rPr>
        <w:t xml:space="preserve">perceptions </w:t>
      </w:r>
      <w:r w:rsidRPr="0087605D">
        <w:rPr>
          <w:rFonts w:cs="Times New Roman"/>
        </w:rPr>
        <w:t xml:space="preserve">of risk have as much, if not more, of an influence on our decisions as the cold, hard facts.” Thus, rhetoric is central to understanding risk. Class members will consider the rhetoric of risk in four broad areas: individual risk, workplace risk, community risk, and environmental risk. Where? </w:t>
      </w:r>
      <w:proofErr w:type="gramStart"/>
      <w:r w:rsidRPr="0087605D">
        <w:rPr>
          <w:rFonts w:cs="Times New Roman"/>
        </w:rPr>
        <w:t>In the City of Atlanta.</w:t>
      </w:r>
      <w:proofErr w:type="gramEnd"/>
    </w:p>
    <w:p w14:paraId="01F96031" w14:textId="77777777" w:rsidR="00F365BE" w:rsidRPr="0087605D" w:rsidRDefault="00F365BE" w:rsidP="00F365BE">
      <w:pPr>
        <w:widowControl w:val="0"/>
        <w:autoSpaceDE w:val="0"/>
        <w:autoSpaceDN w:val="0"/>
        <w:adjustRightInd w:val="0"/>
        <w:spacing w:after="240"/>
        <w:rPr>
          <w:rFonts w:cs="Times"/>
        </w:rPr>
      </w:pPr>
      <w:r w:rsidRPr="0087605D">
        <w:rPr>
          <w:rFonts w:cs="Times New Roman"/>
        </w:rPr>
        <w:t xml:space="preserve">According one model of risk, scientists typically look at </w:t>
      </w:r>
      <w:r w:rsidRPr="0087605D">
        <w:rPr>
          <w:rFonts w:cs="Times"/>
          <w:i/>
          <w:iCs/>
        </w:rPr>
        <w:t xml:space="preserve">hazards </w:t>
      </w:r>
      <w:r w:rsidRPr="0087605D">
        <w:rPr>
          <w:rFonts w:cs="Times New Roman"/>
        </w:rPr>
        <w:t xml:space="preserve">(actual dangers) associated with a situation, while members of the public more typically look at </w:t>
      </w:r>
      <w:r w:rsidRPr="0087605D">
        <w:rPr>
          <w:rFonts w:cs="Times"/>
          <w:i/>
          <w:iCs/>
        </w:rPr>
        <w:t xml:space="preserve">risks </w:t>
      </w:r>
      <w:r w:rsidRPr="0087605D">
        <w:rPr>
          <w:rFonts w:cs="Times New Roman"/>
        </w:rPr>
        <w:t xml:space="preserve">(perceptions of dangers). Class members will explore communication about risks and hazards, examining accessibility, design, efficacy, ethics, literacy, media, mode, </w:t>
      </w:r>
      <w:proofErr w:type="spellStart"/>
      <w:r w:rsidRPr="0087605D">
        <w:rPr>
          <w:rFonts w:cs="Times New Roman"/>
        </w:rPr>
        <w:t>narativity</w:t>
      </w:r>
      <w:proofErr w:type="spellEnd"/>
      <w:r w:rsidRPr="0087605D">
        <w:rPr>
          <w:rFonts w:cs="Times New Roman"/>
        </w:rPr>
        <w:t>, and usability in appealing to non-expert audiences. Class members will engage in four kinds of activities:</w:t>
      </w:r>
    </w:p>
    <w:p w14:paraId="56EBF564" w14:textId="77777777" w:rsidR="00F365BE" w:rsidRPr="0087605D" w:rsidRDefault="00F365BE" w:rsidP="00F365BE">
      <w:pPr>
        <w:widowControl w:val="0"/>
        <w:numPr>
          <w:ilvl w:val="0"/>
          <w:numId w:val="1"/>
        </w:numPr>
        <w:tabs>
          <w:tab w:val="left" w:pos="220"/>
          <w:tab w:val="left" w:pos="720"/>
        </w:tabs>
        <w:autoSpaceDE w:val="0"/>
        <w:autoSpaceDN w:val="0"/>
        <w:adjustRightInd w:val="0"/>
        <w:spacing w:after="240"/>
        <w:ind w:hanging="720"/>
        <w:rPr>
          <w:rFonts w:cs="Times"/>
        </w:rPr>
      </w:pPr>
      <w:r w:rsidRPr="0087605D">
        <w:rPr>
          <w:rFonts w:cs="Times New Roman"/>
        </w:rPr>
        <w:t>(1</w:t>
      </w:r>
      <w:proofErr w:type="gramStart"/>
      <w:r w:rsidRPr="0087605D">
        <w:rPr>
          <w:rFonts w:cs="Times New Roman"/>
        </w:rPr>
        <w:t>)  Reading</w:t>
      </w:r>
      <w:proofErr w:type="gramEnd"/>
      <w:r w:rsidRPr="0087605D">
        <w:rPr>
          <w:rFonts w:cs="Times New Roman"/>
        </w:rPr>
        <w:t xml:space="preserve"> about risk perception and engaging in class discussions about that reading </w:t>
      </w:r>
    </w:p>
    <w:p w14:paraId="3531E302" w14:textId="77777777" w:rsidR="00F365BE" w:rsidRPr="0087605D" w:rsidRDefault="00F365BE" w:rsidP="00F365BE">
      <w:pPr>
        <w:widowControl w:val="0"/>
        <w:numPr>
          <w:ilvl w:val="0"/>
          <w:numId w:val="1"/>
        </w:numPr>
        <w:tabs>
          <w:tab w:val="left" w:pos="220"/>
          <w:tab w:val="left" w:pos="720"/>
        </w:tabs>
        <w:autoSpaceDE w:val="0"/>
        <w:autoSpaceDN w:val="0"/>
        <w:adjustRightInd w:val="0"/>
        <w:spacing w:after="240"/>
        <w:ind w:hanging="720"/>
        <w:rPr>
          <w:rFonts w:cs="Times"/>
        </w:rPr>
      </w:pPr>
      <w:r w:rsidRPr="0087605D">
        <w:rPr>
          <w:rFonts w:cs="Times New Roman"/>
        </w:rPr>
        <w:t>(2</w:t>
      </w:r>
      <w:proofErr w:type="gramStart"/>
      <w:r w:rsidRPr="0087605D">
        <w:rPr>
          <w:rFonts w:cs="Times New Roman"/>
        </w:rPr>
        <w:t>)  Writing</w:t>
      </w:r>
      <w:proofErr w:type="gramEnd"/>
      <w:r w:rsidRPr="0087605D">
        <w:rPr>
          <w:rFonts w:cs="Times New Roman"/>
        </w:rPr>
        <w:t xml:space="preserve"> several short papers and one long paper </w:t>
      </w:r>
    </w:p>
    <w:p w14:paraId="55DEA0DD" w14:textId="77777777" w:rsidR="00F365BE" w:rsidRPr="0087605D" w:rsidRDefault="00F365BE" w:rsidP="00F365BE">
      <w:pPr>
        <w:widowControl w:val="0"/>
        <w:numPr>
          <w:ilvl w:val="0"/>
          <w:numId w:val="1"/>
        </w:numPr>
        <w:tabs>
          <w:tab w:val="left" w:pos="220"/>
          <w:tab w:val="left" w:pos="720"/>
        </w:tabs>
        <w:autoSpaceDE w:val="0"/>
        <w:autoSpaceDN w:val="0"/>
        <w:adjustRightInd w:val="0"/>
        <w:spacing w:after="240"/>
        <w:ind w:hanging="720"/>
        <w:rPr>
          <w:rFonts w:cs="Times"/>
        </w:rPr>
      </w:pPr>
      <w:r w:rsidRPr="0087605D">
        <w:rPr>
          <w:rFonts w:cs="Times New Roman"/>
        </w:rPr>
        <w:t>(3</w:t>
      </w:r>
      <w:proofErr w:type="gramStart"/>
      <w:r w:rsidRPr="0087605D">
        <w:rPr>
          <w:rFonts w:cs="Times New Roman"/>
        </w:rPr>
        <w:t>)  Creating</w:t>
      </w:r>
      <w:proofErr w:type="gramEnd"/>
      <w:r w:rsidRPr="0087605D">
        <w:rPr>
          <w:rFonts w:cs="Times New Roman"/>
        </w:rPr>
        <w:t xml:space="preserve"> multimodal artifacts to educate non-expert audiences about various risks they encounter in the city of Atlanta </w:t>
      </w:r>
    </w:p>
    <w:p w14:paraId="58CE0FA8" w14:textId="77777777" w:rsidR="00F365BE" w:rsidRPr="0087605D" w:rsidRDefault="00F365BE" w:rsidP="00F365BE">
      <w:pPr>
        <w:widowControl w:val="0"/>
        <w:numPr>
          <w:ilvl w:val="0"/>
          <w:numId w:val="1"/>
        </w:numPr>
        <w:tabs>
          <w:tab w:val="left" w:pos="220"/>
          <w:tab w:val="left" w:pos="720"/>
        </w:tabs>
        <w:autoSpaceDE w:val="0"/>
        <w:autoSpaceDN w:val="0"/>
        <w:adjustRightInd w:val="0"/>
        <w:spacing w:after="240"/>
        <w:ind w:hanging="720"/>
        <w:rPr>
          <w:rFonts w:cs="Times"/>
        </w:rPr>
      </w:pPr>
      <w:r w:rsidRPr="0087605D">
        <w:rPr>
          <w:rFonts w:cs="Times New Roman"/>
        </w:rPr>
        <w:t>(4</w:t>
      </w:r>
      <w:proofErr w:type="gramStart"/>
      <w:r w:rsidRPr="0087605D">
        <w:rPr>
          <w:rFonts w:cs="Times New Roman"/>
        </w:rPr>
        <w:t>)  Conducting</w:t>
      </w:r>
      <w:proofErr w:type="gramEnd"/>
      <w:r w:rsidRPr="0087605D">
        <w:rPr>
          <w:rFonts w:cs="Times New Roman"/>
        </w:rPr>
        <w:t xml:space="preserve"> usability testing to determine the effectiveness of the various artifacts </w:t>
      </w:r>
    </w:p>
    <w:p w14:paraId="743B83E8" w14:textId="77777777" w:rsidR="00F365BE" w:rsidRPr="0087605D" w:rsidRDefault="00F365BE" w:rsidP="00F365BE">
      <w:pPr>
        <w:widowControl w:val="0"/>
        <w:autoSpaceDE w:val="0"/>
        <w:autoSpaceDN w:val="0"/>
        <w:adjustRightInd w:val="0"/>
        <w:spacing w:after="240"/>
        <w:rPr>
          <w:rFonts w:cs="Times"/>
        </w:rPr>
      </w:pPr>
    </w:p>
    <w:p w14:paraId="2A40605B" w14:textId="77777777" w:rsidR="00927564" w:rsidRPr="0087605D" w:rsidRDefault="00927564" w:rsidP="00927564">
      <w:pPr>
        <w:widowControl w:val="0"/>
        <w:autoSpaceDE w:val="0"/>
        <w:autoSpaceDN w:val="0"/>
        <w:adjustRightInd w:val="0"/>
        <w:rPr>
          <w:rFonts w:cs="Cambria"/>
          <w:b/>
          <w:bCs/>
        </w:rPr>
      </w:pPr>
    </w:p>
    <w:p w14:paraId="02BD4D51" w14:textId="77777777" w:rsidR="00FE1F29" w:rsidRPr="0087605D" w:rsidRDefault="00FE1F29" w:rsidP="00927564">
      <w:pPr>
        <w:widowControl w:val="0"/>
        <w:autoSpaceDE w:val="0"/>
        <w:autoSpaceDN w:val="0"/>
        <w:adjustRightInd w:val="0"/>
        <w:rPr>
          <w:rFonts w:cs="Cambria"/>
          <w:b/>
          <w:bCs/>
        </w:rPr>
      </w:pPr>
      <w:r w:rsidRPr="0087605D">
        <w:rPr>
          <w:rFonts w:cs="Cambria"/>
          <w:b/>
          <w:bCs/>
        </w:rPr>
        <w:t>Learning Outcomes</w:t>
      </w:r>
    </w:p>
    <w:p w14:paraId="334BD021" w14:textId="77777777" w:rsidR="00FE1F29" w:rsidRPr="0087605D" w:rsidRDefault="00FE1F29" w:rsidP="00927564">
      <w:pPr>
        <w:widowControl w:val="0"/>
        <w:autoSpaceDE w:val="0"/>
        <w:autoSpaceDN w:val="0"/>
        <w:adjustRightInd w:val="0"/>
        <w:rPr>
          <w:rFonts w:cs="Times"/>
        </w:rPr>
      </w:pPr>
      <w:r w:rsidRPr="0087605D">
        <w:rPr>
          <w:rFonts w:cs="Times"/>
          <w:b/>
          <w:bCs/>
        </w:rPr>
        <w:lastRenderedPageBreak/>
        <w:t>LMC outcomes addressed in LMC 3410</w:t>
      </w:r>
    </w:p>
    <w:p w14:paraId="7E7C4233" w14:textId="77777777" w:rsidR="00FE1F29" w:rsidRPr="0087605D" w:rsidRDefault="00FE1F29" w:rsidP="00927564">
      <w:pPr>
        <w:pStyle w:val="ListParagraph"/>
        <w:widowControl w:val="0"/>
        <w:numPr>
          <w:ilvl w:val="0"/>
          <w:numId w:val="3"/>
        </w:numPr>
        <w:autoSpaceDE w:val="0"/>
        <w:autoSpaceDN w:val="0"/>
        <w:adjustRightInd w:val="0"/>
        <w:rPr>
          <w:rFonts w:cs="Times"/>
        </w:rPr>
      </w:pPr>
      <w:r w:rsidRPr="0087605D">
        <w:rPr>
          <w:rFonts w:cs="Cambria"/>
          <w:bCs/>
          <w:iCs/>
        </w:rPr>
        <w:t>Communication skills</w:t>
      </w:r>
      <w:r w:rsidRPr="0087605D">
        <w:rPr>
          <w:rFonts w:cs="Times"/>
        </w:rPr>
        <w:t xml:space="preserve">: </w:t>
      </w:r>
      <w:r w:rsidRPr="0087605D">
        <w:rPr>
          <w:rFonts w:cs="Cambria"/>
        </w:rPr>
        <w:t>Gather, organize, and express information clearly and accurately, with sensitivity to will be able to do so both by using traditional media and by tapping the potential of new digital media.</w:t>
      </w:r>
    </w:p>
    <w:p w14:paraId="0004A8ED" w14:textId="77777777" w:rsidR="00FE1F29" w:rsidRPr="0087605D" w:rsidRDefault="00FE1F29" w:rsidP="00927564">
      <w:pPr>
        <w:pStyle w:val="ListParagraph"/>
        <w:widowControl w:val="0"/>
        <w:numPr>
          <w:ilvl w:val="0"/>
          <w:numId w:val="3"/>
        </w:numPr>
        <w:autoSpaceDE w:val="0"/>
        <w:autoSpaceDN w:val="0"/>
        <w:adjustRightInd w:val="0"/>
        <w:rPr>
          <w:rFonts w:cs="Times"/>
        </w:rPr>
      </w:pPr>
      <w:r w:rsidRPr="0087605D">
        <w:rPr>
          <w:rFonts w:cs="Cambria"/>
          <w:bCs/>
        </w:rPr>
        <w:t>Textual/Visual Analysis</w:t>
      </w:r>
      <w:r w:rsidRPr="0087605D">
        <w:rPr>
          <w:rFonts w:cs="Times"/>
        </w:rPr>
        <w:t xml:space="preserve">: </w:t>
      </w:r>
      <w:r w:rsidRPr="0087605D">
        <w:rPr>
          <w:rFonts w:cs="Cambria"/>
        </w:rPr>
        <w:t>Read, analyze, and interpret not only cultural projects such as film, literature, art, and new media, but also scientific and technical documents.</w:t>
      </w:r>
    </w:p>
    <w:p w14:paraId="4DD12C17" w14:textId="77777777" w:rsidR="00FE1F29" w:rsidRPr="0087605D" w:rsidRDefault="00FE1F29" w:rsidP="00927564">
      <w:pPr>
        <w:pStyle w:val="ListParagraph"/>
        <w:widowControl w:val="0"/>
        <w:numPr>
          <w:ilvl w:val="0"/>
          <w:numId w:val="3"/>
        </w:numPr>
        <w:autoSpaceDE w:val="0"/>
        <w:autoSpaceDN w:val="0"/>
        <w:adjustRightInd w:val="0"/>
        <w:rPr>
          <w:rFonts w:cs="Times"/>
        </w:rPr>
      </w:pPr>
      <w:r w:rsidRPr="0087605D">
        <w:rPr>
          <w:rFonts w:cs="Cambria"/>
          <w:bCs/>
        </w:rPr>
        <w:t>Interpretive Frameworks</w:t>
      </w:r>
      <w:r w:rsidRPr="0087605D">
        <w:rPr>
          <w:rFonts w:cs="Times"/>
        </w:rPr>
        <w:t xml:space="preserve">: </w:t>
      </w:r>
      <w:r w:rsidRPr="0087605D">
        <w:rPr>
          <w:rFonts w:cs="Cambria"/>
        </w:rPr>
        <w:t>Become familiar with a variety of social, political, and philosophical theories and be able to apply those theories to creative and scientific texts, as well as to their own cultural observations.</w:t>
      </w:r>
    </w:p>
    <w:p w14:paraId="6C955DB3" w14:textId="77777777" w:rsidR="00FE1F29" w:rsidRPr="0087605D" w:rsidRDefault="00FE1F29" w:rsidP="00927564">
      <w:pPr>
        <w:widowControl w:val="0"/>
        <w:autoSpaceDE w:val="0"/>
        <w:autoSpaceDN w:val="0"/>
        <w:adjustRightInd w:val="0"/>
        <w:rPr>
          <w:rFonts w:cs="Times"/>
        </w:rPr>
      </w:pPr>
      <w:r w:rsidRPr="0087605D">
        <w:rPr>
          <w:rFonts w:cs="Times"/>
          <w:b/>
          <w:bCs/>
        </w:rPr>
        <w:t>Course-specific outcomes addressed in LMC 3410</w:t>
      </w:r>
    </w:p>
    <w:p w14:paraId="39388095" w14:textId="77777777" w:rsidR="00F365BE" w:rsidRPr="0087605D" w:rsidRDefault="00F365BE" w:rsidP="00F365BE">
      <w:pPr>
        <w:pStyle w:val="ListParagraph"/>
        <w:widowControl w:val="0"/>
        <w:numPr>
          <w:ilvl w:val="0"/>
          <w:numId w:val="10"/>
        </w:numPr>
        <w:tabs>
          <w:tab w:val="left" w:pos="220"/>
          <w:tab w:val="left" w:pos="720"/>
        </w:tabs>
        <w:autoSpaceDE w:val="0"/>
        <w:autoSpaceDN w:val="0"/>
        <w:adjustRightInd w:val="0"/>
        <w:rPr>
          <w:rFonts w:cs="Times"/>
        </w:rPr>
      </w:pPr>
      <w:r w:rsidRPr="0087605D">
        <w:rPr>
          <w:rFonts w:cs="Times New Roman"/>
        </w:rPr>
        <w:t xml:space="preserve">Examine perceptions of risk in society, focusing on hazards and risks that are important to individuals, communities, workplaces, and natural environments in the City of Atlanta </w:t>
      </w:r>
    </w:p>
    <w:p w14:paraId="47A9A4FA" w14:textId="77777777" w:rsidR="00F365BE" w:rsidRPr="0087605D" w:rsidRDefault="00F365BE" w:rsidP="00F365BE">
      <w:pPr>
        <w:pStyle w:val="ListParagraph"/>
        <w:widowControl w:val="0"/>
        <w:numPr>
          <w:ilvl w:val="0"/>
          <w:numId w:val="10"/>
        </w:numPr>
        <w:tabs>
          <w:tab w:val="left" w:pos="220"/>
          <w:tab w:val="left" w:pos="720"/>
        </w:tabs>
        <w:autoSpaceDE w:val="0"/>
        <w:autoSpaceDN w:val="0"/>
        <w:adjustRightInd w:val="0"/>
        <w:rPr>
          <w:rFonts w:cs="Times"/>
        </w:rPr>
      </w:pPr>
      <w:r w:rsidRPr="0087605D">
        <w:rPr>
          <w:rFonts w:cs="Times New Roman"/>
        </w:rPr>
        <w:t xml:space="preserve">Assess/explain theories that explain risk perception and communication, with particular emphasis on the ways these models and theories work in various media </w:t>
      </w:r>
    </w:p>
    <w:p w14:paraId="522AE449" w14:textId="77777777" w:rsidR="00F365BE" w:rsidRPr="0087605D" w:rsidRDefault="00F365BE" w:rsidP="00F365BE">
      <w:pPr>
        <w:pStyle w:val="ListParagraph"/>
        <w:widowControl w:val="0"/>
        <w:numPr>
          <w:ilvl w:val="0"/>
          <w:numId w:val="10"/>
        </w:numPr>
        <w:tabs>
          <w:tab w:val="left" w:pos="220"/>
          <w:tab w:val="left" w:pos="720"/>
        </w:tabs>
        <w:autoSpaceDE w:val="0"/>
        <w:autoSpaceDN w:val="0"/>
        <w:adjustRightInd w:val="0"/>
        <w:rPr>
          <w:rFonts w:cs="Times"/>
        </w:rPr>
      </w:pPr>
      <w:r w:rsidRPr="0087605D">
        <w:rPr>
          <w:rFonts w:cs="Times New Roman"/>
        </w:rPr>
        <w:t xml:space="preserve">Analyze/critique risk communication with special emphasis on issues such as accessibility, design, efficacy, ethics, literacy, media, mode, </w:t>
      </w:r>
      <w:proofErr w:type="spellStart"/>
      <w:r w:rsidRPr="0087605D">
        <w:rPr>
          <w:rFonts w:cs="Times New Roman"/>
        </w:rPr>
        <w:t>narativity</w:t>
      </w:r>
      <w:proofErr w:type="spellEnd"/>
      <w:r w:rsidRPr="0087605D">
        <w:rPr>
          <w:rFonts w:cs="Times New Roman"/>
        </w:rPr>
        <w:t xml:space="preserve">, and usability </w:t>
      </w:r>
    </w:p>
    <w:p w14:paraId="528499B6" w14:textId="77777777" w:rsidR="00F365BE" w:rsidRPr="0087605D" w:rsidRDefault="00F365BE" w:rsidP="00F365BE">
      <w:pPr>
        <w:pStyle w:val="ListParagraph"/>
        <w:widowControl w:val="0"/>
        <w:numPr>
          <w:ilvl w:val="0"/>
          <w:numId w:val="10"/>
        </w:numPr>
        <w:tabs>
          <w:tab w:val="left" w:pos="220"/>
          <w:tab w:val="left" w:pos="720"/>
        </w:tabs>
        <w:autoSpaceDE w:val="0"/>
        <w:autoSpaceDN w:val="0"/>
        <w:adjustRightInd w:val="0"/>
        <w:rPr>
          <w:rFonts w:cs="Times"/>
        </w:rPr>
      </w:pPr>
      <w:r w:rsidRPr="0087605D">
        <w:rPr>
          <w:rFonts w:cs="Times New Roman"/>
        </w:rPr>
        <w:t xml:space="preserve">Conduct investigations of perception and communication of selected risks in campus, community, or workplace groups; present research results to appropriate audiences </w:t>
      </w:r>
    </w:p>
    <w:p w14:paraId="4409C91D" w14:textId="77777777" w:rsidR="00F365BE" w:rsidRPr="0087605D" w:rsidRDefault="00F365BE" w:rsidP="00F365BE">
      <w:pPr>
        <w:pStyle w:val="ListParagraph"/>
        <w:widowControl w:val="0"/>
        <w:numPr>
          <w:ilvl w:val="0"/>
          <w:numId w:val="10"/>
        </w:numPr>
        <w:tabs>
          <w:tab w:val="left" w:pos="220"/>
          <w:tab w:val="left" w:pos="720"/>
        </w:tabs>
        <w:autoSpaceDE w:val="0"/>
        <w:autoSpaceDN w:val="0"/>
        <w:adjustRightInd w:val="0"/>
        <w:rPr>
          <w:rFonts w:cs="Times"/>
        </w:rPr>
      </w:pPr>
      <w:r w:rsidRPr="0087605D">
        <w:rPr>
          <w:rFonts w:cs="Times New Roman"/>
        </w:rPr>
        <w:t xml:space="preserve">Take an informed stance about the social responsibility of individuals and organizations in educating people about risks </w:t>
      </w:r>
    </w:p>
    <w:p w14:paraId="467529E3" w14:textId="77777777" w:rsidR="00F365BE" w:rsidRPr="0087605D" w:rsidRDefault="00F365BE" w:rsidP="00F365BE">
      <w:pPr>
        <w:pStyle w:val="ListParagraph"/>
        <w:widowControl w:val="0"/>
        <w:numPr>
          <w:ilvl w:val="0"/>
          <w:numId w:val="10"/>
        </w:numPr>
        <w:tabs>
          <w:tab w:val="left" w:pos="220"/>
          <w:tab w:val="left" w:pos="720"/>
        </w:tabs>
        <w:autoSpaceDE w:val="0"/>
        <w:autoSpaceDN w:val="0"/>
        <w:adjustRightInd w:val="0"/>
        <w:rPr>
          <w:rFonts w:cs="Times"/>
        </w:rPr>
      </w:pPr>
      <w:r w:rsidRPr="0087605D">
        <w:rPr>
          <w:rFonts w:cs="Times New Roman"/>
        </w:rPr>
        <w:t xml:space="preserve">Create print and digital media presentations about risk and provide a rationale for decisions </w:t>
      </w:r>
    </w:p>
    <w:p w14:paraId="17D4C6D4" w14:textId="77777777" w:rsidR="00927564" w:rsidRPr="0087605D" w:rsidRDefault="00927564" w:rsidP="00927564">
      <w:pPr>
        <w:widowControl w:val="0"/>
        <w:autoSpaceDE w:val="0"/>
        <w:autoSpaceDN w:val="0"/>
        <w:adjustRightInd w:val="0"/>
        <w:rPr>
          <w:rFonts w:cs="Times"/>
        </w:rPr>
      </w:pPr>
    </w:p>
    <w:p w14:paraId="58DC72EE" w14:textId="77777777" w:rsidR="00FE1F29" w:rsidRPr="0087605D" w:rsidRDefault="00FE1F29" w:rsidP="00927564">
      <w:pPr>
        <w:widowControl w:val="0"/>
        <w:autoSpaceDE w:val="0"/>
        <w:autoSpaceDN w:val="0"/>
        <w:adjustRightInd w:val="0"/>
        <w:rPr>
          <w:rFonts w:cs="Times"/>
          <w:b/>
        </w:rPr>
      </w:pPr>
      <w:r w:rsidRPr="0087605D">
        <w:rPr>
          <w:rFonts w:cs="Times"/>
          <w:b/>
        </w:rPr>
        <w:t>Required Texts</w:t>
      </w:r>
    </w:p>
    <w:p w14:paraId="395E0084" w14:textId="77777777" w:rsidR="00EB400D" w:rsidRPr="0087605D" w:rsidRDefault="00EB400D" w:rsidP="00EB400D">
      <w:pPr>
        <w:pStyle w:val="ListParagraph"/>
        <w:widowControl w:val="0"/>
        <w:numPr>
          <w:ilvl w:val="0"/>
          <w:numId w:val="14"/>
        </w:numPr>
        <w:autoSpaceDE w:val="0"/>
        <w:autoSpaceDN w:val="0"/>
        <w:adjustRightInd w:val="0"/>
        <w:rPr>
          <w:rFonts w:cs="Times New Roman"/>
          <w:color w:val="0023F2"/>
        </w:rPr>
      </w:pPr>
      <w:r w:rsidRPr="0087605D">
        <w:rPr>
          <w:rFonts w:cs="Times New Roman"/>
        </w:rPr>
        <w:t xml:space="preserve">Sandman. 1987. “Risk Communication: Facing Public Outrage.” </w:t>
      </w:r>
      <w:r w:rsidRPr="0087605D">
        <w:rPr>
          <w:rFonts w:cs="Times New Roman"/>
          <w:color w:val="0023F2"/>
        </w:rPr>
        <w:t xml:space="preserve">http://www.psandman.com/articles/facing.htm </w:t>
      </w:r>
    </w:p>
    <w:p w14:paraId="012FC85D" w14:textId="66469FB1" w:rsidR="00EB400D" w:rsidRPr="0087605D" w:rsidRDefault="00EB400D" w:rsidP="00EB400D">
      <w:pPr>
        <w:pStyle w:val="ListParagraph"/>
        <w:widowControl w:val="0"/>
        <w:numPr>
          <w:ilvl w:val="0"/>
          <w:numId w:val="14"/>
        </w:numPr>
        <w:autoSpaceDE w:val="0"/>
        <w:autoSpaceDN w:val="0"/>
        <w:adjustRightInd w:val="0"/>
        <w:rPr>
          <w:rFonts w:cs="Times New Roman"/>
          <w:color w:val="0023F2"/>
        </w:rPr>
      </w:pPr>
      <w:r w:rsidRPr="0087605D">
        <w:rPr>
          <w:rFonts w:cs="Times New Roman"/>
        </w:rPr>
        <w:t>HOSTA. 2004. “Risk Perception.”</w:t>
      </w:r>
    </w:p>
    <w:p w14:paraId="035B8090" w14:textId="77777777" w:rsidR="00EB400D" w:rsidRPr="0087605D" w:rsidRDefault="00EB400D" w:rsidP="00EB400D">
      <w:pPr>
        <w:pStyle w:val="ListParagraph"/>
        <w:widowControl w:val="0"/>
        <w:numPr>
          <w:ilvl w:val="0"/>
          <w:numId w:val="14"/>
        </w:numPr>
        <w:autoSpaceDE w:val="0"/>
        <w:autoSpaceDN w:val="0"/>
        <w:adjustRightInd w:val="0"/>
        <w:rPr>
          <w:rFonts w:cs="Wingdings"/>
        </w:rPr>
      </w:pPr>
      <w:r w:rsidRPr="0087605D">
        <w:rPr>
          <w:rFonts w:cs="Times New Roman"/>
        </w:rPr>
        <w:t xml:space="preserve">Plough and </w:t>
      </w:r>
      <w:proofErr w:type="spellStart"/>
      <w:r w:rsidRPr="0087605D">
        <w:rPr>
          <w:rFonts w:cs="Times New Roman"/>
        </w:rPr>
        <w:t>Krimsky</w:t>
      </w:r>
      <w:proofErr w:type="spellEnd"/>
      <w:r w:rsidRPr="0087605D">
        <w:rPr>
          <w:rFonts w:cs="Times New Roman"/>
        </w:rPr>
        <w:t>. 2008. “The emergence of risk communication studies: social and political context.” </w:t>
      </w:r>
    </w:p>
    <w:p w14:paraId="28331FE5" w14:textId="77777777" w:rsidR="00EB400D" w:rsidRPr="0087605D" w:rsidRDefault="00EB400D" w:rsidP="00EB400D">
      <w:pPr>
        <w:pStyle w:val="ListParagraph"/>
        <w:widowControl w:val="0"/>
        <w:numPr>
          <w:ilvl w:val="0"/>
          <w:numId w:val="14"/>
        </w:numPr>
        <w:autoSpaceDE w:val="0"/>
        <w:autoSpaceDN w:val="0"/>
        <w:adjustRightInd w:val="0"/>
        <w:rPr>
          <w:rFonts w:cs="Wingdings"/>
        </w:rPr>
      </w:pPr>
      <w:r w:rsidRPr="0087605D">
        <w:rPr>
          <w:rFonts w:cs="Times New Roman"/>
        </w:rPr>
        <w:t>Rodrigues. 2006. “What is Risk Communication?” </w:t>
      </w:r>
    </w:p>
    <w:p w14:paraId="34FD20F0" w14:textId="4C5B4AAA" w:rsidR="00EB400D" w:rsidRPr="0087605D" w:rsidRDefault="00EB400D" w:rsidP="00EB400D">
      <w:pPr>
        <w:pStyle w:val="ListParagraph"/>
        <w:widowControl w:val="0"/>
        <w:numPr>
          <w:ilvl w:val="0"/>
          <w:numId w:val="14"/>
        </w:numPr>
        <w:autoSpaceDE w:val="0"/>
        <w:autoSpaceDN w:val="0"/>
        <w:adjustRightInd w:val="0"/>
        <w:rPr>
          <w:rFonts w:cs="Times New Roman"/>
        </w:rPr>
      </w:pPr>
      <w:r w:rsidRPr="0087605D">
        <w:rPr>
          <w:rFonts w:cs="Times New Roman"/>
        </w:rPr>
        <w:t>Weinstein. 1999. “What Does It Mean to Understand a Risk? Evaluating Risk Comprehension.”</w:t>
      </w:r>
    </w:p>
    <w:p w14:paraId="060CFE20" w14:textId="77777777" w:rsidR="00EB400D" w:rsidRPr="0087605D" w:rsidRDefault="00EB400D" w:rsidP="00EB400D">
      <w:pPr>
        <w:pStyle w:val="ListParagraph"/>
        <w:widowControl w:val="0"/>
        <w:numPr>
          <w:ilvl w:val="0"/>
          <w:numId w:val="14"/>
        </w:numPr>
        <w:autoSpaceDE w:val="0"/>
        <w:autoSpaceDN w:val="0"/>
        <w:adjustRightInd w:val="0"/>
        <w:rPr>
          <w:rFonts w:cs="Wingdings"/>
        </w:rPr>
      </w:pPr>
      <w:proofErr w:type="spellStart"/>
      <w:r w:rsidRPr="0087605D">
        <w:rPr>
          <w:rFonts w:cs="Times New Roman"/>
        </w:rPr>
        <w:t>Slovic</w:t>
      </w:r>
      <w:proofErr w:type="spellEnd"/>
      <w:r w:rsidRPr="0087605D">
        <w:rPr>
          <w:rFonts w:cs="Times New Roman"/>
        </w:rPr>
        <w:t>, Paul. 1987. “Perception of risk.” </w:t>
      </w:r>
    </w:p>
    <w:p w14:paraId="3DA8E938" w14:textId="77777777" w:rsidR="00EB400D" w:rsidRPr="0087605D" w:rsidRDefault="00EB400D" w:rsidP="00EB400D">
      <w:pPr>
        <w:pStyle w:val="ListParagraph"/>
        <w:widowControl w:val="0"/>
        <w:numPr>
          <w:ilvl w:val="0"/>
          <w:numId w:val="14"/>
        </w:numPr>
        <w:autoSpaceDE w:val="0"/>
        <w:autoSpaceDN w:val="0"/>
        <w:adjustRightInd w:val="0"/>
        <w:rPr>
          <w:rFonts w:cs="Wingdings"/>
        </w:rPr>
      </w:pPr>
      <w:proofErr w:type="spellStart"/>
      <w:r w:rsidRPr="0087605D">
        <w:rPr>
          <w:rFonts w:cs="Times New Roman"/>
        </w:rPr>
        <w:t>Bouyer</w:t>
      </w:r>
      <w:proofErr w:type="spellEnd"/>
      <w:r w:rsidRPr="0087605D">
        <w:rPr>
          <w:rFonts w:cs="Times New Roman"/>
        </w:rPr>
        <w:t xml:space="preserve"> et al., 2001. “Personality and Risk Perception.” </w:t>
      </w:r>
    </w:p>
    <w:p w14:paraId="1CD0F7C7" w14:textId="77777777" w:rsidR="00EB400D" w:rsidRPr="0087605D" w:rsidRDefault="00EB400D" w:rsidP="00EB400D">
      <w:pPr>
        <w:pStyle w:val="ListParagraph"/>
        <w:widowControl w:val="0"/>
        <w:numPr>
          <w:ilvl w:val="0"/>
          <w:numId w:val="14"/>
        </w:numPr>
        <w:autoSpaceDE w:val="0"/>
        <w:autoSpaceDN w:val="0"/>
        <w:adjustRightInd w:val="0"/>
        <w:rPr>
          <w:rFonts w:cs="Wingdings"/>
        </w:rPr>
      </w:pPr>
      <w:r w:rsidRPr="0087605D">
        <w:rPr>
          <w:rFonts w:cs="Times New Roman"/>
        </w:rPr>
        <w:t>Burns, 2007. Rick “Perception: A Review.” </w:t>
      </w:r>
    </w:p>
    <w:p w14:paraId="3DD0C20D" w14:textId="17BE5BD2" w:rsidR="00EB400D" w:rsidRPr="0087605D" w:rsidRDefault="00EB400D" w:rsidP="00EB400D">
      <w:pPr>
        <w:pStyle w:val="ListParagraph"/>
        <w:widowControl w:val="0"/>
        <w:numPr>
          <w:ilvl w:val="0"/>
          <w:numId w:val="14"/>
        </w:numPr>
        <w:autoSpaceDE w:val="0"/>
        <w:autoSpaceDN w:val="0"/>
        <w:adjustRightInd w:val="0"/>
        <w:rPr>
          <w:rFonts w:cs="Times New Roman"/>
        </w:rPr>
      </w:pPr>
      <w:r w:rsidRPr="0087605D">
        <w:rPr>
          <w:rFonts w:cs="Times New Roman"/>
        </w:rPr>
        <w:t xml:space="preserve">Goodwin &amp; </w:t>
      </w:r>
      <w:proofErr w:type="spellStart"/>
      <w:r w:rsidRPr="0087605D">
        <w:rPr>
          <w:rFonts w:cs="Times New Roman"/>
        </w:rPr>
        <w:t>Dahlstrom</w:t>
      </w:r>
      <w:proofErr w:type="spellEnd"/>
      <w:r w:rsidRPr="0087605D">
        <w:rPr>
          <w:rFonts w:cs="Times New Roman"/>
        </w:rPr>
        <w:t>. 2011. “Good Reasons for Trusting Climate Science Communication.”</w:t>
      </w:r>
    </w:p>
    <w:p w14:paraId="5AABE67A" w14:textId="7CCCC4CC" w:rsidR="00EB400D" w:rsidRPr="0087605D" w:rsidRDefault="00EB400D" w:rsidP="00EB400D">
      <w:pPr>
        <w:pStyle w:val="ListParagraph"/>
        <w:widowControl w:val="0"/>
        <w:numPr>
          <w:ilvl w:val="0"/>
          <w:numId w:val="14"/>
        </w:numPr>
        <w:tabs>
          <w:tab w:val="left" w:pos="220"/>
          <w:tab w:val="left" w:pos="720"/>
        </w:tabs>
        <w:autoSpaceDE w:val="0"/>
        <w:autoSpaceDN w:val="0"/>
        <w:adjustRightInd w:val="0"/>
        <w:rPr>
          <w:rFonts w:cs="Times"/>
        </w:rPr>
      </w:pPr>
      <w:proofErr w:type="spellStart"/>
      <w:r w:rsidRPr="0087605D">
        <w:rPr>
          <w:rFonts w:cs="Times New Roman"/>
        </w:rPr>
        <w:t>Mileti</w:t>
      </w:r>
      <w:proofErr w:type="spellEnd"/>
      <w:r w:rsidRPr="0087605D">
        <w:rPr>
          <w:rFonts w:cs="Times New Roman"/>
        </w:rPr>
        <w:t xml:space="preserve">, Dennis S. and Lori Peek. 28 June 2000. The social psychology of public response to warnings of a nuclear power plant accident. Journal of Hazardous Materials. 75: 2-3, 181-194 </w:t>
      </w:r>
    </w:p>
    <w:p w14:paraId="0FB5C465" w14:textId="032C83A1" w:rsidR="00EB400D" w:rsidRPr="0087605D" w:rsidRDefault="00EB400D" w:rsidP="00EB400D">
      <w:pPr>
        <w:pStyle w:val="ListParagraph"/>
        <w:widowControl w:val="0"/>
        <w:numPr>
          <w:ilvl w:val="0"/>
          <w:numId w:val="14"/>
        </w:numPr>
        <w:tabs>
          <w:tab w:val="left" w:pos="220"/>
          <w:tab w:val="left" w:pos="720"/>
        </w:tabs>
        <w:autoSpaceDE w:val="0"/>
        <w:autoSpaceDN w:val="0"/>
        <w:adjustRightInd w:val="0"/>
        <w:rPr>
          <w:rFonts w:cs="Times New Roman"/>
        </w:rPr>
      </w:pPr>
      <w:r w:rsidRPr="0087605D">
        <w:rPr>
          <w:rFonts w:cs="Times New Roman"/>
        </w:rPr>
        <w:t xml:space="preserve">Scott &amp; Gray, 2008. A Comparison of Tactile, Visual, and Auditory Warnings for Rear-End Collision Prevention in Simulated Driving </w:t>
      </w:r>
    </w:p>
    <w:p w14:paraId="40242B48" w14:textId="77777777" w:rsidR="00EB400D" w:rsidRPr="0087605D" w:rsidRDefault="00EB400D" w:rsidP="00EB400D">
      <w:pPr>
        <w:pStyle w:val="ListParagraph"/>
        <w:widowControl w:val="0"/>
        <w:numPr>
          <w:ilvl w:val="0"/>
          <w:numId w:val="14"/>
        </w:numPr>
        <w:autoSpaceDE w:val="0"/>
        <w:autoSpaceDN w:val="0"/>
        <w:adjustRightInd w:val="0"/>
        <w:rPr>
          <w:rFonts w:cs="Wingdings"/>
        </w:rPr>
      </w:pPr>
      <w:proofErr w:type="spellStart"/>
      <w:r w:rsidRPr="0087605D">
        <w:rPr>
          <w:rFonts w:cs="Times New Roman"/>
        </w:rPr>
        <w:t>Grabill</w:t>
      </w:r>
      <w:proofErr w:type="spellEnd"/>
      <w:r w:rsidRPr="0087605D">
        <w:rPr>
          <w:rFonts w:cs="Times New Roman"/>
        </w:rPr>
        <w:t xml:space="preserve"> &amp; Simmons. 1998. Toward a Critical Rhetoric of Risk Communication. </w:t>
      </w:r>
    </w:p>
    <w:p w14:paraId="3B52E243" w14:textId="469D5175" w:rsidR="00EB400D" w:rsidRPr="0087605D" w:rsidRDefault="00EB400D" w:rsidP="00EB400D">
      <w:pPr>
        <w:pStyle w:val="ListParagraph"/>
        <w:widowControl w:val="0"/>
        <w:numPr>
          <w:ilvl w:val="0"/>
          <w:numId w:val="14"/>
        </w:numPr>
        <w:autoSpaceDE w:val="0"/>
        <w:autoSpaceDN w:val="0"/>
        <w:adjustRightInd w:val="0"/>
        <w:rPr>
          <w:rFonts w:cs="Times New Roman"/>
        </w:rPr>
      </w:pPr>
      <w:r w:rsidRPr="0087605D">
        <w:rPr>
          <w:rFonts w:cs="Times New Roman"/>
        </w:rPr>
        <w:t>Schwartzman et al., 2011. Rhetoric and Risk.</w:t>
      </w:r>
    </w:p>
    <w:p w14:paraId="17CA2526" w14:textId="77777777" w:rsidR="00EB400D" w:rsidRPr="0087605D" w:rsidRDefault="00EB400D" w:rsidP="00EB400D">
      <w:pPr>
        <w:pStyle w:val="ListParagraph"/>
        <w:widowControl w:val="0"/>
        <w:numPr>
          <w:ilvl w:val="0"/>
          <w:numId w:val="14"/>
        </w:numPr>
        <w:autoSpaceDE w:val="0"/>
        <w:autoSpaceDN w:val="0"/>
        <w:adjustRightInd w:val="0"/>
        <w:rPr>
          <w:rFonts w:cs="Wingdings"/>
        </w:rPr>
      </w:pPr>
      <w:proofErr w:type="spellStart"/>
      <w:r w:rsidRPr="0087605D">
        <w:rPr>
          <w:rFonts w:cs="Times New Roman"/>
        </w:rPr>
        <w:t>Gopen</w:t>
      </w:r>
      <w:proofErr w:type="spellEnd"/>
      <w:r w:rsidRPr="0087605D">
        <w:rPr>
          <w:rFonts w:cs="Times New Roman"/>
        </w:rPr>
        <w:t xml:space="preserve"> and Swan. 1990. The Science of Scientific Writing </w:t>
      </w:r>
    </w:p>
    <w:p w14:paraId="45084F7C" w14:textId="77777777" w:rsidR="00EB400D" w:rsidRPr="0087605D" w:rsidRDefault="00EB400D" w:rsidP="00EB400D">
      <w:pPr>
        <w:pStyle w:val="ListParagraph"/>
        <w:widowControl w:val="0"/>
        <w:numPr>
          <w:ilvl w:val="0"/>
          <w:numId w:val="14"/>
        </w:numPr>
        <w:autoSpaceDE w:val="0"/>
        <w:autoSpaceDN w:val="0"/>
        <w:adjustRightInd w:val="0"/>
        <w:rPr>
          <w:rFonts w:cs="Wingdings"/>
        </w:rPr>
      </w:pPr>
      <w:proofErr w:type="spellStart"/>
      <w:r w:rsidRPr="0087605D">
        <w:rPr>
          <w:rFonts w:cs="Times New Roman"/>
        </w:rPr>
        <w:t>Wogalter</w:t>
      </w:r>
      <w:proofErr w:type="spellEnd"/>
      <w:r w:rsidRPr="0087605D">
        <w:rPr>
          <w:rFonts w:cs="Times New Roman"/>
        </w:rPr>
        <w:t xml:space="preserve">, </w:t>
      </w:r>
      <w:proofErr w:type="spellStart"/>
      <w:r w:rsidRPr="0087605D">
        <w:rPr>
          <w:rFonts w:cs="Times New Roman"/>
        </w:rPr>
        <w:t>Jarrard</w:t>
      </w:r>
      <w:proofErr w:type="spellEnd"/>
      <w:r w:rsidRPr="0087605D">
        <w:rPr>
          <w:rFonts w:cs="Times New Roman"/>
        </w:rPr>
        <w:t xml:space="preserve"> &amp; Simpson, 1994. Influence of Warning Label Signal Words on Perceived Hazard Level. </w:t>
      </w:r>
    </w:p>
    <w:p w14:paraId="292E8EB0" w14:textId="77777777" w:rsidR="00EB400D" w:rsidRPr="0087605D" w:rsidRDefault="00EB400D" w:rsidP="00EB400D">
      <w:pPr>
        <w:pStyle w:val="ListParagraph"/>
        <w:widowControl w:val="0"/>
        <w:numPr>
          <w:ilvl w:val="0"/>
          <w:numId w:val="14"/>
        </w:numPr>
        <w:autoSpaceDE w:val="0"/>
        <w:autoSpaceDN w:val="0"/>
        <w:adjustRightInd w:val="0"/>
        <w:rPr>
          <w:rFonts w:cs="Times New Roman"/>
          <w:color w:val="0023F2"/>
        </w:rPr>
      </w:pPr>
      <w:r w:rsidRPr="0087605D">
        <w:rPr>
          <w:rFonts w:cs="Times New Roman"/>
        </w:rPr>
        <w:t xml:space="preserve">Plain Language: </w:t>
      </w:r>
      <w:r w:rsidRPr="0087605D">
        <w:rPr>
          <w:rFonts w:cs="Times New Roman"/>
          <w:color w:val="0023F2"/>
        </w:rPr>
        <w:t xml:space="preserve">http://www.centerforplainlanguage.org/ </w:t>
      </w:r>
      <w:r w:rsidRPr="0087605D">
        <w:rPr>
          <w:rFonts w:cs="Times New Roman"/>
        </w:rPr>
        <w:t xml:space="preserve">and </w:t>
      </w:r>
      <w:hyperlink r:id="rId7" w:history="1">
        <w:r w:rsidRPr="0087605D">
          <w:rPr>
            <w:rStyle w:val="Hyperlink"/>
            <w:rFonts w:cs="Times New Roman"/>
          </w:rPr>
          <w:t>http://www.plainlanguage.gov/</w:t>
        </w:r>
      </w:hyperlink>
    </w:p>
    <w:p w14:paraId="709259B1" w14:textId="77777777" w:rsidR="00EB400D" w:rsidRPr="0087605D" w:rsidRDefault="00EB400D" w:rsidP="00EB400D">
      <w:pPr>
        <w:pStyle w:val="ListParagraph"/>
        <w:widowControl w:val="0"/>
        <w:numPr>
          <w:ilvl w:val="0"/>
          <w:numId w:val="14"/>
        </w:numPr>
        <w:autoSpaceDE w:val="0"/>
        <w:autoSpaceDN w:val="0"/>
        <w:adjustRightInd w:val="0"/>
        <w:rPr>
          <w:rFonts w:cs="Times New Roman"/>
          <w:color w:val="0023F2"/>
        </w:rPr>
      </w:pPr>
      <w:r w:rsidRPr="0087605D">
        <w:rPr>
          <w:rFonts w:cs="Times New Roman"/>
        </w:rPr>
        <w:t>Connelly &amp; Knuth. 1998. “Evaluating Risk Communication: Examining Target Audience Perceptions About Four Presentation Formats for Fish Consumption Health Advisory Information.”</w:t>
      </w:r>
    </w:p>
    <w:p w14:paraId="3FDDB0C2" w14:textId="77777777" w:rsidR="00EB400D" w:rsidRPr="0087605D" w:rsidRDefault="00EB400D" w:rsidP="00EB400D">
      <w:pPr>
        <w:pStyle w:val="ListParagraph"/>
        <w:widowControl w:val="0"/>
        <w:numPr>
          <w:ilvl w:val="0"/>
          <w:numId w:val="14"/>
        </w:numPr>
        <w:autoSpaceDE w:val="0"/>
        <w:autoSpaceDN w:val="0"/>
        <w:adjustRightInd w:val="0"/>
        <w:rPr>
          <w:rFonts w:cs="Times New Roman"/>
          <w:color w:val="0023F2"/>
        </w:rPr>
      </w:pPr>
      <w:r w:rsidRPr="0087605D">
        <w:rPr>
          <w:rFonts w:cs="Times New Roman"/>
        </w:rPr>
        <w:t>Strawbridge. 1986. “The Influence of Position, Highlighting, and Imbedding on Warning Effectiveness.”</w:t>
      </w:r>
    </w:p>
    <w:p w14:paraId="1C382238" w14:textId="77777777" w:rsidR="00EB400D" w:rsidRPr="0087605D" w:rsidRDefault="00EB400D" w:rsidP="00EB400D">
      <w:pPr>
        <w:pStyle w:val="ListParagraph"/>
        <w:widowControl w:val="0"/>
        <w:numPr>
          <w:ilvl w:val="0"/>
          <w:numId w:val="14"/>
        </w:numPr>
        <w:autoSpaceDE w:val="0"/>
        <w:autoSpaceDN w:val="0"/>
        <w:adjustRightInd w:val="0"/>
        <w:rPr>
          <w:rFonts w:cs="Wingdings"/>
        </w:rPr>
      </w:pPr>
      <w:proofErr w:type="spellStart"/>
      <w:r w:rsidRPr="0087605D">
        <w:rPr>
          <w:rFonts w:cs="Times New Roman"/>
        </w:rPr>
        <w:t>Ancker</w:t>
      </w:r>
      <w:proofErr w:type="spellEnd"/>
      <w:r w:rsidRPr="0087605D">
        <w:rPr>
          <w:rFonts w:cs="Times New Roman"/>
        </w:rPr>
        <w:t xml:space="preserve"> et al. 2008. “Design Features of Graphs in Health Risk Communication: A Systematic Review.” </w:t>
      </w:r>
    </w:p>
    <w:p w14:paraId="2DDDFC98" w14:textId="77777777" w:rsidR="00EB400D" w:rsidRPr="0087605D" w:rsidRDefault="00EB400D" w:rsidP="00EB400D">
      <w:pPr>
        <w:pStyle w:val="ListParagraph"/>
        <w:widowControl w:val="0"/>
        <w:numPr>
          <w:ilvl w:val="0"/>
          <w:numId w:val="14"/>
        </w:numPr>
        <w:autoSpaceDE w:val="0"/>
        <w:autoSpaceDN w:val="0"/>
        <w:adjustRightInd w:val="0"/>
        <w:rPr>
          <w:rFonts w:cs="Wingdings"/>
        </w:rPr>
      </w:pPr>
      <w:proofErr w:type="spellStart"/>
      <w:r w:rsidRPr="0087605D">
        <w:rPr>
          <w:rFonts w:cs="Times New Roman"/>
        </w:rPr>
        <w:t>Kostelnisk</w:t>
      </w:r>
      <w:proofErr w:type="spellEnd"/>
      <w:r w:rsidRPr="0087605D">
        <w:rPr>
          <w:rFonts w:cs="Times New Roman"/>
        </w:rPr>
        <w:t>. 2008. “The Visual Rhetoric of Data Displays: The Conundrum of Clarity.” </w:t>
      </w:r>
    </w:p>
    <w:p w14:paraId="3B7EA195" w14:textId="77777777" w:rsidR="00EB400D" w:rsidRPr="0087605D" w:rsidRDefault="00EB400D" w:rsidP="00EB400D">
      <w:pPr>
        <w:pStyle w:val="ListParagraph"/>
        <w:widowControl w:val="0"/>
        <w:numPr>
          <w:ilvl w:val="0"/>
          <w:numId w:val="14"/>
        </w:numPr>
        <w:autoSpaceDE w:val="0"/>
        <w:autoSpaceDN w:val="0"/>
        <w:adjustRightInd w:val="0"/>
        <w:rPr>
          <w:rFonts w:cs="Times New Roman"/>
          <w:color w:val="0023F2"/>
        </w:rPr>
      </w:pPr>
      <w:proofErr w:type="spellStart"/>
      <w:r w:rsidRPr="0087605D">
        <w:rPr>
          <w:rFonts w:cs="Times New Roman"/>
        </w:rPr>
        <w:t>Lipkus</w:t>
      </w:r>
      <w:proofErr w:type="spellEnd"/>
      <w:r w:rsidRPr="0087605D">
        <w:rPr>
          <w:rFonts w:cs="Times New Roman"/>
        </w:rPr>
        <w:t xml:space="preserve"> &amp; Hollands.1999. “The Visual Communication of Risk.”</w:t>
      </w:r>
    </w:p>
    <w:p w14:paraId="046332D6" w14:textId="77777777" w:rsidR="00EB400D" w:rsidRPr="0087605D" w:rsidRDefault="00EB400D" w:rsidP="00EB400D">
      <w:pPr>
        <w:pStyle w:val="ListParagraph"/>
        <w:widowControl w:val="0"/>
        <w:numPr>
          <w:ilvl w:val="0"/>
          <w:numId w:val="14"/>
        </w:numPr>
        <w:autoSpaceDE w:val="0"/>
        <w:autoSpaceDN w:val="0"/>
        <w:adjustRightInd w:val="0"/>
        <w:rPr>
          <w:rFonts w:cs="Wingdings"/>
        </w:rPr>
      </w:pPr>
      <w:r w:rsidRPr="0087605D">
        <w:rPr>
          <w:rFonts w:cs="Times New Roman"/>
        </w:rPr>
        <w:t xml:space="preserve">Edwards, </w:t>
      </w:r>
      <w:proofErr w:type="spellStart"/>
      <w:r w:rsidRPr="0087605D">
        <w:rPr>
          <w:rFonts w:cs="Times New Roman"/>
        </w:rPr>
        <w:t>Elwyn</w:t>
      </w:r>
      <w:proofErr w:type="spellEnd"/>
      <w:r w:rsidRPr="0087605D">
        <w:rPr>
          <w:rFonts w:cs="Times New Roman"/>
        </w:rPr>
        <w:t xml:space="preserve">, and Mulley. 2002. “Explaining risks: turning numerical data into meaningful pictures.” </w:t>
      </w:r>
    </w:p>
    <w:p w14:paraId="4368676F" w14:textId="77777777" w:rsidR="00EB400D" w:rsidRPr="0087605D" w:rsidRDefault="00EB400D" w:rsidP="00EB400D">
      <w:pPr>
        <w:pStyle w:val="ListParagraph"/>
        <w:widowControl w:val="0"/>
        <w:numPr>
          <w:ilvl w:val="0"/>
          <w:numId w:val="14"/>
        </w:numPr>
        <w:autoSpaceDE w:val="0"/>
        <w:autoSpaceDN w:val="0"/>
        <w:adjustRightInd w:val="0"/>
        <w:rPr>
          <w:rFonts w:cs="Wingdings"/>
        </w:rPr>
      </w:pPr>
      <w:r w:rsidRPr="0087605D">
        <w:rPr>
          <w:rFonts w:cs="Times New Roman"/>
        </w:rPr>
        <w:t>Peters. 2008. “Numeracy and the Perception and Communication of Risk.” </w:t>
      </w:r>
    </w:p>
    <w:p w14:paraId="1617C66C" w14:textId="1754F733" w:rsidR="00EB400D" w:rsidRPr="0087605D" w:rsidRDefault="00EB400D" w:rsidP="00EB400D">
      <w:pPr>
        <w:pStyle w:val="ListParagraph"/>
        <w:widowControl w:val="0"/>
        <w:numPr>
          <w:ilvl w:val="0"/>
          <w:numId w:val="14"/>
        </w:numPr>
        <w:autoSpaceDE w:val="0"/>
        <w:autoSpaceDN w:val="0"/>
        <w:adjustRightInd w:val="0"/>
        <w:rPr>
          <w:rFonts w:cs="Times New Roman"/>
          <w:color w:val="0023F2"/>
        </w:rPr>
      </w:pPr>
      <w:proofErr w:type="spellStart"/>
      <w:r w:rsidRPr="0087605D">
        <w:rPr>
          <w:rFonts w:cs="Times New Roman"/>
        </w:rPr>
        <w:t>Kurz-Milcke</w:t>
      </w:r>
      <w:proofErr w:type="spellEnd"/>
      <w:r w:rsidRPr="0087605D">
        <w:rPr>
          <w:rFonts w:cs="Times New Roman"/>
        </w:rPr>
        <w:t xml:space="preserve"> et al. 2008. “Transparency in Risk Communication: Graphical and Analog Tools.”</w:t>
      </w:r>
    </w:p>
    <w:p w14:paraId="778B4400" w14:textId="4A5AF6F4" w:rsidR="00EB400D" w:rsidRPr="0087605D" w:rsidRDefault="00EB400D" w:rsidP="00EB400D">
      <w:pPr>
        <w:pStyle w:val="ListParagraph"/>
        <w:widowControl w:val="0"/>
        <w:numPr>
          <w:ilvl w:val="0"/>
          <w:numId w:val="14"/>
        </w:numPr>
        <w:tabs>
          <w:tab w:val="left" w:pos="220"/>
          <w:tab w:val="left" w:pos="720"/>
        </w:tabs>
        <w:autoSpaceDE w:val="0"/>
        <w:autoSpaceDN w:val="0"/>
        <w:adjustRightInd w:val="0"/>
        <w:rPr>
          <w:rFonts w:cs="Times"/>
        </w:rPr>
      </w:pPr>
      <w:r w:rsidRPr="0087605D">
        <w:rPr>
          <w:rFonts w:cs="Times New Roman"/>
        </w:rPr>
        <w:t xml:space="preserve">Reynolds &amp; </w:t>
      </w:r>
      <w:proofErr w:type="spellStart"/>
      <w:r w:rsidRPr="0087605D">
        <w:rPr>
          <w:rFonts w:cs="Times New Roman"/>
        </w:rPr>
        <w:t>Seege</w:t>
      </w:r>
      <w:proofErr w:type="spellEnd"/>
      <w:r w:rsidRPr="0087605D">
        <w:rPr>
          <w:rFonts w:cs="Times New Roman"/>
        </w:rPr>
        <w:t xml:space="preserve">. 2005. “Crisis and emergency risk communication as an integrative model.” </w:t>
      </w:r>
      <w:r w:rsidRPr="0087605D">
        <w:rPr>
          <w:rFonts w:cs="Times New Roman"/>
          <w:color w:val="0023F2"/>
        </w:rPr>
        <w:t xml:space="preserve">http://www.comm.riskcenter.umd.edu/spotlight/spring06.html </w:t>
      </w:r>
    </w:p>
    <w:p w14:paraId="34BCA7FD" w14:textId="75E13450" w:rsidR="00EB400D" w:rsidRPr="0087605D" w:rsidRDefault="00EB400D" w:rsidP="00EB400D">
      <w:pPr>
        <w:widowControl w:val="0"/>
        <w:numPr>
          <w:ilvl w:val="0"/>
          <w:numId w:val="14"/>
        </w:numPr>
        <w:tabs>
          <w:tab w:val="left" w:pos="220"/>
          <w:tab w:val="left" w:pos="720"/>
        </w:tabs>
        <w:autoSpaceDE w:val="0"/>
        <w:autoSpaceDN w:val="0"/>
        <w:adjustRightInd w:val="0"/>
        <w:rPr>
          <w:rFonts w:cs="Times"/>
        </w:rPr>
      </w:pPr>
      <w:r w:rsidRPr="0087605D">
        <w:rPr>
          <w:rFonts w:cs="Times New Roman"/>
        </w:rPr>
        <w:t xml:space="preserve">U.S. Department of Health and Human Services. 2002. </w:t>
      </w:r>
      <w:r w:rsidRPr="0087605D">
        <w:rPr>
          <w:rFonts w:cs="Times"/>
          <w:i/>
          <w:iCs/>
        </w:rPr>
        <w:t xml:space="preserve">Communicating in a Crisis: Risk Communication Guidelines for Public Officials. </w:t>
      </w:r>
    </w:p>
    <w:p w14:paraId="448575A5" w14:textId="2039CC3A" w:rsidR="00EB400D" w:rsidRPr="0087605D" w:rsidRDefault="00EB400D" w:rsidP="00EB400D">
      <w:pPr>
        <w:pStyle w:val="ListParagraph"/>
        <w:widowControl w:val="0"/>
        <w:numPr>
          <w:ilvl w:val="0"/>
          <w:numId w:val="14"/>
        </w:numPr>
        <w:tabs>
          <w:tab w:val="left" w:pos="220"/>
          <w:tab w:val="left" w:pos="720"/>
        </w:tabs>
        <w:autoSpaceDE w:val="0"/>
        <w:autoSpaceDN w:val="0"/>
        <w:adjustRightInd w:val="0"/>
        <w:rPr>
          <w:rFonts w:cs="Times"/>
        </w:rPr>
      </w:pPr>
      <w:r w:rsidRPr="0087605D">
        <w:rPr>
          <w:rFonts w:cs="Times New Roman"/>
        </w:rPr>
        <w:t xml:space="preserve">Williamson &amp; </w:t>
      </w:r>
      <w:proofErr w:type="spellStart"/>
      <w:r w:rsidRPr="0087605D">
        <w:rPr>
          <w:rFonts w:cs="Times New Roman"/>
        </w:rPr>
        <w:t>Weyman</w:t>
      </w:r>
      <w:proofErr w:type="spellEnd"/>
      <w:r w:rsidRPr="0087605D">
        <w:rPr>
          <w:rFonts w:cs="Times New Roman"/>
        </w:rPr>
        <w:t xml:space="preserve">. 2005. “Review of the Public Perception of Risk, and Stakeholder Engagement.” </w:t>
      </w:r>
    </w:p>
    <w:p w14:paraId="27EA4F91" w14:textId="77777777" w:rsidR="00EB400D" w:rsidRPr="0087605D" w:rsidRDefault="00EB400D" w:rsidP="00EB400D">
      <w:pPr>
        <w:pStyle w:val="ListParagraph"/>
        <w:widowControl w:val="0"/>
        <w:numPr>
          <w:ilvl w:val="0"/>
          <w:numId w:val="14"/>
        </w:numPr>
        <w:autoSpaceDE w:val="0"/>
        <w:autoSpaceDN w:val="0"/>
        <w:adjustRightInd w:val="0"/>
        <w:rPr>
          <w:rFonts w:cs="Times New Roman"/>
        </w:rPr>
      </w:pPr>
      <w:r w:rsidRPr="0087605D">
        <w:rPr>
          <w:rFonts w:cs="Times New Roman"/>
        </w:rPr>
        <w:t>Albers. 2011. “Usability of Complex Information Systems.”</w:t>
      </w:r>
    </w:p>
    <w:p w14:paraId="082212D3" w14:textId="4E5FCE24" w:rsidR="00EB400D" w:rsidRPr="0087605D" w:rsidRDefault="00EB400D" w:rsidP="00EB400D">
      <w:pPr>
        <w:pStyle w:val="ListParagraph"/>
        <w:widowControl w:val="0"/>
        <w:numPr>
          <w:ilvl w:val="0"/>
          <w:numId w:val="14"/>
        </w:numPr>
        <w:tabs>
          <w:tab w:val="left" w:pos="220"/>
          <w:tab w:val="left" w:pos="720"/>
        </w:tabs>
        <w:autoSpaceDE w:val="0"/>
        <w:autoSpaceDN w:val="0"/>
        <w:adjustRightInd w:val="0"/>
        <w:rPr>
          <w:rFonts w:cs="Times"/>
        </w:rPr>
      </w:pPr>
      <w:proofErr w:type="spellStart"/>
      <w:r w:rsidRPr="0087605D">
        <w:rPr>
          <w:rFonts w:cs="Times New Roman"/>
        </w:rPr>
        <w:t>Kain</w:t>
      </w:r>
      <w:proofErr w:type="spellEnd"/>
      <w:r w:rsidRPr="0087605D">
        <w:rPr>
          <w:rFonts w:cs="Times New Roman"/>
        </w:rPr>
        <w:t xml:space="preserve">, de Jong, &amp; Smith, 2011. “Information Usability Testing as Audience and Context Analysis for Risk Communication.” </w:t>
      </w:r>
    </w:p>
    <w:p w14:paraId="503849B8" w14:textId="1E38EFD6" w:rsidR="00EB400D" w:rsidRPr="0087605D" w:rsidRDefault="00EB400D" w:rsidP="00EB400D">
      <w:pPr>
        <w:widowControl w:val="0"/>
        <w:numPr>
          <w:ilvl w:val="0"/>
          <w:numId w:val="14"/>
        </w:numPr>
        <w:tabs>
          <w:tab w:val="left" w:pos="220"/>
          <w:tab w:val="left" w:pos="720"/>
        </w:tabs>
        <w:autoSpaceDE w:val="0"/>
        <w:autoSpaceDN w:val="0"/>
        <w:adjustRightInd w:val="0"/>
        <w:rPr>
          <w:rFonts w:cs="Times"/>
        </w:rPr>
      </w:pPr>
      <w:proofErr w:type="spellStart"/>
      <w:r w:rsidRPr="0087605D">
        <w:rPr>
          <w:rFonts w:cs="Times New Roman"/>
        </w:rPr>
        <w:t>Redish</w:t>
      </w:r>
      <w:proofErr w:type="spellEnd"/>
      <w:r w:rsidRPr="0087605D">
        <w:rPr>
          <w:rFonts w:cs="Times New Roman"/>
        </w:rPr>
        <w:t>. 2007. “Expanding Usability Testing to Evaluate Complex Systems.” </w:t>
      </w:r>
    </w:p>
    <w:p w14:paraId="68DA9B36" w14:textId="1A70F3B5" w:rsidR="00EB400D" w:rsidRPr="0087605D" w:rsidRDefault="00EB400D" w:rsidP="00EB400D">
      <w:pPr>
        <w:pStyle w:val="ListParagraph"/>
        <w:widowControl w:val="0"/>
        <w:numPr>
          <w:ilvl w:val="0"/>
          <w:numId w:val="14"/>
        </w:numPr>
        <w:autoSpaceDE w:val="0"/>
        <w:autoSpaceDN w:val="0"/>
        <w:adjustRightInd w:val="0"/>
        <w:rPr>
          <w:rFonts w:cs="Times New Roman"/>
        </w:rPr>
      </w:pPr>
      <w:r w:rsidRPr="0087605D">
        <w:rPr>
          <w:rFonts w:cs="Times New Roman"/>
        </w:rPr>
        <w:t>Usability.gov (home, basics, methods, templates, resources, articles/discussion, guidelines)</w:t>
      </w:r>
    </w:p>
    <w:p w14:paraId="28F03EB0" w14:textId="77777777" w:rsidR="00EB400D" w:rsidRPr="0087605D" w:rsidRDefault="00EB400D" w:rsidP="00EB400D">
      <w:pPr>
        <w:pStyle w:val="ListParagraph"/>
        <w:widowControl w:val="0"/>
        <w:numPr>
          <w:ilvl w:val="0"/>
          <w:numId w:val="14"/>
        </w:numPr>
        <w:autoSpaceDE w:val="0"/>
        <w:autoSpaceDN w:val="0"/>
        <w:adjustRightInd w:val="0"/>
        <w:rPr>
          <w:rFonts w:cs="Wingdings"/>
        </w:rPr>
      </w:pPr>
      <w:r w:rsidRPr="0087605D">
        <w:rPr>
          <w:rFonts w:cs="Times New Roman"/>
        </w:rPr>
        <w:t xml:space="preserve">Bevan &amp; </w:t>
      </w:r>
      <w:proofErr w:type="spellStart"/>
      <w:r w:rsidRPr="0087605D">
        <w:rPr>
          <w:rFonts w:cs="Times New Roman"/>
        </w:rPr>
        <w:t>Spinhof</w:t>
      </w:r>
      <w:proofErr w:type="spellEnd"/>
      <w:r w:rsidRPr="0087605D">
        <w:rPr>
          <w:rFonts w:cs="Times New Roman"/>
        </w:rPr>
        <w:t xml:space="preserve">. 2007. “Are guidelines and standards for web usability comprehensive?” </w:t>
      </w:r>
    </w:p>
    <w:p w14:paraId="1AC04132" w14:textId="77777777" w:rsidR="00EB400D" w:rsidRPr="0087605D" w:rsidRDefault="00EB400D" w:rsidP="00EB400D">
      <w:pPr>
        <w:pStyle w:val="ListParagraph"/>
        <w:widowControl w:val="0"/>
        <w:numPr>
          <w:ilvl w:val="0"/>
          <w:numId w:val="14"/>
        </w:numPr>
        <w:autoSpaceDE w:val="0"/>
        <w:autoSpaceDN w:val="0"/>
        <w:adjustRightInd w:val="0"/>
        <w:rPr>
          <w:rFonts w:cs="Times New Roman"/>
        </w:rPr>
      </w:pPr>
      <w:r w:rsidRPr="0087605D">
        <w:rPr>
          <w:rFonts w:cs="Times New Roman"/>
        </w:rPr>
        <w:t xml:space="preserve">Petrie &amp; </w:t>
      </w:r>
      <w:proofErr w:type="spellStart"/>
      <w:r w:rsidRPr="0087605D">
        <w:rPr>
          <w:rFonts w:cs="Times New Roman"/>
        </w:rPr>
        <w:t>Kheir</w:t>
      </w:r>
      <w:proofErr w:type="spellEnd"/>
      <w:r w:rsidRPr="0087605D">
        <w:rPr>
          <w:rFonts w:cs="Times New Roman"/>
        </w:rPr>
        <w:t>. 2007. “The Relationship between Accessibility and Usability of Websites.”</w:t>
      </w:r>
    </w:p>
    <w:p w14:paraId="501DBE88" w14:textId="5C91CAE4" w:rsidR="00EB400D" w:rsidRPr="0087605D" w:rsidRDefault="00EB400D" w:rsidP="00EB400D">
      <w:pPr>
        <w:pStyle w:val="ListParagraph"/>
        <w:widowControl w:val="0"/>
        <w:numPr>
          <w:ilvl w:val="0"/>
          <w:numId w:val="14"/>
        </w:numPr>
        <w:autoSpaceDE w:val="0"/>
        <w:autoSpaceDN w:val="0"/>
        <w:adjustRightInd w:val="0"/>
        <w:rPr>
          <w:rFonts w:cs="Times"/>
        </w:rPr>
      </w:pPr>
      <w:proofErr w:type="gramStart"/>
      <w:r w:rsidRPr="0087605D">
        <w:rPr>
          <w:rFonts w:cs="Times New Roman"/>
        </w:rPr>
        <w:t>useit.com</w:t>
      </w:r>
      <w:proofErr w:type="gramEnd"/>
      <w:r w:rsidRPr="0087605D">
        <w:rPr>
          <w:rFonts w:cs="Times New Roman"/>
        </w:rPr>
        <w:t xml:space="preserve">: </w:t>
      </w:r>
      <w:proofErr w:type="spellStart"/>
      <w:r w:rsidRPr="0087605D">
        <w:rPr>
          <w:rFonts w:cs="Times New Roman"/>
        </w:rPr>
        <w:t>Jakob</w:t>
      </w:r>
      <w:proofErr w:type="spellEnd"/>
      <w:r w:rsidRPr="0087605D">
        <w:rPr>
          <w:rFonts w:cs="Times New Roman"/>
        </w:rPr>
        <w:t xml:space="preserve"> Nielsen's Website</w:t>
      </w:r>
    </w:p>
    <w:p w14:paraId="32464BD8" w14:textId="77777777" w:rsidR="00EB400D" w:rsidRPr="0087605D" w:rsidRDefault="00EB400D" w:rsidP="00E860F8">
      <w:pPr>
        <w:widowControl w:val="0"/>
        <w:autoSpaceDE w:val="0"/>
        <w:autoSpaceDN w:val="0"/>
        <w:adjustRightInd w:val="0"/>
        <w:rPr>
          <w:rFonts w:cs="Times New Roman"/>
        </w:rPr>
      </w:pPr>
    </w:p>
    <w:p w14:paraId="3FAA0E2A" w14:textId="77777777" w:rsidR="00E860F8" w:rsidRPr="0087605D" w:rsidRDefault="00FE1F29" w:rsidP="00E860F8">
      <w:pPr>
        <w:widowControl w:val="0"/>
        <w:autoSpaceDE w:val="0"/>
        <w:autoSpaceDN w:val="0"/>
        <w:adjustRightInd w:val="0"/>
        <w:rPr>
          <w:rFonts w:cs="Cambria"/>
          <w:b/>
          <w:bCs/>
        </w:rPr>
      </w:pPr>
      <w:r w:rsidRPr="0087605D">
        <w:rPr>
          <w:rFonts w:cs="Cambria"/>
          <w:b/>
          <w:bCs/>
        </w:rPr>
        <w:t>Assignments and Grading</w:t>
      </w:r>
    </w:p>
    <w:p w14:paraId="79EE2E5B" w14:textId="77777777" w:rsidR="00FE1F29" w:rsidRPr="0087605D" w:rsidRDefault="00FE1F29" w:rsidP="00E860F8">
      <w:pPr>
        <w:pStyle w:val="ListParagraph"/>
        <w:widowControl w:val="0"/>
        <w:numPr>
          <w:ilvl w:val="0"/>
          <w:numId w:val="7"/>
        </w:numPr>
        <w:autoSpaceDE w:val="0"/>
        <w:autoSpaceDN w:val="0"/>
        <w:adjustRightInd w:val="0"/>
        <w:rPr>
          <w:rFonts w:cs="Cambria"/>
          <w:b/>
          <w:bCs/>
        </w:rPr>
      </w:pPr>
      <w:r w:rsidRPr="0087605D">
        <w:rPr>
          <w:rFonts w:cs="Cambria"/>
          <w:bCs/>
          <w:iCs/>
        </w:rPr>
        <w:t xml:space="preserve">PROJECT #1 Blog Postings, Responses, and Analyses </w:t>
      </w:r>
      <w:r w:rsidR="00F365BE" w:rsidRPr="0087605D">
        <w:rPr>
          <w:rFonts w:cs="Cambria"/>
          <w:bCs/>
          <w:iCs/>
        </w:rPr>
        <w:tab/>
      </w:r>
      <w:r w:rsidR="00F365BE" w:rsidRPr="0087605D">
        <w:rPr>
          <w:rFonts w:cs="Cambria"/>
          <w:bCs/>
        </w:rPr>
        <w:t>20</w:t>
      </w:r>
      <w:r w:rsidRPr="0087605D">
        <w:rPr>
          <w:rFonts w:cs="Cambria"/>
          <w:bCs/>
        </w:rPr>
        <w:t xml:space="preserve">% </w:t>
      </w:r>
    </w:p>
    <w:p w14:paraId="417555BD" w14:textId="77777777" w:rsidR="00FE1F29" w:rsidRPr="0087605D" w:rsidRDefault="00FE1F29" w:rsidP="00E860F8">
      <w:pPr>
        <w:pStyle w:val="ListParagraph"/>
        <w:widowControl w:val="0"/>
        <w:numPr>
          <w:ilvl w:val="0"/>
          <w:numId w:val="7"/>
        </w:numPr>
        <w:autoSpaceDE w:val="0"/>
        <w:autoSpaceDN w:val="0"/>
        <w:adjustRightInd w:val="0"/>
        <w:rPr>
          <w:rFonts w:cs="Cambria"/>
          <w:bCs/>
        </w:rPr>
      </w:pPr>
      <w:r w:rsidRPr="0087605D">
        <w:rPr>
          <w:rFonts w:cs="Cambria"/>
          <w:bCs/>
          <w:iCs/>
        </w:rPr>
        <w:t xml:space="preserve">PROJECT #2 Research Paper and Formal Presentation </w:t>
      </w:r>
      <w:r w:rsidR="00F365BE" w:rsidRPr="0087605D">
        <w:rPr>
          <w:rFonts w:cs="Cambria"/>
          <w:bCs/>
          <w:iCs/>
        </w:rPr>
        <w:tab/>
      </w:r>
      <w:r w:rsidR="00F365BE" w:rsidRPr="0087605D">
        <w:rPr>
          <w:rFonts w:cs="Cambria"/>
          <w:bCs/>
        </w:rPr>
        <w:t>2</w:t>
      </w:r>
      <w:r w:rsidRPr="0087605D">
        <w:rPr>
          <w:rFonts w:cs="Cambria"/>
          <w:bCs/>
        </w:rPr>
        <w:t xml:space="preserve">5% </w:t>
      </w:r>
    </w:p>
    <w:p w14:paraId="4D671717" w14:textId="77777777" w:rsidR="00FE1F29" w:rsidRPr="0087605D" w:rsidRDefault="00FE1F29" w:rsidP="00E860F8">
      <w:pPr>
        <w:pStyle w:val="ListParagraph"/>
        <w:widowControl w:val="0"/>
        <w:numPr>
          <w:ilvl w:val="0"/>
          <w:numId w:val="7"/>
        </w:numPr>
        <w:autoSpaceDE w:val="0"/>
        <w:autoSpaceDN w:val="0"/>
        <w:adjustRightInd w:val="0"/>
        <w:rPr>
          <w:rFonts w:cs="Cambria"/>
          <w:bCs/>
        </w:rPr>
      </w:pPr>
      <w:r w:rsidRPr="0087605D">
        <w:rPr>
          <w:rFonts w:cs="Cambria"/>
          <w:bCs/>
          <w:iCs/>
        </w:rPr>
        <w:t xml:space="preserve">PROJECT #3 </w:t>
      </w:r>
      <w:r w:rsidR="00F365BE" w:rsidRPr="0087605D">
        <w:rPr>
          <w:rFonts w:cs="Cambria"/>
          <w:bCs/>
          <w:iCs/>
        </w:rPr>
        <w:t>Multimodal Artifacts</w:t>
      </w:r>
      <w:r w:rsidRPr="0087605D">
        <w:rPr>
          <w:rFonts w:cs="Cambria"/>
          <w:bCs/>
          <w:iCs/>
        </w:rPr>
        <w:t xml:space="preserve"> </w:t>
      </w:r>
      <w:r w:rsidR="00F365BE" w:rsidRPr="0087605D">
        <w:rPr>
          <w:rFonts w:cs="Cambria"/>
          <w:bCs/>
          <w:iCs/>
        </w:rPr>
        <w:tab/>
      </w:r>
      <w:r w:rsidR="00F365BE" w:rsidRPr="0087605D">
        <w:rPr>
          <w:rFonts w:cs="Cambria"/>
          <w:bCs/>
          <w:iCs/>
        </w:rPr>
        <w:tab/>
      </w:r>
      <w:r w:rsidR="00F365BE" w:rsidRPr="0087605D">
        <w:rPr>
          <w:rFonts w:cs="Cambria"/>
          <w:bCs/>
          <w:iCs/>
        </w:rPr>
        <w:tab/>
      </w:r>
      <w:r w:rsidR="00F365BE" w:rsidRPr="0087605D">
        <w:rPr>
          <w:rFonts w:cs="Cambria"/>
          <w:bCs/>
          <w:iCs/>
        </w:rPr>
        <w:tab/>
      </w:r>
      <w:r w:rsidR="00F365BE" w:rsidRPr="0087605D">
        <w:rPr>
          <w:rFonts w:cs="Cambria"/>
          <w:bCs/>
        </w:rPr>
        <w:t>30</w:t>
      </w:r>
      <w:r w:rsidRPr="0087605D">
        <w:rPr>
          <w:rFonts w:cs="Cambria"/>
          <w:bCs/>
        </w:rPr>
        <w:t xml:space="preserve">% </w:t>
      </w:r>
    </w:p>
    <w:p w14:paraId="06EDA89F" w14:textId="77777777" w:rsidR="00FE1F29" w:rsidRPr="0087605D" w:rsidRDefault="00FE1F29" w:rsidP="00E860F8">
      <w:pPr>
        <w:pStyle w:val="ListParagraph"/>
        <w:widowControl w:val="0"/>
        <w:numPr>
          <w:ilvl w:val="0"/>
          <w:numId w:val="7"/>
        </w:numPr>
        <w:autoSpaceDE w:val="0"/>
        <w:autoSpaceDN w:val="0"/>
        <w:adjustRightInd w:val="0"/>
        <w:rPr>
          <w:rFonts w:cs="Cambria"/>
          <w:bCs/>
        </w:rPr>
      </w:pPr>
      <w:r w:rsidRPr="0087605D">
        <w:rPr>
          <w:rFonts w:cs="Cambria"/>
          <w:bCs/>
          <w:iCs/>
        </w:rPr>
        <w:t xml:space="preserve">PROJECT #4 </w:t>
      </w:r>
      <w:r w:rsidR="00F365BE" w:rsidRPr="0087605D">
        <w:rPr>
          <w:rFonts w:cs="Cambria"/>
          <w:bCs/>
          <w:iCs/>
        </w:rPr>
        <w:t>Website</w:t>
      </w:r>
      <w:r w:rsidR="00F365BE" w:rsidRPr="0087605D">
        <w:rPr>
          <w:rFonts w:cs="Cambria"/>
          <w:bCs/>
          <w:iCs/>
        </w:rPr>
        <w:tab/>
      </w:r>
      <w:r w:rsidR="00F365BE" w:rsidRPr="0087605D">
        <w:rPr>
          <w:rFonts w:cs="Cambria"/>
          <w:bCs/>
          <w:iCs/>
        </w:rPr>
        <w:tab/>
      </w:r>
      <w:r w:rsidR="00F365BE" w:rsidRPr="0087605D">
        <w:rPr>
          <w:rFonts w:cs="Cambria"/>
          <w:bCs/>
          <w:iCs/>
        </w:rPr>
        <w:tab/>
      </w:r>
      <w:r w:rsidR="00F365BE" w:rsidRPr="0087605D">
        <w:rPr>
          <w:rFonts w:cs="Cambria"/>
          <w:bCs/>
          <w:iCs/>
        </w:rPr>
        <w:tab/>
      </w:r>
      <w:r w:rsidR="00F365BE" w:rsidRPr="0087605D">
        <w:rPr>
          <w:rFonts w:cs="Cambria"/>
          <w:bCs/>
          <w:iCs/>
        </w:rPr>
        <w:tab/>
      </w:r>
      <w:r w:rsidR="00F365BE" w:rsidRPr="0087605D">
        <w:rPr>
          <w:rFonts w:cs="Cambria"/>
          <w:bCs/>
          <w:iCs/>
        </w:rPr>
        <w:tab/>
      </w:r>
      <w:r w:rsidRPr="0087605D">
        <w:rPr>
          <w:rFonts w:cs="Cambria"/>
          <w:bCs/>
        </w:rPr>
        <w:t xml:space="preserve">15% </w:t>
      </w:r>
    </w:p>
    <w:p w14:paraId="666A9860" w14:textId="77777777" w:rsidR="00FE1F29" w:rsidRPr="0087605D" w:rsidRDefault="00F365BE" w:rsidP="00E860F8">
      <w:pPr>
        <w:pStyle w:val="ListParagraph"/>
        <w:widowControl w:val="0"/>
        <w:numPr>
          <w:ilvl w:val="0"/>
          <w:numId w:val="7"/>
        </w:numPr>
        <w:autoSpaceDE w:val="0"/>
        <w:autoSpaceDN w:val="0"/>
        <w:adjustRightInd w:val="0"/>
        <w:rPr>
          <w:rFonts w:cs="Cambria"/>
          <w:bCs/>
        </w:rPr>
      </w:pPr>
      <w:r w:rsidRPr="0087605D">
        <w:rPr>
          <w:rFonts w:cs="Cambria"/>
          <w:bCs/>
          <w:iCs/>
        </w:rPr>
        <w:t>Midterm Exam</w:t>
      </w:r>
      <w:r w:rsidRPr="0087605D">
        <w:rPr>
          <w:rFonts w:cs="Cambria"/>
          <w:bCs/>
          <w:iCs/>
        </w:rPr>
        <w:tab/>
      </w:r>
      <w:r w:rsidRPr="0087605D">
        <w:rPr>
          <w:rFonts w:cs="Cambria"/>
          <w:bCs/>
          <w:iCs/>
        </w:rPr>
        <w:tab/>
      </w:r>
      <w:r w:rsidRPr="0087605D">
        <w:rPr>
          <w:rFonts w:cs="Cambria"/>
          <w:bCs/>
          <w:iCs/>
        </w:rPr>
        <w:tab/>
      </w:r>
      <w:r w:rsidRPr="0087605D">
        <w:rPr>
          <w:rFonts w:cs="Cambria"/>
          <w:bCs/>
          <w:iCs/>
        </w:rPr>
        <w:tab/>
      </w:r>
      <w:r w:rsidRPr="0087605D">
        <w:rPr>
          <w:rFonts w:cs="Cambria"/>
          <w:bCs/>
          <w:iCs/>
        </w:rPr>
        <w:tab/>
      </w:r>
      <w:r w:rsidRPr="0087605D">
        <w:rPr>
          <w:rFonts w:cs="Cambria"/>
          <w:bCs/>
          <w:iCs/>
        </w:rPr>
        <w:tab/>
        <w:t xml:space="preserve">  5%</w:t>
      </w:r>
    </w:p>
    <w:p w14:paraId="2264990E" w14:textId="77777777" w:rsidR="00FE1F29" w:rsidRPr="0087605D" w:rsidRDefault="00FE1F29" w:rsidP="00E860F8">
      <w:pPr>
        <w:pStyle w:val="ListParagraph"/>
        <w:widowControl w:val="0"/>
        <w:numPr>
          <w:ilvl w:val="0"/>
          <w:numId w:val="7"/>
        </w:numPr>
        <w:autoSpaceDE w:val="0"/>
        <w:autoSpaceDN w:val="0"/>
        <w:adjustRightInd w:val="0"/>
        <w:rPr>
          <w:rFonts w:cs="Times"/>
        </w:rPr>
      </w:pPr>
      <w:r w:rsidRPr="0087605D">
        <w:rPr>
          <w:rFonts w:cs="Cambria"/>
          <w:bCs/>
          <w:iCs/>
        </w:rPr>
        <w:t xml:space="preserve">Attendance, Participation, and Homework </w:t>
      </w:r>
      <w:r w:rsidR="00F365BE" w:rsidRPr="0087605D">
        <w:rPr>
          <w:rFonts w:cs="Cambria"/>
          <w:bCs/>
          <w:iCs/>
        </w:rPr>
        <w:tab/>
      </w:r>
      <w:r w:rsidR="00F365BE" w:rsidRPr="0087605D">
        <w:rPr>
          <w:rFonts w:cs="Cambria"/>
          <w:bCs/>
          <w:iCs/>
        </w:rPr>
        <w:tab/>
        <w:t xml:space="preserve">  </w:t>
      </w:r>
      <w:r w:rsidR="00F365BE" w:rsidRPr="0087605D">
        <w:rPr>
          <w:rFonts w:cs="Cambria"/>
          <w:bCs/>
        </w:rPr>
        <w:t>5</w:t>
      </w:r>
      <w:r w:rsidRPr="0087605D">
        <w:rPr>
          <w:rFonts w:cs="Cambria"/>
          <w:bCs/>
        </w:rPr>
        <w:t>%</w:t>
      </w:r>
    </w:p>
    <w:p w14:paraId="0850836F" w14:textId="77777777" w:rsidR="00E860F8" w:rsidRPr="0087605D" w:rsidRDefault="00E860F8" w:rsidP="00E860F8">
      <w:pPr>
        <w:pStyle w:val="ListParagraph"/>
        <w:widowControl w:val="0"/>
        <w:numPr>
          <w:ilvl w:val="0"/>
          <w:numId w:val="7"/>
        </w:numPr>
        <w:autoSpaceDE w:val="0"/>
        <w:autoSpaceDN w:val="0"/>
        <w:adjustRightInd w:val="0"/>
        <w:rPr>
          <w:rFonts w:cs="Times"/>
        </w:rPr>
      </w:pPr>
    </w:p>
    <w:p w14:paraId="13CEE888" w14:textId="77777777" w:rsidR="00FE1F29" w:rsidRPr="0087605D" w:rsidRDefault="00FE1F29" w:rsidP="00927564">
      <w:pPr>
        <w:widowControl w:val="0"/>
        <w:autoSpaceDE w:val="0"/>
        <w:autoSpaceDN w:val="0"/>
        <w:adjustRightInd w:val="0"/>
        <w:rPr>
          <w:rFonts w:cs="Cambria"/>
        </w:rPr>
      </w:pPr>
      <w:r w:rsidRPr="0087605D">
        <w:rPr>
          <w:rFonts w:cs="Cambria"/>
        </w:rPr>
        <w:t xml:space="preserve">Specific requirements for assignments will be discussed in class. All assignments must be computer generated (no handwritten or typed documents). Keep a copy of all assignments you pass in. Sometimes you will be asked to also submit a DVD </w:t>
      </w:r>
      <w:r w:rsidRPr="0087605D">
        <w:rPr>
          <w:rFonts w:cs="Cambria"/>
          <w:i/>
          <w:iCs/>
        </w:rPr>
        <w:t xml:space="preserve">and </w:t>
      </w:r>
      <w:r w:rsidRPr="0087605D">
        <w:rPr>
          <w:rFonts w:cs="Cambria"/>
        </w:rPr>
        <w:t>a print document. Please use MSWord for your word processing.</w:t>
      </w:r>
    </w:p>
    <w:p w14:paraId="03BB6D85" w14:textId="77777777" w:rsidR="00E860F8" w:rsidRPr="0087605D" w:rsidRDefault="00E860F8" w:rsidP="00927564">
      <w:pPr>
        <w:widowControl w:val="0"/>
        <w:autoSpaceDE w:val="0"/>
        <w:autoSpaceDN w:val="0"/>
        <w:adjustRightInd w:val="0"/>
        <w:rPr>
          <w:rFonts w:cs="Times"/>
        </w:rPr>
      </w:pPr>
    </w:p>
    <w:p w14:paraId="48653F10" w14:textId="77777777" w:rsidR="00FE1F29" w:rsidRPr="0087605D" w:rsidRDefault="00FE1F29" w:rsidP="00927564">
      <w:pPr>
        <w:widowControl w:val="0"/>
        <w:autoSpaceDE w:val="0"/>
        <w:autoSpaceDN w:val="0"/>
        <w:adjustRightInd w:val="0"/>
        <w:rPr>
          <w:rFonts w:cs="Cambria"/>
        </w:rPr>
      </w:pPr>
      <w:r w:rsidRPr="0087605D">
        <w:rPr>
          <w:rFonts w:cs="Cambria"/>
        </w:rPr>
        <w:t>Attending class is part of your professional responsibility. You’re expected to be in class when it is scheduled to meet. This class meets twice a week for 15 weeks, for a total of 30 class meetings. You receive an attendance grade, which is the actual percentage of the times you attend class, so if you miss no classes, you receive a 100% for attendance. In addition, this is what happens if you miss class:</w:t>
      </w:r>
    </w:p>
    <w:p w14:paraId="6F31280B" w14:textId="77777777" w:rsidR="00E860F8" w:rsidRPr="0087605D" w:rsidRDefault="00E860F8" w:rsidP="00927564">
      <w:pPr>
        <w:widowControl w:val="0"/>
        <w:autoSpaceDE w:val="0"/>
        <w:autoSpaceDN w:val="0"/>
        <w:adjustRightInd w:val="0"/>
        <w:rPr>
          <w:rFonts w:cs="Times"/>
        </w:rPr>
      </w:pPr>
    </w:p>
    <w:p w14:paraId="4BDA2907" w14:textId="77777777" w:rsidR="00FE1F29" w:rsidRPr="0087605D"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87605D">
        <w:rPr>
          <w:rFonts w:cs="Cambria"/>
        </w:rPr>
        <w:t xml:space="preserve">Regardless of your actual grades and regardless of the reasons for your absences, 4 absences (2 weeks or ~13% of the course) will lower your grade one letter grade (i.e., A-­‐ becomes B-­‐; B becomes C). </w:t>
      </w:r>
    </w:p>
    <w:p w14:paraId="0B64D547" w14:textId="77777777" w:rsidR="00E860F8" w:rsidRPr="0087605D" w:rsidRDefault="00E860F8" w:rsidP="00927564">
      <w:pPr>
        <w:widowControl w:val="0"/>
        <w:numPr>
          <w:ilvl w:val="0"/>
          <w:numId w:val="1"/>
        </w:numPr>
        <w:tabs>
          <w:tab w:val="left" w:pos="0"/>
          <w:tab w:val="left" w:pos="220"/>
        </w:tabs>
        <w:autoSpaceDE w:val="0"/>
        <w:autoSpaceDN w:val="0"/>
        <w:adjustRightInd w:val="0"/>
        <w:ind w:left="0" w:hanging="90"/>
        <w:rPr>
          <w:rFonts w:cs="Symbol"/>
        </w:rPr>
      </w:pPr>
    </w:p>
    <w:p w14:paraId="3656AF34" w14:textId="77777777" w:rsidR="00FE1F29" w:rsidRPr="0087605D"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87605D">
        <w:rPr>
          <w:rFonts w:cs="Cambria"/>
        </w:rPr>
        <w:t xml:space="preserve">Regardless of your actual grades and regardless of the reasons for your absences, 6 absences (3 weeks or ~20% of the course) will lower your grade two letter grades (i.e., B becomes a D; C becomes F). </w:t>
      </w:r>
    </w:p>
    <w:p w14:paraId="368C3063" w14:textId="77777777" w:rsidR="00E860F8" w:rsidRPr="0087605D" w:rsidRDefault="00E860F8" w:rsidP="00E860F8">
      <w:pPr>
        <w:widowControl w:val="0"/>
        <w:tabs>
          <w:tab w:val="left" w:pos="0"/>
          <w:tab w:val="left" w:pos="220"/>
        </w:tabs>
        <w:autoSpaceDE w:val="0"/>
        <w:autoSpaceDN w:val="0"/>
        <w:adjustRightInd w:val="0"/>
        <w:rPr>
          <w:rFonts w:cs="Symbol"/>
        </w:rPr>
      </w:pPr>
    </w:p>
    <w:p w14:paraId="3B291F48" w14:textId="77777777" w:rsidR="00E860F8" w:rsidRPr="0087605D"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87605D">
        <w:rPr>
          <w:rFonts w:cs="Cambria"/>
        </w:rPr>
        <w:t xml:space="preserve">Regardless of your actual grades and regardless of the reasons for your absences, 8 absences (4 weeks or ~27% of the course) will result in automatic failure of the course. </w:t>
      </w:r>
      <w:r w:rsidRPr="0087605D">
        <w:rPr>
          <w:rFonts w:cs="Symbol"/>
        </w:rPr>
        <w:t> </w:t>
      </w:r>
    </w:p>
    <w:p w14:paraId="33A1D46A" w14:textId="77777777" w:rsidR="00E860F8" w:rsidRPr="0087605D" w:rsidRDefault="00E860F8" w:rsidP="00E860F8">
      <w:pPr>
        <w:widowControl w:val="0"/>
        <w:tabs>
          <w:tab w:val="left" w:pos="0"/>
          <w:tab w:val="left" w:pos="220"/>
        </w:tabs>
        <w:autoSpaceDE w:val="0"/>
        <w:autoSpaceDN w:val="0"/>
        <w:adjustRightInd w:val="0"/>
        <w:rPr>
          <w:rFonts w:cs="Cambria"/>
        </w:rPr>
      </w:pPr>
    </w:p>
    <w:p w14:paraId="625EB661" w14:textId="77777777" w:rsidR="00E860F8" w:rsidRPr="0087605D" w:rsidRDefault="00F365BE" w:rsidP="00927564">
      <w:pPr>
        <w:widowControl w:val="0"/>
        <w:numPr>
          <w:ilvl w:val="0"/>
          <w:numId w:val="1"/>
        </w:numPr>
        <w:tabs>
          <w:tab w:val="left" w:pos="0"/>
          <w:tab w:val="left" w:pos="220"/>
        </w:tabs>
        <w:autoSpaceDE w:val="0"/>
        <w:autoSpaceDN w:val="0"/>
        <w:adjustRightInd w:val="0"/>
        <w:ind w:left="0" w:hanging="90"/>
        <w:rPr>
          <w:rFonts w:cs="Symbol"/>
        </w:rPr>
      </w:pPr>
      <w:r w:rsidRPr="0087605D">
        <w:rPr>
          <w:rFonts w:cs="Cambria"/>
        </w:rPr>
        <w:t>Institute</w:t>
      </w:r>
      <w:r w:rsidR="00FE1F29" w:rsidRPr="0087605D">
        <w:rPr>
          <w:rFonts w:cs="Cambria"/>
        </w:rPr>
        <w:t xml:space="preserve">‐approved absences (documented by the Registrar or Dean of Students) are not counted as absences. You are responsible for keeping track of your own absences. I take attendance; you can check with me anytime to ensure our records agree, but my attendance record is the official one. </w:t>
      </w:r>
      <w:r w:rsidR="00FE1F29" w:rsidRPr="0087605D">
        <w:rPr>
          <w:rFonts w:cs="Symbol"/>
        </w:rPr>
        <w:t> </w:t>
      </w:r>
    </w:p>
    <w:p w14:paraId="66879934" w14:textId="77777777" w:rsidR="00E860F8" w:rsidRPr="0087605D" w:rsidRDefault="00E860F8" w:rsidP="00E860F8">
      <w:pPr>
        <w:widowControl w:val="0"/>
        <w:tabs>
          <w:tab w:val="left" w:pos="0"/>
          <w:tab w:val="left" w:pos="220"/>
        </w:tabs>
        <w:autoSpaceDE w:val="0"/>
        <w:autoSpaceDN w:val="0"/>
        <w:adjustRightInd w:val="0"/>
        <w:rPr>
          <w:rFonts w:cs="Cambria"/>
        </w:rPr>
      </w:pPr>
    </w:p>
    <w:p w14:paraId="7B0D444B" w14:textId="77777777" w:rsidR="00E860F8" w:rsidRPr="0087605D"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87605D">
        <w:rPr>
          <w:rFonts w:cs="Cambria"/>
        </w:rPr>
        <w:t xml:space="preserve">You are tardy if you arrive after I take attendance. Important to note: three </w:t>
      </w:r>
      <w:proofErr w:type="spellStart"/>
      <w:r w:rsidRPr="0087605D">
        <w:rPr>
          <w:rFonts w:cs="Cambria"/>
        </w:rPr>
        <w:t>tardies</w:t>
      </w:r>
      <w:proofErr w:type="spellEnd"/>
      <w:r w:rsidRPr="0087605D">
        <w:rPr>
          <w:rFonts w:cs="Cambria"/>
        </w:rPr>
        <w:t xml:space="preserve"> = one absence. </w:t>
      </w:r>
      <w:r w:rsidRPr="0087605D">
        <w:rPr>
          <w:rFonts w:cs="Symbol"/>
        </w:rPr>
        <w:t> </w:t>
      </w:r>
      <w:r w:rsidRPr="0087605D">
        <w:rPr>
          <w:rFonts w:cs="Cambria"/>
        </w:rPr>
        <w:t xml:space="preserve">I urge you not to take self-­‐indulgent absences (e.g., not bothering to come to class, wanting to sleep in). I encourage you to plan your time so that you don’t disadvantage this class for other parts of your life (e.g., studying for an exam, participating in a sports event, going away for a long weekend). Academic work is important, so you don’t want to miss this class. Schedule jobs, study groups, team meetings, and other important commitments at some time this class doesn’t meet. Schedule job interviews so they do not conflict with this class. </w:t>
      </w:r>
      <w:r w:rsidRPr="0087605D">
        <w:rPr>
          <w:rFonts w:cs="Symbol"/>
        </w:rPr>
        <w:t> </w:t>
      </w:r>
    </w:p>
    <w:p w14:paraId="4701DA5F" w14:textId="77777777" w:rsidR="00E860F8" w:rsidRPr="0087605D" w:rsidRDefault="00E860F8" w:rsidP="00E860F8">
      <w:pPr>
        <w:widowControl w:val="0"/>
        <w:tabs>
          <w:tab w:val="left" w:pos="0"/>
          <w:tab w:val="left" w:pos="220"/>
        </w:tabs>
        <w:autoSpaceDE w:val="0"/>
        <w:autoSpaceDN w:val="0"/>
        <w:adjustRightInd w:val="0"/>
        <w:rPr>
          <w:rFonts w:cs="Cambria"/>
        </w:rPr>
      </w:pPr>
    </w:p>
    <w:p w14:paraId="2D23425C" w14:textId="77777777" w:rsidR="00E860F8" w:rsidRPr="0087605D"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87605D">
        <w:rPr>
          <w:rFonts w:cs="Cambria"/>
        </w:rPr>
        <w:t xml:space="preserve">If you miss a scheduled oral presentation, you will receive a grade of 0 (that’s “zero”) for that presentation. In fact, if you miss any assignment, large or small, you receive a “0” for the grade. If you miss any exam, you will receive a grade of 0 (that’s “zero”) for that exam. </w:t>
      </w:r>
      <w:r w:rsidRPr="0087605D">
        <w:rPr>
          <w:rFonts w:cs="Symbol"/>
        </w:rPr>
        <w:t> </w:t>
      </w:r>
    </w:p>
    <w:p w14:paraId="3CB580B7" w14:textId="77777777" w:rsidR="00E860F8" w:rsidRPr="0087605D" w:rsidRDefault="00E860F8" w:rsidP="00E860F8">
      <w:pPr>
        <w:widowControl w:val="0"/>
        <w:tabs>
          <w:tab w:val="left" w:pos="0"/>
          <w:tab w:val="left" w:pos="220"/>
        </w:tabs>
        <w:autoSpaceDE w:val="0"/>
        <w:autoSpaceDN w:val="0"/>
        <w:adjustRightInd w:val="0"/>
        <w:rPr>
          <w:rFonts w:cs="Cambria"/>
        </w:rPr>
      </w:pPr>
    </w:p>
    <w:p w14:paraId="1A17B64A" w14:textId="77777777" w:rsidR="00E860F8" w:rsidRPr="0087605D"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87605D">
        <w:rPr>
          <w:rFonts w:cs="Cambria"/>
        </w:rPr>
        <w:t xml:space="preserve">As a professional courtesy, please call (404-­‐894-­‐1158 and leave a message) or send an email message if illness, an unexpected personal emergency, or business obligations prevent you from attending class or a team meeting (just as you would if you were going to miss work). Providing a reason is a profession courtesy, not an excuse. Regardless of the reason for your absence, you are responsible for information presented in classes you miss. </w:t>
      </w:r>
    </w:p>
    <w:p w14:paraId="1AB8E524" w14:textId="77777777" w:rsidR="00E860F8" w:rsidRPr="0087605D" w:rsidRDefault="00E860F8" w:rsidP="00E860F8">
      <w:pPr>
        <w:widowControl w:val="0"/>
        <w:tabs>
          <w:tab w:val="left" w:pos="0"/>
          <w:tab w:val="left" w:pos="220"/>
        </w:tabs>
        <w:autoSpaceDE w:val="0"/>
        <w:autoSpaceDN w:val="0"/>
        <w:adjustRightInd w:val="0"/>
        <w:rPr>
          <w:rFonts w:cs="Cambria"/>
        </w:rPr>
      </w:pPr>
    </w:p>
    <w:p w14:paraId="423B48A8" w14:textId="77777777" w:rsidR="00FE1F29" w:rsidRPr="0087605D" w:rsidRDefault="00FE1F29" w:rsidP="00927564">
      <w:pPr>
        <w:widowControl w:val="0"/>
        <w:numPr>
          <w:ilvl w:val="0"/>
          <w:numId w:val="1"/>
        </w:numPr>
        <w:tabs>
          <w:tab w:val="left" w:pos="0"/>
          <w:tab w:val="left" w:pos="220"/>
        </w:tabs>
        <w:autoSpaceDE w:val="0"/>
        <w:autoSpaceDN w:val="0"/>
        <w:adjustRightInd w:val="0"/>
        <w:ind w:left="0" w:hanging="90"/>
        <w:rPr>
          <w:rFonts w:cs="Symbol"/>
        </w:rPr>
      </w:pPr>
      <w:r w:rsidRPr="0087605D">
        <w:rPr>
          <w:rFonts w:cs="Cambria"/>
        </w:rPr>
        <w:t xml:space="preserve">Please check GA Tech’s position about class attendance: http://www.catalog.gatech.edu/rules/4b.php </w:t>
      </w:r>
    </w:p>
    <w:p w14:paraId="775F1FCE" w14:textId="77777777" w:rsidR="00E860F8" w:rsidRPr="0087605D" w:rsidRDefault="00E860F8" w:rsidP="00927564">
      <w:pPr>
        <w:widowControl w:val="0"/>
        <w:autoSpaceDE w:val="0"/>
        <w:autoSpaceDN w:val="0"/>
        <w:adjustRightInd w:val="0"/>
        <w:rPr>
          <w:rFonts w:cs="Cambria"/>
          <w:b/>
          <w:bCs/>
        </w:rPr>
      </w:pPr>
    </w:p>
    <w:p w14:paraId="17542CAE" w14:textId="77777777" w:rsidR="00FE1F29" w:rsidRPr="0087605D" w:rsidRDefault="00FE1F29" w:rsidP="00927564">
      <w:pPr>
        <w:widowControl w:val="0"/>
        <w:autoSpaceDE w:val="0"/>
        <w:autoSpaceDN w:val="0"/>
        <w:adjustRightInd w:val="0"/>
        <w:rPr>
          <w:rFonts w:cs="Cambria"/>
          <w:b/>
          <w:bCs/>
        </w:rPr>
      </w:pPr>
      <w:r w:rsidRPr="0087605D">
        <w:rPr>
          <w:rFonts w:cs="Cambria"/>
          <w:b/>
          <w:bCs/>
        </w:rPr>
        <w:t>Accommodations</w:t>
      </w:r>
    </w:p>
    <w:p w14:paraId="1342D905" w14:textId="77777777" w:rsidR="00FE1F29" w:rsidRPr="0087605D" w:rsidRDefault="00FE1F29" w:rsidP="00927564">
      <w:pPr>
        <w:widowControl w:val="0"/>
        <w:autoSpaceDE w:val="0"/>
        <w:autoSpaceDN w:val="0"/>
        <w:adjustRightInd w:val="0"/>
        <w:rPr>
          <w:rFonts w:cs="Cambria"/>
        </w:rPr>
      </w:pPr>
      <w:r w:rsidRPr="0087605D">
        <w:rPr>
          <w:rFonts w:cs="Cambria"/>
        </w:rPr>
        <w:t>Georgia Tech supports students through ADAPTS (Access Disabled Assistance Program for Tech Students). Any student who may require an accommodation for a documented disability should inform me as soon as possible or as soon as you become aware of your disability. Anyone who anticipates difficulties with the content or format of the course due to a documented disability should arrange a meeting so we can create a workable plan for your success in this course. ADAPTS serves any Georgia Tech student who has a documented, qualifying disability. Official documentation of the disability is required to determine eligibility for accommodations or adaptations that may be helpful for this course. Please make sure I receive a Faculty Accommodation Letter form verifying your disability and specifying the accommodation you need. ADAPTS operates under the guidelines of Section 504 of the Rehabilitation Act of 1973 and the 1990 Americans with Disabilities Act (ADA).</w:t>
      </w:r>
    </w:p>
    <w:p w14:paraId="068C4513" w14:textId="77777777" w:rsidR="00FE1F29" w:rsidRPr="0087605D" w:rsidRDefault="00FE1F29" w:rsidP="00E860F8">
      <w:pPr>
        <w:pStyle w:val="ListParagraph"/>
        <w:widowControl w:val="0"/>
        <w:numPr>
          <w:ilvl w:val="0"/>
          <w:numId w:val="8"/>
        </w:numPr>
        <w:autoSpaceDE w:val="0"/>
        <w:autoSpaceDN w:val="0"/>
        <w:adjustRightInd w:val="0"/>
        <w:rPr>
          <w:rFonts w:cs="Cambria"/>
        </w:rPr>
      </w:pPr>
      <w:r w:rsidRPr="0087605D">
        <w:rPr>
          <w:rFonts w:cs="Cambria"/>
        </w:rPr>
        <w:t xml:space="preserve">Visit: </w:t>
      </w:r>
      <w:proofErr w:type="spellStart"/>
      <w:r w:rsidRPr="0087605D">
        <w:rPr>
          <w:rFonts w:cs="Cambria"/>
        </w:rPr>
        <w:t>Smithgall</w:t>
      </w:r>
      <w:proofErr w:type="spellEnd"/>
      <w:r w:rsidRPr="0087605D">
        <w:rPr>
          <w:rFonts w:cs="Cambria"/>
        </w:rPr>
        <w:t xml:space="preserve"> Student Services </w:t>
      </w:r>
      <w:proofErr w:type="spellStart"/>
      <w:r w:rsidRPr="0087605D">
        <w:rPr>
          <w:rFonts w:cs="Cambria"/>
        </w:rPr>
        <w:t>Bldg</w:t>
      </w:r>
      <w:proofErr w:type="spellEnd"/>
      <w:r w:rsidRPr="0087605D">
        <w:rPr>
          <w:rFonts w:cs="Cambria"/>
        </w:rPr>
        <w:t xml:space="preserve">, Suite 210 on 353 </w:t>
      </w:r>
      <w:proofErr w:type="spellStart"/>
      <w:r w:rsidRPr="0087605D">
        <w:rPr>
          <w:rFonts w:cs="Cambria"/>
        </w:rPr>
        <w:t>Ferst</w:t>
      </w:r>
      <w:proofErr w:type="spellEnd"/>
      <w:r w:rsidRPr="0087605D">
        <w:rPr>
          <w:rFonts w:cs="Cambria"/>
        </w:rPr>
        <w:t xml:space="preserve"> Drive</w:t>
      </w:r>
    </w:p>
    <w:p w14:paraId="4E429C7A" w14:textId="77777777" w:rsidR="00FE1F29" w:rsidRPr="0087605D" w:rsidRDefault="00FE1F29" w:rsidP="00E860F8">
      <w:pPr>
        <w:pStyle w:val="ListParagraph"/>
        <w:widowControl w:val="0"/>
        <w:numPr>
          <w:ilvl w:val="0"/>
          <w:numId w:val="8"/>
        </w:numPr>
        <w:autoSpaceDE w:val="0"/>
        <w:autoSpaceDN w:val="0"/>
        <w:adjustRightInd w:val="0"/>
        <w:rPr>
          <w:rFonts w:cs="Wingdings"/>
        </w:rPr>
      </w:pPr>
      <w:r w:rsidRPr="0087605D">
        <w:rPr>
          <w:rFonts w:cs="Cambria"/>
        </w:rPr>
        <w:t>Email: adapts@vpss.gatech.edu</w:t>
      </w:r>
      <w:proofErr w:type="gramStart"/>
      <w:r w:rsidRPr="0087605D">
        <w:rPr>
          <w:rFonts w:cs="Cambria"/>
        </w:rPr>
        <w:t>. </w:t>
      </w:r>
      <w:proofErr w:type="gramEnd"/>
    </w:p>
    <w:p w14:paraId="6C79E576" w14:textId="77777777" w:rsidR="00FE1F29" w:rsidRPr="0087605D" w:rsidRDefault="00FE1F29" w:rsidP="00E860F8">
      <w:pPr>
        <w:pStyle w:val="ListParagraph"/>
        <w:widowControl w:val="0"/>
        <w:numPr>
          <w:ilvl w:val="0"/>
          <w:numId w:val="8"/>
        </w:numPr>
        <w:autoSpaceDE w:val="0"/>
        <w:autoSpaceDN w:val="0"/>
        <w:adjustRightInd w:val="0"/>
        <w:rPr>
          <w:rFonts w:cs="Times"/>
        </w:rPr>
      </w:pPr>
      <w:r w:rsidRPr="0087605D">
        <w:rPr>
          <w:rFonts w:cs="Cambria"/>
        </w:rPr>
        <w:t>Call: 404-894-2563 (V); 404-894-1664 (TDD); 404-894-9928 (fax)</w:t>
      </w:r>
    </w:p>
    <w:p w14:paraId="1B64C459" w14:textId="77777777" w:rsidR="00E860F8" w:rsidRPr="0087605D" w:rsidRDefault="00E860F8" w:rsidP="00927564">
      <w:pPr>
        <w:widowControl w:val="0"/>
        <w:autoSpaceDE w:val="0"/>
        <w:autoSpaceDN w:val="0"/>
        <w:adjustRightInd w:val="0"/>
        <w:rPr>
          <w:rFonts w:cs="Cambria"/>
          <w:b/>
          <w:bCs/>
        </w:rPr>
      </w:pPr>
    </w:p>
    <w:p w14:paraId="03CD5424" w14:textId="77777777" w:rsidR="00FE1F29" w:rsidRPr="0087605D" w:rsidRDefault="00FE1F29" w:rsidP="00927564">
      <w:pPr>
        <w:widowControl w:val="0"/>
        <w:autoSpaceDE w:val="0"/>
        <w:autoSpaceDN w:val="0"/>
        <w:adjustRightInd w:val="0"/>
        <w:rPr>
          <w:rFonts w:cs="Cambria"/>
          <w:b/>
          <w:bCs/>
        </w:rPr>
      </w:pPr>
      <w:r w:rsidRPr="0087605D">
        <w:rPr>
          <w:rFonts w:cs="Cambria"/>
          <w:b/>
          <w:bCs/>
        </w:rPr>
        <w:t>Academic Misconduct</w:t>
      </w:r>
    </w:p>
    <w:p w14:paraId="77219954" w14:textId="77777777" w:rsidR="00FE1F29" w:rsidRPr="0087605D" w:rsidRDefault="00FE1F29" w:rsidP="00927564">
      <w:pPr>
        <w:widowControl w:val="0"/>
        <w:autoSpaceDE w:val="0"/>
        <w:autoSpaceDN w:val="0"/>
        <w:adjustRightInd w:val="0"/>
        <w:rPr>
          <w:rFonts w:cs="Times"/>
        </w:rPr>
      </w:pPr>
      <w:r w:rsidRPr="0087605D">
        <w:rPr>
          <w:rFonts w:cs="Cambria"/>
        </w:rPr>
        <w:t>One serious kind of academic misconduct is plagiarism, which occurs when a writer, speaker, or designer deliberately uses someone else's language, ideas, images, or other original material or code without fully acknowledging its source by quotation marks as appropriate, in footnotes or endnotes, in works cited, and in other ways as appropriate (modified from WPA Statement on "Defining and Avoiding Plagiarism"). If you engage in plagiarism or any other form of academic misconduct, you will fail the assignment in which you have engaged in academic misconduct and be referred to the Office of Student Integrity, as required by Georgia Tech policy. I strongly urge you to be familiar with Georgia Tech’s Honor Challenge— http://www.honor.gatech.edu/ —as well as the Office of Student Integrity—http://www.deanofstudents.gatech.edu/integrity/</w:t>
      </w:r>
    </w:p>
    <w:p w14:paraId="5F042AD1" w14:textId="77777777" w:rsidR="00E860F8" w:rsidRPr="0087605D" w:rsidRDefault="00E860F8" w:rsidP="00927564">
      <w:pPr>
        <w:widowControl w:val="0"/>
        <w:autoSpaceDE w:val="0"/>
        <w:autoSpaceDN w:val="0"/>
        <w:adjustRightInd w:val="0"/>
        <w:rPr>
          <w:rFonts w:cs="Cambria"/>
        </w:rPr>
      </w:pPr>
    </w:p>
    <w:p w14:paraId="3DEB8525" w14:textId="77777777" w:rsidR="00FE1F29" w:rsidRPr="0087605D" w:rsidRDefault="00FE1F29" w:rsidP="00927564">
      <w:pPr>
        <w:widowControl w:val="0"/>
        <w:autoSpaceDE w:val="0"/>
        <w:autoSpaceDN w:val="0"/>
        <w:adjustRightInd w:val="0"/>
        <w:rPr>
          <w:rFonts w:cs="Times"/>
        </w:rPr>
      </w:pPr>
      <w:r w:rsidRPr="0087605D">
        <w:rPr>
          <w:rFonts w:cs="Cambria"/>
        </w:rPr>
        <w:t>You should be familiar with the process for academic misconduct—</w:t>
      </w:r>
    </w:p>
    <w:p w14:paraId="0F5FA187" w14:textId="77777777" w:rsidR="00FE1F29" w:rsidRPr="0087605D" w:rsidRDefault="00FE1F29" w:rsidP="00927564">
      <w:pPr>
        <w:widowControl w:val="0"/>
        <w:autoSpaceDE w:val="0"/>
        <w:autoSpaceDN w:val="0"/>
        <w:adjustRightInd w:val="0"/>
        <w:rPr>
          <w:rFonts w:cs="Times"/>
        </w:rPr>
      </w:pPr>
      <w:r w:rsidRPr="0087605D">
        <w:rPr>
          <w:rFonts w:cs="Cambria"/>
        </w:rPr>
        <w:t>http://www.deanofstudents.gatech.edu/integrity/academic_misconduct.php</w:t>
      </w:r>
    </w:p>
    <w:p w14:paraId="62C47DA6" w14:textId="77777777" w:rsidR="00E860F8" w:rsidRPr="0087605D" w:rsidRDefault="00E860F8" w:rsidP="00927564">
      <w:pPr>
        <w:widowControl w:val="0"/>
        <w:autoSpaceDE w:val="0"/>
        <w:autoSpaceDN w:val="0"/>
        <w:adjustRightInd w:val="0"/>
        <w:rPr>
          <w:rFonts w:cs="Cambria"/>
          <w:i/>
          <w:iCs/>
        </w:rPr>
      </w:pPr>
    </w:p>
    <w:p w14:paraId="27153FB1" w14:textId="77777777" w:rsidR="00FE1F29" w:rsidRPr="0087605D" w:rsidRDefault="00FE1F29" w:rsidP="00927564">
      <w:pPr>
        <w:widowControl w:val="0"/>
        <w:autoSpaceDE w:val="0"/>
        <w:autoSpaceDN w:val="0"/>
        <w:adjustRightInd w:val="0"/>
        <w:rPr>
          <w:rFonts w:cs="Times"/>
        </w:rPr>
      </w:pPr>
      <w:r w:rsidRPr="0087605D">
        <w:rPr>
          <w:rFonts w:cs="Cambria"/>
          <w:i/>
          <w:iCs/>
        </w:rPr>
        <w:t xml:space="preserve">A </w:t>
      </w:r>
      <w:proofErr w:type="gramStart"/>
      <w:r w:rsidRPr="0087605D">
        <w:rPr>
          <w:rFonts w:cs="Cambria"/>
          <w:i/>
          <w:iCs/>
        </w:rPr>
        <w:t>Fair(</w:t>
      </w:r>
      <w:proofErr w:type="gramEnd"/>
      <w:r w:rsidRPr="0087605D">
        <w:rPr>
          <w:rFonts w:cs="Cambria"/>
          <w:i/>
          <w:iCs/>
        </w:rPr>
        <w:t xml:space="preserve">y) Use Tale: </w:t>
      </w:r>
      <w:r w:rsidRPr="0087605D">
        <w:rPr>
          <w:rFonts w:cs="Cambria"/>
        </w:rPr>
        <w:t xml:space="preserve">Professor Eric </w:t>
      </w:r>
      <w:proofErr w:type="spellStart"/>
      <w:r w:rsidRPr="0087605D">
        <w:rPr>
          <w:rFonts w:cs="Cambria"/>
        </w:rPr>
        <w:t>Faden</w:t>
      </w:r>
      <w:proofErr w:type="spellEnd"/>
      <w:r w:rsidRPr="0087605D">
        <w:rPr>
          <w:rFonts w:cs="Cambria"/>
        </w:rPr>
        <w:t xml:space="preserve"> of </w:t>
      </w:r>
      <w:proofErr w:type="spellStart"/>
      <w:r w:rsidRPr="0087605D">
        <w:rPr>
          <w:rFonts w:cs="Cambria"/>
        </w:rPr>
        <w:t>Bucknell</w:t>
      </w:r>
      <w:proofErr w:type="spellEnd"/>
      <w:r w:rsidRPr="0087605D">
        <w:rPr>
          <w:rFonts w:cs="Cambria"/>
        </w:rPr>
        <w:t xml:space="preserve"> University provides this humorous, yet informative, review of copyright principles delivered through the words of the very folks we can thank for nearly endless copyright terms. http://www.youtube.com/watch</w:t>
      </w:r>
      <w:proofErr w:type="gramStart"/>
      <w:r w:rsidRPr="0087605D">
        <w:rPr>
          <w:rFonts w:cs="Cambria"/>
        </w:rPr>
        <w:t>?v</w:t>
      </w:r>
      <w:proofErr w:type="gramEnd"/>
      <w:r w:rsidRPr="0087605D">
        <w:rPr>
          <w:rFonts w:cs="Cambria"/>
        </w:rPr>
        <w:t>=CJn_jC4FNDo</w:t>
      </w:r>
    </w:p>
    <w:p w14:paraId="753942D6" w14:textId="77777777" w:rsidR="00E860F8" w:rsidRPr="0087605D" w:rsidRDefault="00E860F8" w:rsidP="00927564">
      <w:pPr>
        <w:widowControl w:val="0"/>
        <w:autoSpaceDE w:val="0"/>
        <w:autoSpaceDN w:val="0"/>
        <w:adjustRightInd w:val="0"/>
        <w:rPr>
          <w:rFonts w:cs="Cambria"/>
          <w:b/>
          <w:bCs/>
        </w:rPr>
      </w:pPr>
    </w:p>
    <w:p w14:paraId="30C60E45" w14:textId="77777777" w:rsidR="00FE1F29" w:rsidRPr="0087605D" w:rsidRDefault="00FE1F29" w:rsidP="00927564">
      <w:pPr>
        <w:widowControl w:val="0"/>
        <w:autoSpaceDE w:val="0"/>
        <w:autoSpaceDN w:val="0"/>
        <w:adjustRightInd w:val="0"/>
        <w:rPr>
          <w:rFonts w:cs="Cambria"/>
          <w:b/>
          <w:bCs/>
        </w:rPr>
      </w:pPr>
      <w:r w:rsidRPr="0087605D">
        <w:rPr>
          <w:rFonts w:cs="Cambria"/>
          <w:b/>
          <w:bCs/>
        </w:rPr>
        <w:t>Weekly Schedule</w:t>
      </w:r>
    </w:p>
    <w:p w14:paraId="391E30BA" w14:textId="77777777" w:rsidR="00E860F8" w:rsidRPr="0087605D" w:rsidRDefault="00927564" w:rsidP="00215110">
      <w:pPr>
        <w:widowControl w:val="0"/>
        <w:autoSpaceDE w:val="0"/>
        <w:autoSpaceDN w:val="0"/>
        <w:adjustRightInd w:val="0"/>
        <w:rPr>
          <w:rFonts w:cs="Cambria"/>
          <w:b/>
          <w:bCs/>
        </w:rPr>
      </w:pPr>
      <w:r w:rsidRPr="0087605D">
        <w:rPr>
          <w:rFonts w:cs="Cambria"/>
          <w:b/>
          <w:bCs/>
        </w:rPr>
        <w:t>Week</w:t>
      </w:r>
      <w:r w:rsidRPr="0087605D">
        <w:rPr>
          <w:rFonts w:cs="Cambria"/>
          <w:b/>
          <w:bCs/>
        </w:rPr>
        <w:tab/>
      </w:r>
      <w:r w:rsidR="00E860F8" w:rsidRPr="0087605D">
        <w:rPr>
          <w:rFonts w:cs="Cambria"/>
          <w:b/>
          <w:bCs/>
        </w:rPr>
        <w:tab/>
        <w:t xml:space="preserve">      </w:t>
      </w:r>
      <w:r w:rsidRPr="0087605D">
        <w:rPr>
          <w:rFonts w:cs="Cambria"/>
          <w:b/>
          <w:bCs/>
        </w:rPr>
        <w:t>Topic</w:t>
      </w:r>
    </w:p>
    <w:p w14:paraId="56402A3C" w14:textId="77777777" w:rsidR="00215110" w:rsidRPr="0087605D" w:rsidRDefault="00215110" w:rsidP="00215110">
      <w:pPr>
        <w:widowControl w:val="0"/>
        <w:autoSpaceDE w:val="0"/>
        <w:autoSpaceDN w:val="0"/>
        <w:adjustRightInd w:val="0"/>
        <w:rPr>
          <w:rFonts w:cs="Cambria"/>
          <w:b/>
          <w:bCs/>
        </w:rPr>
      </w:pPr>
    </w:p>
    <w:p w14:paraId="76A11164" w14:textId="77777777" w:rsidR="00927564" w:rsidRPr="0087605D" w:rsidRDefault="00215110" w:rsidP="00E860F8">
      <w:pPr>
        <w:pStyle w:val="ListParagraph"/>
        <w:widowControl w:val="0"/>
        <w:numPr>
          <w:ilvl w:val="0"/>
          <w:numId w:val="9"/>
        </w:numPr>
        <w:autoSpaceDE w:val="0"/>
        <w:autoSpaceDN w:val="0"/>
        <w:adjustRightInd w:val="0"/>
        <w:rPr>
          <w:rFonts w:cs="Times"/>
        </w:rPr>
      </w:pPr>
      <w:r w:rsidRPr="0087605D">
        <w:rPr>
          <w:rFonts w:cs="Cambria"/>
          <w:b/>
        </w:rPr>
        <w:t>Definitions of Risk</w:t>
      </w:r>
      <w:r w:rsidRPr="0087605D">
        <w:rPr>
          <w:rFonts w:cs="Cambria"/>
        </w:rPr>
        <w:t xml:space="preserve">: Sandman, HOSTA, Plough and </w:t>
      </w:r>
      <w:proofErr w:type="spellStart"/>
      <w:r w:rsidRPr="0087605D">
        <w:rPr>
          <w:rFonts w:cs="Cambria"/>
        </w:rPr>
        <w:t>Krimsky</w:t>
      </w:r>
      <w:proofErr w:type="spellEnd"/>
      <w:r w:rsidRPr="0087605D">
        <w:rPr>
          <w:rFonts w:cs="Cambria"/>
        </w:rPr>
        <w:t>, Rodriguez, Weinstein.</w:t>
      </w:r>
    </w:p>
    <w:p w14:paraId="1C25221D" w14:textId="77777777" w:rsidR="00E860F8" w:rsidRPr="0087605D" w:rsidRDefault="00E860F8" w:rsidP="00E860F8">
      <w:pPr>
        <w:widowControl w:val="0"/>
        <w:autoSpaceDE w:val="0"/>
        <w:autoSpaceDN w:val="0"/>
        <w:adjustRightInd w:val="0"/>
        <w:rPr>
          <w:rFonts w:cs="Times"/>
        </w:rPr>
      </w:pPr>
    </w:p>
    <w:p w14:paraId="579A84E1" w14:textId="77777777" w:rsidR="00215110" w:rsidRPr="0087605D" w:rsidRDefault="00215110" w:rsidP="00215110">
      <w:pPr>
        <w:pStyle w:val="ListParagraph"/>
        <w:widowControl w:val="0"/>
        <w:numPr>
          <w:ilvl w:val="0"/>
          <w:numId w:val="9"/>
        </w:numPr>
        <w:autoSpaceDE w:val="0"/>
        <w:autoSpaceDN w:val="0"/>
        <w:adjustRightInd w:val="0"/>
        <w:rPr>
          <w:rFonts w:cs="Times"/>
        </w:rPr>
      </w:pPr>
      <w:r w:rsidRPr="0087605D">
        <w:rPr>
          <w:rFonts w:cs="Cambria"/>
          <w:b/>
        </w:rPr>
        <w:t>Perceptions of Risk</w:t>
      </w:r>
      <w:r w:rsidRPr="0087605D">
        <w:rPr>
          <w:rFonts w:cs="Cambria"/>
        </w:rPr>
        <w:t xml:space="preserve">: Slavic, </w:t>
      </w:r>
      <w:proofErr w:type="spellStart"/>
      <w:r w:rsidRPr="0087605D">
        <w:rPr>
          <w:rFonts w:cs="Cambria"/>
        </w:rPr>
        <w:t>Bouyer</w:t>
      </w:r>
      <w:proofErr w:type="spellEnd"/>
      <w:r w:rsidRPr="0087605D">
        <w:rPr>
          <w:rFonts w:cs="Cambria"/>
        </w:rPr>
        <w:t xml:space="preserve"> et al, Burns, Goodwin and </w:t>
      </w:r>
      <w:proofErr w:type="spellStart"/>
      <w:r w:rsidRPr="0087605D">
        <w:rPr>
          <w:rFonts w:cs="Cambria"/>
        </w:rPr>
        <w:t>Dahlstrom</w:t>
      </w:r>
      <w:proofErr w:type="spellEnd"/>
      <w:r w:rsidRPr="0087605D">
        <w:rPr>
          <w:rFonts w:cs="Cambria"/>
        </w:rPr>
        <w:t xml:space="preserve">, </w:t>
      </w:r>
      <w:proofErr w:type="spellStart"/>
      <w:r w:rsidRPr="0087605D">
        <w:rPr>
          <w:rFonts w:cs="Cambria"/>
        </w:rPr>
        <w:t>Mileti</w:t>
      </w:r>
      <w:proofErr w:type="spellEnd"/>
      <w:r w:rsidRPr="0087605D">
        <w:rPr>
          <w:rFonts w:cs="Cambria"/>
        </w:rPr>
        <w:t xml:space="preserve"> and Peek, Scott and Gray</w:t>
      </w:r>
    </w:p>
    <w:p w14:paraId="5DE89D7A" w14:textId="77777777" w:rsidR="00215110" w:rsidRPr="0087605D" w:rsidRDefault="00215110" w:rsidP="00215110">
      <w:pPr>
        <w:widowControl w:val="0"/>
        <w:autoSpaceDE w:val="0"/>
        <w:autoSpaceDN w:val="0"/>
        <w:adjustRightInd w:val="0"/>
        <w:rPr>
          <w:rFonts w:cs="Cambria"/>
        </w:rPr>
      </w:pPr>
    </w:p>
    <w:p w14:paraId="3FEE472F" w14:textId="77777777" w:rsidR="00215110" w:rsidRPr="0087605D" w:rsidRDefault="00215110" w:rsidP="00215110">
      <w:pPr>
        <w:pStyle w:val="ListParagraph"/>
        <w:widowControl w:val="0"/>
        <w:numPr>
          <w:ilvl w:val="0"/>
          <w:numId w:val="9"/>
        </w:numPr>
        <w:autoSpaceDE w:val="0"/>
        <w:autoSpaceDN w:val="0"/>
        <w:adjustRightInd w:val="0"/>
        <w:rPr>
          <w:rFonts w:cs="Times"/>
        </w:rPr>
      </w:pPr>
      <w:r w:rsidRPr="0087605D">
        <w:rPr>
          <w:rFonts w:cs="Cambria"/>
          <w:b/>
        </w:rPr>
        <w:t>Rhetoric of Risk</w:t>
      </w:r>
      <w:r w:rsidRPr="0087605D">
        <w:rPr>
          <w:rFonts w:cs="Cambria"/>
        </w:rPr>
        <w:t xml:space="preserve">: </w:t>
      </w:r>
      <w:proofErr w:type="spellStart"/>
      <w:r w:rsidRPr="0087605D">
        <w:rPr>
          <w:rFonts w:cs="Times New Roman"/>
        </w:rPr>
        <w:t>Grabill</w:t>
      </w:r>
      <w:proofErr w:type="spellEnd"/>
      <w:r w:rsidRPr="0087605D">
        <w:rPr>
          <w:rFonts w:cs="Times New Roman"/>
        </w:rPr>
        <w:t xml:space="preserve"> &amp; Simmons, Schwartzman et al, </w:t>
      </w:r>
      <w:proofErr w:type="spellStart"/>
      <w:r w:rsidRPr="0087605D">
        <w:rPr>
          <w:rFonts w:cs="Times New Roman"/>
        </w:rPr>
        <w:t>Gopen</w:t>
      </w:r>
      <w:proofErr w:type="spellEnd"/>
      <w:r w:rsidRPr="0087605D">
        <w:rPr>
          <w:rFonts w:cs="Times New Roman"/>
        </w:rPr>
        <w:t xml:space="preserve"> and Swan, </w:t>
      </w:r>
      <w:proofErr w:type="spellStart"/>
      <w:r w:rsidRPr="0087605D">
        <w:rPr>
          <w:rFonts w:cs="Times New Roman"/>
        </w:rPr>
        <w:t>Wogalter</w:t>
      </w:r>
      <w:proofErr w:type="spellEnd"/>
      <w:r w:rsidRPr="0087605D">
        <w:rPr>
          <w:rFonts w:cs="Times New Roman"/>
        </w:rPr>
        <w:t xml:space="preserve">, </w:t>
      </w:r>
      <w:proofErr w:type="spellStart"/>
      <w:r w:rsidRPr="0087605D">
        <w:rPr>
          <w:rFonts w:cs="Times New Roman"/>
        </w:rPr>
        <w:t>Jarrard</w:t>
      </w:r>
      <w:proofErr w:type="spellEnd"/>
      <w:r w:rsidRPr="0087605D">
        <w:rPr>
          <w:rFonts w:cs="Times New Roman"/>
        </w:rPr>
        <w:t xml:space="preserve"> &amp; Simpson, Plain Language</w:t>
      </w:r>
    </w:p>
    <w:p w14:paraId="332DA533" w14:textId="77777777" w:rsidR="00215110" w:rsidRPr="0087605D" w:rsidRDefault="00215110" w:rsidP="00215110">
      <w:pPr>
        <w:widowControl w:val="0"/>
        <w:autoSpaceDE w:val="0"/>
        <w:autoSpaceDN w:val="0"/>
        <w:adjustRightInd w:val="0"/>
        <w:rPr>
          <w:rFonts w:cs="Times"/>
          <w:b/>
          <w:bCs/>
        </w:rPr>
      </w:pPr>
    </w:p>
    <w:p w14:paraId="7927682C" w14:textId="77777777" w:rsidR="00215110" w:rsidRPr="0087605D" w:rsidRDefault="00215110" w:rsidP="00215110">
      <w:pPr>
        <w:pStyle w:val="ListParagraph"/>
        <w:widowControl w:val="0"/>
        <w:numPr>
          <w:ilvl w:val="0"/>
          <w:numId w:val="9"/>
        </w:numPr>
        <w:autoSpaceDE w:val="0"/>
        <w:autoSpaceDN w:val="0"/>
        <w:adjustRightInd w:val="0"/>
        <w:rPr>
          <w:rFonts w:cs="Times"/>
        </w:rPr>
      </w:pPr>
      <w:r w:rsidRPr="0087605D">
        <w:rPr>
          <w:rFonts w:cs="Times"/>
          <w:b/>
          <w:bCs/>
        </w:rPr>
        <w:t>Design for communicating with the public: C</w:t>
      </w:r>
      <w:r w:rsidRPr="0087605D">
        <w:rPr>
          <w:rFonts w:cs="Times New Roman"/>
        </w:rPr>
        <w:t xml:space="preserve">onnelly &amp; Knuth, Strawbridge, </w:t>
      </w:r>
      <w:proofErr w:type="spellStart"/>
      <w:r w:rsidRPr="0087605D">
        <w:rPr>
          <w:rFonts w:cs="Times New Roman"/>
        </w:rPr>
        <w:t>Ancker</w:t>
      </w:r>
      <w:proofErr w:type="spellEnd"/>
      <w:r w:rsidRPr="0087605D">
        <w:rPr>
          <w:rFonts w:cs="Times New Roman"/>
        </w:rPr>
        <w:t xml:space="preserve"> et al., </w:t>
      </w:r>
      <w:proofErr w:type="spellStart"/>
      <w:r w:rsidRPr="0087605D">
        <w:rPr>
          <w:rFonts w:cs="Times New Roman"/>
        </w:rPr>
        <w:t>Kostelnisk</w:t>
      </w:r>
      <w:proofErr w:type="spellEnd"/>
      <w:r w:rsidRPr="0087605D">
        <w:rPr>
          <w:rFonts w:cs="Times New Roman"/>
        </w:rPr>
        <w:t xml:space="preserve">, </w:t>
      </w:r>
      <w:proofErr w:type="spellStart"/>
      <w:proofErr w:type="gramStart"/>
      <w:r w:rsidRPr="0087605D">
        <w:rPr>
          <w:rFonts w:cs="Times New Roman"/>
        </w:rPr>
        <w:t>Lipkus</w:t>
      </w:r>
      <w:proofErr w:type="spellEnd"/>
      <w:proofErr w:type="gramEnd"/>
      <w:r w:rsidRPr="0087605D">
        <w:rPr>
          <w:rFonts w:cs="Times New Roman"/>
        </w:rPr>
        <w:t xml:space="preserve"> &amp; </w:t>
      </w:r>
      <w:proofErr w:type="spellStart"/>
      <w:r w:rsidRPr="0087605D">
        <w:rPr>
          <w:rFonts w:cs="Times New Roman"/>
        </w:rPr>
        <w:t>Hollands</w:t>
      </w:r>
      <w:proofErr w:type="spellEnd"/>
      <w:r w:rsidRPr="0087605D">
        <w:rPr>
          <w:rFonts w:cs="Times New Roman"/>
        </w:rPr>
        <w:t>.</w:t>
      </w:r>
    </w:p>
    <w:p w14:paraId="77D4473C" w14:textId="77777777" w:rsidR="00215110" w:rsidRPr="0087605D" w:rsidRDefault="00215110" w:rsidP="00215110">
      <w:pPr>
        <w:widowControl w:val="0"/>
        <w:autoSpaceDE w:val="0"/>
        <w:autoSpaceDN w:val="0"/>
        <w:adjustRightInd w:val="0"/>
        <w:rPr>
          <w:rFonts w:cs="Times"/>
        </w:rPr>
      </w:pPr>
    </w:p>
    <w:p w14:paraId="25BDAE54" w14:textId="77777777" w:rsidR="00215110" w:rsidRPr="0087605D" w:rsidRDefault="00215110" w:rsidP="00215110">
      <w:pPr>
        <w:pStyle w:val="ListParagraph"/>
        <w:widowControl w:val="0"/>
        <w:numPr>
          <w:ilvl w:val="0"/>
          <w:numId w:val="9"/>
        </w:numPr>
        <w:autoSpaceDE w:val="0"/>
        <w:autoSpaceDN w:val="0"/>
        <w:adjustRightInd w:val="0"/>
        <w:rPr>
          <w:rFonts w:cs="Times"/>
        </w:rPr>
      </w:pPr>
      <w:r w:rsidRPr="0087605D">
        <w:rPr>
          <w:rFonts w:cs="Times"/>
          <w:b/>
          <w:bCs/>
        </w:rPr>
        <w:t xml:space="preserve">Numeracy for communicating with the public: </w:t>
      </w:r>
      <w:r w:rsidRPr="0087605D">
        <w:rPr>
          <w:rFonts w:cs="Times New Roman"/>
        </w:rPr>
        <w:t xml:space="preserve">Edwards, </w:t>
      </w:r>
      <w:proofErr w:type="spellStart"/>
      <w:r w:rsidRPr="0087605D">
        <w:rPr>
          <w:rFonts w:cs="Times New Roman"/>
        </w:rPr>
        <w:t>Elwyn</w:t>
      </w:r>
      <w:proofErr w:type="spellEnd"/>
      <w:r w:rsidRPr="0087605D">
        <w:rPr>
          <w:rFonts w:cs="Times New Roman"/>
        </w:rPr>
        <w:t xml:space="preserve">, and Mulley; Peters; </w:t>
      </w:r>
      <w:proofErr w:type="spellStart"/>
      <w:r w:rsidRPr="0087605D">
        <w:rPr>
          <w:rFonts w:cs="Times New Roman"/>
        </w:rPr>
        <w:t>Kurz-Milcke</w:t>
      </w:r>
      <w:proofErr w:type="spellEnd"/>
      <w:r w:rsidRPr="0087605D">
        <w:rPr>
          <w:rFonts w:cs="Times New Roman"/>
        </w:rPr>
        <w:t xml:space="preserve"> et al.; Reynolds &amp; </w:t>
      </w:r>
      <w:proofErr w:type="spellStart"/>
      <w:r w:rsidRPr="0087605D">
        <w:rPr>
          <w:rFonts w:cs="Times New Roman"/>
        </w:rPr>
        <w:t>Seege</w:t>
      </w:r>
      <w:proofErr w:type="spellEnd"/>
      <w:r w:rsidRPr="0087605D">
        <w:rPr>
          <w:rFonts w:cs="Times New Roman"/>
        </w:rPr>
        <w:t xml:space="preserve">; U.S. Department of Health and Human Services; Williamson &amp; </w:t>
      </w:r>
      <w:proofErr w:type="spellStart"/>
      <w:r w:rsidRPr="0087605D">
        <w:rPr>
          <w:rFonts w:cs="Times New Roman"/>
        </w:rPr>
        <w:t>Weyman</w:t>
      </w:r>
      <w:proofErr w:type="spellEnd"/>
      <w:r w:rsidRPr="0087605D">
        <w:rPr>
          <w:rFonts w:cs="Times New Roman"/>
        </w:rPr>
        <w:t>.</w:t>
      </w:r>
    </w:p>
    <w:p w14:paraId="78D584C9" w14:textId="77777777" w:rsidR="00215110" w:rsidRPr="0087605D" w:rsidRDefault="00215110" w:rsidP="00215110">
      <w:pPr>
        <w:widowControl w:val="0"/>
        <w:autoSpaceDE w:val="0"/>
        <w:autoSpaceDN w:val="0"/>
        <w:adjustRightInd w:val="0"/>
        <w:rPr>
          <w:rFonts w:cs="Times"/>
        </w:rPr>
      </w:pPr>
    </w:p>
    <w:p w14:paraId="3253FCAB" w14:textId="77777777" w:rsidR="00215110" w:rsidRPr="0087605D" w:rsidRDefault="00215110" w:rsidP="00215110">
      <w:pPr>
        <w:pStyle w:val="ListParagraph"/>
        <w:widowControl w:val="0"/>
        <w:numPr>
          <w:ilvl w:val="0"/>
          <w:numId w:val="9"/>
        </w:numPr>
        <w:autoSpaceDE w:val="0"/>
        <w:autoSpaceDN w:val="0"/>
        <w:adjustRightInd w:val="0"/>
        <w:rPr>
          <w:rFonts w:cs="Times"/>
        </w:rPr>
      </w:pPr>
      <w:r w:rsidRPr="0087605D">
        <w:rPr>
          <w:rFonts w:cs="Times"/>
        </w:rPr>
        <w:t>Research Paper Presentations</w:t>
      </w:r>
    </w:p>
    <w:p w14:paraId="5B110A74" w14:textId="77777777" w:rsidR="00215110" w:rsidRPr="0087605D" w:rsidRDefault="00215110" w:rsidP="00215110">
      <w:pPr>
        <w:widowControl w:val="0"/>
        <w:autoSpaceDE w:val="0"/>
        <w:autoSpaceDN w:val="0"/>
        <w:adjustRightInd w:val="0"/>
        <w:rPr>
          <w:rFonts w:cs="Times"/>
        </w:rPr>
      </w:pPr>
    </w:p>
    <w:p w14:paraId="37CAF848" w14:textId="77777777" w:rsidR="00215110" w:rsidRPr="0087605D" w:rsidRDefault="00215110" w:rsidP="00215110">
      <w:pPr>
        <w:pStyle w:val="ListParagraph"/>
        <w:widowControl w:val="0"/>
        <w:numPr>
          <w:ilvl w:val="0"/>
          <w:numId w:val="9"/>
        </w:numPr>
        <w:autoSpaceDE w:val="0"/>
        <w:autoSpaceDN w:val="0"/>
        <w:adjustRightInd w:val="0"/>
        <w:rPr>
          <w:rFonts w:cs="Times"/>
        </w:rPr>
      </w:pPr>
      <w:r w:rsidRPr="0087605D">
        <w:rPr>
          <w:rFonts w:cs="Times"/>
        </w:rPr>
        <w:t>Research Paper Presentations</w:t>
      </w:r>
    </w:p>
    <w:p w14:paraId="00A3AA77" w14:textId="77777777" w:rsidR="00215110" w:rsidRPr="0087605D" w:rsidRDefault="00215110" w:rsidP="00215110">
      <w:pPr>
        <w:widowControl w:val="0"/>
        <w:autoSpaceDE w:val="0"/>
        <w:autoSpaceDN w:val="0"/>
        <w:adjustRightInd w:val="0"/>
        <w:rPr>
          <w:rFonts w:cs="Times"/>
        </w:rPr>
      </w:pPr>
    </w:p>
    <w:p w14:paraId="21CF5593" w14:textId="77777777" w:rsidR="00215110" w:rsidRPr="0087605D" w:rsidRDefault="00215110" w:rsidP="00E860F8">
      <w:pPr>
        <w:pStyle w:val="ListParagraph"/>
        <w:widowControl w:val="0"/>
        <w:numPr>
          <w:ilvl w:val="0"/>
          <w:numId w:val="9"/>
        </w:numPr>
        <w:autoSpaceDE w:val="0"/>
        <w:autoSpaceDN w:val="0"/>
        <w:adjustRightInd w:val="0"/>
        <w:rPr>
          <w:rFonts w:cs="Times"/>
        </w:rPr>
      </w:pPr>
      <w:r w:rsidRPr="0087605D">
        <w:rPr>
          <w:rFonts w:cs="Times"/>
          <w:b/>
          <w:bCs/>
        </w:rPr>
        <w:t xml:space="preserve">Usability of text and images for communicating with the public: </w:t>
      </w:r>
      <w:r w:rsidRPr="0087605D">
        <w:rPr>
          <w:rFonts w:cs="Times New Roman"/>
        </w:rPr>
        <w:t xml:space="preserve">Albers; </w:t>
      </w:r>
      <w:proofErr w:type="spellStart"/>
      <w:r w:rsidRPr="0087605D">
        <w:rPr>
          <w:rFonts w:cs="Times New Roman"/>
        </w:rPr>
        <w:t>Kain</w:t>
      </w:r>
      <w:proofErr w:type="spellEnd"/>
      <w:r w:rsidRPr="0087605D">
        <w:rPr>
          <w:rFonts w:cs="Times New Roman"/>
        </w:rPr>
        <w:t>, de Jong, &amp; Smith</w:t>
      </w:r>
      <w:proofErr w:type="gramStart"/>
      <w:r w:rsidRPr="0087605D">
        <w:rPr>
          <w:rFonts w:cs="Times New Roman"/>
        </w:rPr>
        <w:t>;</w:t>
      </w:r>
      <w:proofErr w:type="gramEnd"/>
      <w:r w:rsidRPr="0087605D">
        <w:rPr>
          <w:rFonts w:cs="Times New Roman"/>
        </w:rPr>
        <w:t xml:space="preserve"> </w:t>
      </w:r>
      <w:proofErr w:type="spellStart"/>
      <w:r w:rsidRPr="0087605D">
        <w:rPr>
          <w:rFonts w:cs="Times New Roman"/>
        </w:rPr>
        <w:t>Redish</w:t>
      </w:r>
      <w:proofErr w:type="spellEnd"/>
      <w:r w:rsidRPr="0087605D">
        <w:rPr>
          <w:rFonts w:cs="Times New Roman"/>
        </w:rPr>
        <w:t>. </w:t>
      </w:r>
    </w:p>
    <w:p w14:paraId="2A12A0AD" w14:textId="77777777" w:rsidR="00215110" w:rsidRPr="0087605D" w:rsidRDefault="00215110" w:rsidP="00215110">
      <w:pPr>
        <w:widowControl w:val="0"/>
        <w:autoSpaceDE w:val="0"/>
        <w:autoSpaceDN w:val="0"/>
        <w:adjustRightInd w:val="0"/>
        <w:rPr>
          <w:rFonts w:cs="Times"/>
          <w:b/>
          <w:bCs/>
        </w:rPr>
      </w:pPr>
    </w:p>
    <w:p w14:paraId="27AADBA3" w14:textId="77777777" w:rsidR="00E860F8" w:rsidRPr="0087605D" w:rsidRDefault="00215110" w:rsidP="00E860F8">
      <w:pPr>
        <w:pStyle w:val="ListParagraph"/>
        <w:widowControl w:val="0"/>
        <w:numPr>
          <w:ilvl w:val="0"/>
          <w:numId w:val="9"/>
        </w:numPr>
        <w:autoSpaceDE w:val="0"/>
        <w:autoSpaceDN w:val="0"/>
        <w:adjustRightInd w:val="0"/>
        <w:rPr>
          <w:rFonts w:cs="Times"/>
        </w:rPr>
      </w:pPr>
      <w:r w:rsidRPr="0087605D">
        <w:rPr>
          <w:rFonts w:cs="Times"/>
          <w:b/>
          <w:bCs/>
        </w:rPr>
        <w:t>Usability of text and images for communicating with the public:</w:t>
      </w:r>
      <w:r w:rsidRPr="0087605D">
        <w:rPr>
          <w:rFonts w:cs="Times"/>
        </w:rPr>
        <w:t xml:space="preserve"> Usability.gov</w:t>
      </w:r>
    </w:p>
    <w:p w14:paraId="60B8C2AF" w14:textId="77777777" w:rsidR="00215110" w:rsidRPr="0087605D" w:rsidRDefault="00215110" w:rsidP="00215110">
      <w:pPr>
        <w:widowControl w:val="0"/>
        <w:autoSpaceDE w:val="0"/>
        <w:autoSpaceDN w:val="0"/>
        <w:adjustRightInd w:val="0"/>
        <w:rPr>
          <w:rFonts w:cs="Times"/>
        </w:rPr>
      </w:pPr>
    </w:p>
    <w:p w14:paraId="2B119A31" w14:textId="77777777" w:rsidR="00927564" w:rsidRPr="0087605D" w:rsidRDefault="008D4FC9" w:rsidP="00E860F8">
      <w:pPr>
        <w:pStyle w:val="ListParagraph"/>
        <w:widowControl w:val="0"/>
        <w:numPr>
          <w:ilvl w:val="0"/>
          <w:numId w:val="9"/>
        </w:numPr>
        <w:autoSpaceDE w:val="0"/>
        <w:autoSpaceDN w:val="0"/>
        <w:adjustRightInd w:val="0"/>
        <w:rPr>
          <w:rFonts w:cs="Cambria"/>
          <w:b/>
          <w:bCs/>
        </w:rPr>
      </w:pPr>
      <w:r w:rsidRPr="0087605D">
        <w:rPr>
          <w:rFonts w:cs="Cambria"/>
        </w:rPr>
        <w:t>In-</w:t>
      </w:r>
      <w:r w:rsidRPr="0087605D">
        <w:rPr>
          <w:rFonts w:cs="Cambria"/>
          <w:bCs/>
        </w:rPr>
        <w:t>class usability testing</w:t>
      </w:r>
    </w:p>
    <w:p w14:paraId="5D550717" w14:textId="77777777" w:rsidR="00E860F8" w:rsidRPr="0087605D" w:rsidRDefault="00E860F8" w:rsidP="00E860F8">
      <w:pPr>
        <w:widowControl w:val="0"/>
        <w:autoSpaceDE w:val="0"/>
        <w:autoSpaceDN w:val="0"/>
        <w:adjustRightInd w:val="0"/>
        <w:rPr>
          <w:rFonts w:cs="Cambria"/>
          <w:b/>
          <w:bCs/>
        </w:rPr>
      </w:pPr>
    </w:p>
    <w:p w14:paraId="21FDED86" w14:textId="77777777" w:rsidR="00927564" w:rsidRPr="0087605D" w:rsidRDefault="008D4FC9" w:rsidP="00E860F8">
      <w:pPr>
        <w:pStyle w:val="ListParagraph"/>
        <w:widowControl w:val="0"/>
        <w:numPr>
          <w:ilvl w:val="0"/>
          <w:numId w:val="9"/>
        </w:numPr>
        <w:autoSpaceDE w:val="0"/>
        <w:autoSpaceDN w:val="0"/>
        <w:adjustRightInd w:val="0"/>
        <w:rPr>
          <w:rFonts w:cs="Times"/>
        </w:rPr>
      </w:pPr>
      <w:r w:rsidRPr="0087605D">
        <w:rPr>
          <w:rFonts w:cs="Cambria"/>
        </w:rPr>
        <w:t>Out of class usability testing</w:t>
      </w:r>
    </w:p>
    <w:p w14:paraId="258E044C" w14:textId="77777777" w:rsidR="008D4FC9" w:rsidRPr="0087605D" w:rsidRDefault="008D4FC9" w:rsidP="008D4FC9">
      <w:pPr>
        <w:widowControl w:val="0"/>
        <w:autoSpaceDE w:val="0"/>
        <w:autoSpaceDN w:val="0"/>
        <w:adjustRightInd w:val="0"/>
        <w:rPr>
          <w:rFonts w:cs="Times"/>
        </w:rPr>
      </w:pPr>
    </w:p>
    <w:p w14:paraId="5447B08C" w14:textId="77777777" w:rsidR="008D4FC9" w:rsidRPr="0087605D" w:rsidRDefault="008D4FC9" w:rsidP="008D4FC9">
      <w:pPr>
        <w:pStyle w:val="ListParagraph"/>
        <w:widowControl w:val="0"/>
        <w:numPr>
          <w:ilvl w:val="0"/>
          <w:numId w:val="9"/>
        </w:numPr>
        <w:autoSpaceDE w:val="0"/>
        <w:autoSpaceDN w:val="0"/>
        <w:adjustRightInd w:val="0"/>
        <w:rPr>
          <w:rFonts w:cs="Times"/>
        </w:rPr>
      </w:pPr>
      <w:r w:rsidRPr="0087605D">
        <w:rPr>
          <w:rFonts w:cs="Cambria"/>
        </w:rPr>
        <w:t>Out of class usability testing</w:t>
      </w:r>
    </w:p>
    <w:p w14:paraId="5D4CDC00" w14:textId="77777777" w:rsidR="008D4FC9" w:rsidRPr="0087605D" w:rsidRDefault="008D4FC9" w:rsidP="008D4FC9">
      <w:pPr>
        <w:widowControl w:val="0"/>
        <w:autoSpaceDE w:val="0"/>
        <w:autoSpaceDN w:val="0"/>
        <w:adjustRightInd w:val="0"/>
        <w:rPr>
          <w:rFonts w:cs="Times"/>
          <w:b/>
          <w:bCs/>
        </w:rPr>
      </w:pPr>
    </w:p>
    <w:p w14:paraId="68A0D07A" w14:textId="77777777" w:rsidR="008D4FC9" w:rsidRPr="0087605D" w:rsidRDefault="008D4FC9" w:rsidP="008D4FC9">
      <w:pPr>
        <w:pStyle w:val="ListParagraph"/>
        <w:widowControl w:val="0"/>
        <w:numPr>
          <w:ilvl w:val="0"/>
          <w:numId w:val="9"/>
        </w:numPr>
        <w:autoSpaceDE w:val="0"/>
        <w:autoSpaceDN w:val="0"/>
        <w:adjustRightInd w:val="0"/>
        <w:rPr>
          <w:rFonts w:cs="Times"/>
        </w:rPr>
      </w:pPr>
      <w:r w:rsidRPr="0087605D">
        <w:rPr>
          <w:rFonts w:cs="Times"/>
          <w:b/>
          <w:bCs/>
        </w:rPr>
        <w:t xml:space="preserve">Usability of text and images for communicating with the public: </w:t>
      </w:r>
      <w:r w:rsidRPr="0087605D">
        <w:rPr>
          <w:rFonts w:cs="Times New Roman"/>
        </w:rPr>
        <w:t xml:space="preserve">Bevan &amp; </w:t>
      </w:r>
      <w:proofErr w:type="spellStart"/>
      <w:r w:rsidRPr="0087605D">
        <w:rPr>
          <w:rFonts w:cs="Times New Roman"/>
        </w:rPr>
        <w:t>Spinhof</w:t>
      </w:r>
      <w:proofErr w:type="spellEnd"/>
      <w:r w:rsidRPr="0087605D">
        <w:rPr>
          <w:rFonts w:cs="Times New Roman"/>
        </w:rPr>
        <w:t xml:space="preserve">; Petrie &amp; </w:t>
      </w:r>
      <w:proofErr w:type="spellStart"/>
      <w:r w:rsidRPr="0087605D">
        <w:rPr>
          <w:rFonts w:cs="Times New Roman"/>
        </w:rPr>
        <w:t>Kheir</w:t>
      </w:r>
      <w:proofErr w:type="spellEnd"/>
      <w:r w:rsidRPr="0087605D">
        <w:rPr>
          <w:rFonts w:cs="Times New Roman"/>
        </w:rPr>
        <w:t xml:space="preserve">; useit.com: </w:t>
      </w:r>
      <w:proofErr w:type="spellStart"/>
      <w:r w:rsidRPr="0087605D">
        <w:rPr>
          <w:rFonts w:cs="Times New Roman"/>
        </w:rPr>
        <w:t>Jakob</w:t>
      </w:r>
      <w:proofErr w:type="spellEnd"/>
      <w:r w:rsidRPr="0087605D">
        <w:rPr>
          <w:rFonts w:cs="Times New Roman"/>
        </w:rPr>
        <w:t xml:space="preserve"> Nielsen's Website</w:t>
      </w:r>
    </w:p>
    <w:p w14:paraId="7C6AC869" w14:textId="77777777" w:rsidR="008D4FC9" w:rsidRPr="0087605D" w:rsidRDefault="008D4FC9" w:rsidP="008D4FC9">
      <w:pPr>
        <w:widowControl w:val="0"/>
        <w:autoSpaceDE w:val="0"/>
        <w:autoSpaceDN w:val="0"/>
        <w:adjustRightInd w:val="0"/>
        <w:rPr>
          <w:rFonts w:cs="Cambria"/>
        </w:rPr>
      </w:pPr>
    </w:p>
    <w:p w14:paraId="27975A29" w14:textId="77777777" w:rsidR="00927564" w:rsidRPr="0087605D" w:rsidRDefault="008D4FC9" w:rsidP="008D4FC9">
      <w:pPr>
        <w:pStyle w:val="ListParagraph"/>
        <w:widowControl w:val="0"/>
        <w:numPr>
          <w:ilvl w:val="0"/>
          <w:numId w:val="9"/>
        </w:numPr>
        <w:autoSpaceDE w:val="0"/>
        <w:autoSpaceDN w:val="0"/>
        <w:adjustRightInd w:val="0"/>
        <w:rPr>
          <w:rFonts w:cs="Times"/>
        </w:rPr>
      </w:pPr>
      <w:r w:rsidRPr="0087605D">
        <w:rPr>
          <w:rFonts w:cs="Cambria"/>
        </w:rPr>
        <w:t>Out of class usability testing</w:t>
      </w:r>
    </w:p>
    <w:p w14:paraId="746A8DAA" w14:textId="77777777" w:rsidR="00E860F8" w:rsidRPr="0087605D" w:rsidRDefault="00E860F8" w:rsidP="00E860F8">
      <w:pPr>
        <w:pStyle w:val="ListParagraph"/>
        <w:widowControl w:val="0"/>
        <w:autoSpaceDE w:val="0"/>
        <w:autoSpaceDN w:val="0"/>
        <w:adjustRightInd w:val="0"/>
        <w:ind w:left="1800"/>
        <w:rPr>
          <w:rFonts w:cs="Times"/>
        </w:rPr>
      </w:pPr>
    </w:p>
    <w:p w14:paraId="36C9AA7E" w14:textId="77777777" w:rsidR="00927564" w:rsidRPr="0087605D" w:rsidRDefault="008D4FC9" w:rsidP="00E860F8">
      <w:pPr>
        <w:pStyle w:val="ListParagraph"/>
        <w:widowControl w:val="0"/>
        <w:numPr>
          <w:ilvl w:val="0"/>
          <w:numId w:val="9"/>
        </w:numPr>
        <w:autoSpaceDE w:val="0"/>
        <w:autoSpaceDN w:val="0"/>
        <w:adjustRightInd w:val="0"/>
        <w:rPr>
          <w:rFonts w:cs="Times"/>
        </w:rPr>
      </w:pPr>
      <w:r w:rsidRPr="0087605D">
        <w:rPr>
          <w:rFonts w:cs="Cambria"/>
          <w:bCs/>
        </w:rPr>
        <w:t>Website presentations</w:t>
      </w:r>
    </w:p>
    <w:p w14:paraId="719E87CD" w14:textId="77777777" w:rsidR="00E860F8" w:rsidRPr="0087605D" w:rsidRDefault="00E860F8" w:rsidP="00E860F8">
      <w:pPr>
        <w:pStyle w:val="ListParagraph"/>
        <w:widowControl w:val="0"/>
        <w:autoSpaceDE w:val="0"/>
        <w:autoSpaceDN w:val="0"/>
        <w:adjustRightInd w:val="0"/>
        <w:ind w:left="1800"/>
        <w:rPr>
          <w:rFonts w:cs="Times"/>
        </w:rPr>
      </w:pPr>
    </w:p>
    <w:p w14:paraId="69CCB01E" w14:textId="77777777" w:rsidR="00927564" w:rsidRPr="0087605D" w:rsidRDefault="00927564" w:rsidP="00927564">
      <w:pPr>
        <w:widowControl w:val="0"/>
        <w:autoSpaceDE w:val="0"/>
        <w:autoSpaceDN w:val="0"/>
        <w:adjustRightInd w:val="0"/>
        <w:spacing w:after="240"/>
        <w:rPr>
          <w:rFonts w:cs="Times"/>
        </w:rPr>
      </w:pPr>
    </w:p>
    <w:p w14:paraId="6C8D576C" w14:textId="77777777" w:rsidR="006B389A" w:rsidRPr="0087605D" w:rsidRDefault="006B389A"/>
    <w:sectPr w:rsidR="006B389A" w:rsidRPr="0087605D" w:rsidSect="0092756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5AE76EA"/>
    <w:multiLevelType w:val="hybridMultilevel"/>
    <w:tmpl w:val="94A4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44C76"/>
    <w:multiLevelType w:val="hybridMultilevel"/>
    <w:tmpl w:val="47FE4388"/>
    <w:lvl w:ilvl="0" w:tplc="8294FE0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82084"/>
    <w:multiLevelType w:val="hybridMultilevel"/>
    <w:tmpl w:val="1BA86BAA"/>
    <w:lvl w:ilvl="0" w:tplc="8294FE0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B60DF"/>
    <w:multiLevelType w:val="hybridMultilevel"/>
    <w:tmpl w:val="2688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E0421"/>
    <w:multiLevelType w:val="hybridMultilevel"/>
    <w:tmpl w:val="3D9A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70D8C"/>
    <w:multiLevelType w:val="hybridMultilevel"/>
    <w:tmpl w:val="C2D8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EA5DB3"/>
    <w:multiLevelType w:val="hybridMultilevel"/>
    <w:tmpl w:val="A7EE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DE736D"/>
    <w:multiLevelType w:val="hybridMultilevel"/>
    <w:tmpl w:val="BBE4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415529"/>
    <w:multiLevelType w:val="hybridMultilevel"/>
    <w:tmpl w:val="A84A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B5409F"/>
    <w:multiLevelType w:val="hybridMultilevel"/>
    <w:tmpl w:val="B72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2"/>
  </w:num>
  <w:num w:numId="5">
    <w:abstractNumId w:val="8"/>
  </w:num>
  <w:num w:numId="6">
    <w:abstractNumId w:val="13"/>
  </w:num>
  <w:num w:numId="7">
    <w:abstractNumId w:val="4"/>
  </w:num>
  <w:num w:numId="8">
    <w:abstractNumId w:val="9"/>
  </w:num>
  <w:num w:numId="9">
    <w:abstractNumId w:val="6"/>
  </w:num>
  <w:num w:numId="10">
    <w:abstractNumId w:val="7"/>
  </w:num>
  <w:num w:numId="11">
    <w:abstractNumId w:val="1"/>
  </w:num>
  <w:num w:numId="12">
    <w:abstractNumId w:val="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29"/>
    <w:rsid w:val="00215110"/>
    <w:rsid w:val="002A5096"/>
    <w:rsid w:val="006B389A"/>
    <w:rsid w:val="007D5C97"/>
    <w:rsid w:val="00866AFD"/>
    <w:rsid w:val="0087605D"/>
    <w:rsid w:val="008D4FC9"/>
    <w:rsid w:val="00927564"/>
    <w:rsid w:val="00E860F8"/>
    <w:rsid w:val="00EB400D"/>
    <w:rsid w:val="00F365BE"/>
    <w:rsid w:val="00FE1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624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F29"/>
    <w:rPr>
      <w:color w:val="0000FF" w:themeColor="hyperlink"/>
      <w:u w:val="single"/>
    </w:rPr>
  </w:style>
  <w:style w:type="paragraph" w:styleId="BalloonText">
    <w:name w:val="Balloon Text"/>
    <w:basedOn w:val="Normal"/>
    <w:link w:val="BalloonTextChar"/>
    <w:uiPriority w:val="99"/>
    <w:semiHidden/>
    <w:unhideWhenUsed/>
    <w:rsid w:val="00FE1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F29"/>
    <w:rPr>
      <w:rFonts w:ascii="Lucida Grande" w:hAnsi="Lucida Grande" w:cs="Lucida Grande"/>
      <w:sz w:val="18"/>
      <w:szCs w:val="18"/>
    </w:rPr>
  </w:style>
  <w:style w:type="paragraph" w:styleId="ListParagraph">
    <w:name w:val="List Paragraph"/>
    <w:basedOn w:val="Normal"/>
    <w:uiPriority w:val="34"/>
    <w:qFormat/>
    <w:rsid w:val="009275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F29"/>
    <w:rPr>
      <w:color w:val="0000FF" w:themeColor="hyperlink"/>
      <w:u w:val="single"/>
    </w:rPr>
  </w:style>
  <w:style w:type="paragraph" w:styleId="BalloonText">
    <w:name w:val="Balloon Text"/>
    <w:basedOn w:val="Normal"/>
    <w:link w:val="BalloonTextChar"/>
    <w:uiPriority w:val="99"/>
    <w:semiHidden/>
    <w:unhideWhenUsed/>
    <w:rsid w:val="00FE1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F29"/>
    <w:rPr>
      <w:rFonts w:ascii="Lucida Grande" w:hAnsi="Lucida Grande" w:cs="Lucida Grande"/>
      <w:sz w:val="18"/>
      <w:szCs w:val="18"/>
    </w:rPr>
  </w:style>
  <w:style w:type="paragraph" w:styleId="ListParagraph">
    <w:name w:val="List Paragraph"/>
    <w:basedOn w:val="Normal"/>
    <w:uiPriority w:val="34"/>
    <w:qFormat/>
    <w:rsid w:val="00927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ebecca.burnett@lmc.gatech.edu" TargetMode="External"/><Relationship Id="rId7" Type="http://schemas.openxmlformats.org/officeDocument/2006/relationships/hyperlink" Target="http://www.plainlanguage.go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2076</Words>
  <Characters>11839</Characters>
  <Application>Microsoft Macintosh Word</Application>
  <DocSecurity>0</DocSecurity>
  <Lines>98</Lines>
  <Paragraphs>27</Paragraphs>
  <ScaleCrop>false</ScaleCrop>
  <Company/>
  <LinksUpToDate>false</LinksUpToDate>
  <CharactersWithSpaces>13888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7</cp:revision>
  <dcterms:created xsi:type="dcterms:W3CDTF">2012-12-18T21:27:00Z</dcterms:created>
  <dcterms:modified xsi:type="dcterms:W3CDTF">2012-12-19T11:23:00Z</dcterms:modified>
</cp:coreProperties>
</file>