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9BA49" w14:textId="77777777" w:rsidR="009159FD" w:rsidRDefault="009159FD" w:rsidP="00071576">
      <w:pPr>
        <w:jc w:val="center"/>
        <w:outlineLvl w:val="0"/>
        <w:rPr>
          <w:b/>
        </w:rPr>
      </w:pPr>
      <w:r>
        <w:rPr>
          <w:b/>
        </w:rPr>
        <w:t>Law, Management &amp; Economics</w:t>
      </w:r>
    </w:p>
    <w:p w14:paraId="629C5803" w14:textId="77777777" w:rsidR="00CC7548" w:rsidRDefault="009159FD" w:rsidP="00071576">
      <w:pPr>
        <w:jc w:val="center"/>
        <w:outlineLvl w:val="0"/>
        <w:rPr>
          <w:b/>
        </w:rPr>
      </w:pPr>
      <w:r>
        <w:rPr>
          <w:b/>
        </w:rPr>
        <w:t>MGT 4610</w:t>
      </w:r>
    </w:p>
    <w:p w14:paraId="22E94E99" w14:textId="77777777" w:rsidR="00CC7548" w:rsidRDefault="009159FD" w:rsidP="00071576">
      <w:pPr>
        <w:jc w:val="center"/>
        <w:outlineLvl w:val="0"/>
        <w:rPr>
          <w:b/>
        </w:rPr>
      </w:pPr>
      <w:r>
        <w:rPr>
          <w:b/>
        </w:rPr>
        <w:t>Summer 2011</w:t>
      </w:r>
    </w:p>
    <w:p w14:paraId="6B78FF73" w14:textId="77777777" w:rsidR="00CC7548" w:rsidRPr="008F714A" w:rsidRDefault="00CC7548" w:rsidP="001F2008">
      <w:pPr>
        <w:outlineLvl w:val="0"/>
        <w:rPr>
          <w:b/>
        </w:rPr>
      </w:pPr>
    </w:p>
    <w:p w14:paraId="1BECBDA4" w14:textId="77777777" w:rsidR="00CC7548" w:rsidRDefault="00CC7548" w:rsidP="00CC7548"/>
    <w:p w14:paraId="6433EE8E" w14:textId="77777777" w:rsidR="00CC7548" w:rsidRDefault="00CC7548" w:rsidP="00CC7548">
      <w:r>
        <w:t>Robert N. Thomas, Ph.D.</w:t>
      </w:r>
    </w:p>
    <w:p w14:paraId="37539D58" w14:textId="77777777" w:rsidR="00CC7548" w:rsidRDefault="00CC7548" w:rsidP="00CC7548">
      <w:r>
        <w:t>Office:  Institute for Leadership and Entrepreneurship Suite</w:t>
      </w:r>
      <w:r w:rsidR="00213ED8">
        <w:t xml:space="preserve"> 4153</w:t>
      </w:r>
      <w:r>
        <w:t>; COM 4</w:t>
      </w:r>
      <w:r w:rsidRPr="00062E32">
        <w:rPr>
          <w:vertAlign w:val="superscript"/>
        </w:rPr>
        <w:t>th</w:t>
      </w:r>
      <w:r>
        <w:t xml:space="preserve"> Floor</w:t>
      </w:r>
    </w:p>
    <w:p w14:paraId="1DC8180E" w14:textId="77777777" w:rsidR="00CC7548" w:rsidRDefault="00CC7548" w:rsidP="00CC7548">
      <w:r>
        <w:t>Phone:  404-894-9473</w:t>
      </w:r>
    </w:p>
    <w:p w14:paraId="204F97D2" w14:textId="77777777" w:rsidR="00CC7548" w:rsidRDefault="00CC7548" w:rsidP="00CC7548">
      <w:pPr>
        <w:outlineLvl w:val="0"/>
      </w:pPr>
      <w:r>
        <w:t xml:space="preserve">Email:  </w:t>
      </w:r>
      <w:hyperlink r:id="rId8" w:history="1">
        <w:r w:rsidRPr="001D6B65">
          <w:rPr>
            <w:rStyle w:val="Hyperlink"/>
          </w:rPr>
          <w:t>robert.thomas@ile.gatech.edu</w:t>
        </w:r>
      </w:hyperlink>
    </w:p>
    <w:p w14:paraId="288018C0" w14:textId="77777777" w:rsidR="00CC7548" w:rsidRDefault="00CC7548" w:rsidP="00CC7548"/>
    <w:p w14:paraId="55423FD6" w14:textId="77777777" w:rsidR="00CC7548" w:rsidRPr="0057335D" w:rsidRDefault="00CC7548" w:rsidP="0057335D">
      <w:r w:rsidRPr="008562F4">
        <w:rPr>
          <w:b/>
        </w:rPr>
        <w:t xml:space="preserve">Office </w:t>
      </w:r>
      <w:r w:rsidRPr="003C7BB6">
        <w:rPr>
          <w:b/>
        </w:rPr>
        <w:t>Hours:</w:t>
      </w:r>
      <w:r w:rsidR="00004F03">
        <w:t xml:space="preserve">  Tuesday, Wednesday and Thursday - </w:t>
      </w:r>
      <w:r>
        <w:t>9AM to noon, or by appointment.  Please do not hesitate to e-mail or call, either to make an appointment or to leave a message.  Students are welcome and encouraged to make appointments to discuss issues related to the class, as well as other matters of importance to them.  I am available for consultation or conversation</w:t>
      </w:r>
      <w:r w:rsidR="004A2188">
        <w:t xml:space="preserve"> through direct e-mail.</w:t>
      </w:r>
      <w:r w:rsidR="00267C4A">
        <w:t xml:space="preserve"> </w:t>
      </w:r>
      <w:bookmarkStart w:id="0" w:name="_GoBack"/>
      <w:bookmarkEnd w:id="0"/>
    </w:p>
    <w:p w14:paraId="6997D685" w14:textId="77777777" w:rsidR="00CC7548" w:rsidRDefault="00CC7548" w:rsidP="00CC7548"/>
    <w:p w14:paraId="010DAE19" w14:textId="77777777" w:rsidR="0057335D" w:rsidRDefault="0057335D" w:rsidP="0057335D">
      <w:pPr>
        <w:rPr>
          <w:b/>
        </w:rPr>
      </w:pPr>
      <w:r w:rsidRPr="00E97700">
        <w:rPr>
          <w:b/>
        </w:rPr>
        <w:t>Course Overview</w:t>
      </w:r>
    </w:p>
    <w:p w14:paraId="04DC9947" w14:textId="77777777" w:rsidR="009159FD" w:rsidRDefault="009159FD" w:rsidP="0057335D">
      <w:r>
        <w:t>This course will explore the legal and economic environment for organizations seeking to address social issues and create social value</w:t>
      </w:r>
      <w:r w:rsidR="00E24FD2">
        <w:t xml:space="preserve"> in Central and Eastern Europe.  Students will study the legal structure, governance systems and management practices of organizations providing services and products which meet societal needs.  The course will focus on non-governmental organizations (NGOs), but will also investigate for-profit entities that are engaged in corporate social responsibility activities.  </w:t>
      </w:r>
    </w:p>
    <w:p w14:paraId="1DF0E202" w14:textId="77777777" w:rsidR="00E24FD2" w:rsidRDefault="00E24FD2" w:rsidP="0057335D"/>
    <w:p w14:paraId="3D1B21F4" w14:textId="77777777" w:rsidR="00E24FD2" w:rsidRDefault="00E24FD2" w:rsidP="0057335D">
      <w:r>
        <w:t xml:space="preserve">The primary focus of this course will be the transformation of the NGO community in Central and Eastern Europe during and after 1989.  There was remarkable growth in the number of organizations addressing the needs of society.  The development of this sector was greatly impacted by the changing legal and economic structure in the region.  </w:t>
      </w:r>
      <w:r w:rsidR="007C4972">
        <w:t xml:space="preserve">By investigating these changes students will gain an understanding of the challenges and opportunities faced by those managing these organizations.  This experience, coupled with an overview of the legal and economic environment in the United States, will provide students with a unique understanding of organizations interested in creating social value throughout the world.  </w:t>
      </w:r>
    </w:p>
    <w:p w14:paraId="54F2632C" w14:textId="77777777" w:rsidR="007C4972" w:rsidRPr="009159FD" w:rsidRDefault="007C4972" w:rsidP="0057335D"/>
    <w:p w14:paraId="71D362C0" w14:textId="77777777" w:rsidR="0057335D" w:rsidRDefault="0057335D" w:rsidP="0057335D">
      <w:pPr>
        <w:rPr>
          <w:b/>
        </w:rPr>
      </w:pPr>
      <w:r w:rsidRPr="0041466C">
        <w:rPr>
          <w:b/>
        </w:rPr>
        <w:t>Learning Objectives</w:t>
      </w:r>
    </w:p>
    <w:p w14:paraId="558062CC" w14:textId="77777777" w:rsidR="007C4972" w:rsidRPr="007C4972" w:rsidRDefault="007C4972" w:rsidP="007C4972">
      <w:pPr>
        <w:numPr>
          <w:ilvl w:val="0"/>
          <w:numId w:val="14"/>
        </w:numPr>
        <w:rPr>
          <w:b/>
        </w:rPr>
      </w:pPr>
      <w:r>
        <w:t>Gain an understanding of the legal structure for organizations focused on creating social value in the United States and Central and Eastern Europe</w:t>
      </w:r>
    </w:p>
    <w:p w14:paraId="395B2079" w14:textId="77777777" w:rsidR="007C4972" w:rsidRPr="00D54AA7" w:rsidRDefault="007C4972" w:rsidP="007C4972">
      <w:pPr>
        <w:numPr>
          <w:ilvl w:val="0"/>
          <w:numId w:val="14"/>
        </w:numPr>
        <w:rPr>
          <w:b/>
        </w:rPr>
      </w:pPr>
      <w:r>
        <w:t>Identify the economic factors that impact social enterprises in the United States and Central and Eastern Europe</w:t>
      </w:r>
    </w:p>
    <w:p w14:paraId="77F99F2A" w14:textId="77777777" w:rsidR="00D54AA7" w:rsidRPr="007C4972" w:rsidRDefault="00D54AA7" w:rsidP="007C4972">
      <w:pPr>
        <w:numPr>
          <w:ilvl w:val="0"/>
          <w:numId w:val="14"/>
        </w:numPr>
        <w:rPr>
          <w:b/>
        </w:rPr>
      </w:pPr>
      <w:r>
        <w:t xml:space="preserve">Understand how the evolving economic and political landscapes have affected the relationship between government and the non-governmental sector in Hungary </w:t>
      </w:r>
    </w:p>
    <w:p w14:paraId="3E5C0CF6" w14:textId="77777777" w:rsidR="007C4972" w:rsidRPr="007C4972" w:rsidRDefault="007C4972" w:rsidP="007C4972">
      <w:pPr>
        <w:numPr>
          <w:ilvl w:val="0"/>
          <w:numId w:val="14"/>
        </w:numPr>
        <w:rPr>
          <w:b/>
        </w:rPr>
      </w:pPr>
      <w:r>
        <w:t>Compare and contrast the major differences between the legal and economic environments in the United States and Central and Eastern Europe</w:t>
      </w:r>
    </w:p>
    <w:p w14:paraId="6C6A1933" w14:textId="77777777" w:rsidR="007C4972" w:rsidRPr="002321C9" w:rsidRDefault="007C4972" w:rsidP="007C4972">
      <w:pPr>
        <w:numPr>
          <w:ilvl w:val="0"/>
          <w:numId w:val="14"/>
        </w:numPr>
        <w:rPr>
          <w:b/>
        </w:rPr>
      </w:pPr>
      <w:r>
        <w:t>Explore how lega</w:t>
      </w:r>
      <w:r w:rsidR="00D54AA7">
        <w:t xml:space="preserve">l and economic conditions and membership in the European Union have </w:t>
      </w:r>
      <w:r w:rsidR="00191619">
        <w:t>impact</w:t>
      </w:r>
      <w:r w:rsidR="00D54AA7">
        <w:t>ed</w:t>
      </w:r>
      <w:r>
        <w:t xml:space="preserve"> management practices and strategies</w:t>
      </w:r>
      <w:r w:rsidR="00D54AA7">
        <w:t xml:space="preserve"> in Hungarian NGOs</w:t>
      </w:r>
    </w:p>
    <w:p w14:paraId="3D559F95" w14:textId="77777777" w:rsidR="00701B97" w:rsidRPr="00D54AA7" w:rsidRDefault="002321C9" w:rsidP="00D54AA7">
      <w:pPr>
        <w:numPr>
          <w:ilvl w:val="0"/>
          <w:numId w:val="14"/>
        </w:numPr>
        <w:rPr>
          <w:b/>
        </w:rPr>
      </w:pPr>
      <w:r>
        <w:t xml:space="preserve">Apply the framework of legal and economic analysis to better understand the management practices and strategies in </w:t>
      </w:r>
      <w:r w:rsidR="00D54AA7">
        <w:t>other countries of the world</w:t>
      </w:r>
    </w:p>
    <w:p w14:paraId="18D7D9E5" w14:textId="77777777" w:rsidR="00701B97" w:rsidRDefault="00701B97" w:rsidP="00701B97">
      <w:pPr>
        <w:ind w:left="720"/>
        <w:rPr>
          <w:b/>
        </w:rPr>
      </w:pPr>
    </w:p>
    <w:p w14:paraId="2BCED399" w14:textId="77777777" w:rsidR="00701B97" w:rsidRDefault="00701B97" w:rsidP="00701B97">
      <w:pPr>
        <w:rPr>
          <w:b/>
        </w:rPr>
      </w:pPr>
      <w:r>
        <w:rPr>
          <w:b/>
        </w:rPr>
        <w:t>Instructional Methods</w:t>
      </w:r>
    </w:p>
    <w:p w14:paraId="38987145" w14:textId="77777777" w:rsidR="00701B97" w:rsidRDefault="00701B97" w:rsidP="00701B97">
      <w:pPr>
        <w:rPr>
          <w:b/>
        </w:rPr>
      </w:pPr>
    </w:p>
    <w:p w14:paraId="4B3E31FE" w14:textId="77777777" w:rsidR="00701B97" w:rsidRDefault="00701B97" w:rsidP="00701B97">
      <w:r>
        <w:t xml:space="preserve">The instructor will use a combination of lecture, case studies, class discussion, and guest lecturers.  Students will be expected to read assigned readings prior to class and be prepared to engage in discussion of the topics and cases.  </w:t>
      </w:r>
      <w:r w:rsidR="00D54AA7">
        <w:t>The first week of class will be held in the College of Management in Atlanta.  The final six weeks of class will be in Budapest, Hungary.</w:t>
      </w:r>
    </w:p>
    <w:p w14:paraId="2C10B384" w14:textId="77777777" w:rsidR="00701B97" w:rsidRDefault="00701B97" w:rsidP="00701B97"/>
    <w:p w14:paraId="17C3AB6B" w14:textId="77777777" w:rsidR="00701B97" w:rsidRPr="00D54AA7" w:rsidRDefault="00701B97" w:rsidP="00701B97">
      <w:pPr>
        <w:rPr>
          <w:b/>
        </w:rPr>
      </w:pPr>
      <w:r w:rsidRPr="00D54AA7">
        <w:rPr>
          <w:b/>
        </w:rPr>
        <w:t>Assignments</w:t>
      </w:r>
    </w:p>
    <w:p w14:paraId="4893E0E4" w14:textId="77777777" w:rsidR="00701B97" w:rsidRDefault="00701B97" w:rsidP="00701B97"/>
    <w:p w14:paraId="6C276D6E" w14:textId="77777777" w:rsidR="002450F4" w:rsidRDefault="002450F4" w:rsidP="00701B97">
      <w:r>
        <w:t>Class Partici</w:t>
      </w:r>
      <w:r w:rsidR="002321C9">
        <w:t>pation/Engagement/Attendance</w:t>
      </w:r>
      <w:r w:rsidR="002321C9">
        <w:tab/>
      </w:r>
      <w:r w:rsidR="002321C9">
        <w:tab/>
      </w:r>
      <w:r w:rsidR="002321C9">
        <w:tab/>
        <w:t>3</w:t>
      </w:r>
      <w:r>
        <w:t>0%</w:t>
      </w:r>
    </w:p>
    <w:p w14:paraId="3F9E16AA" w14:textId="77777777" w:rsidR="002450F4" w:rsidRDefault="002321C9" w:rsidP="00701B97">
      <w:r>
        <w:t>Written Assignments</w:t>
      </w:r>
      <w:r>
        <w:tab/>
      </w:r>
      <w:r>
        <w:tab/>
      </w:r>
      <w:r>
        <w:tab/>
      </w:r>
      <w:r>
        <w:tab/>
      </w:r>
      <w:r>
        <w:tab/>
      </w:r>
      <w:r>
        <w:tab/>
        <w:t>40</w:t>
      </w:r>
      <w:r w:rsidR="002450F4">
        <w:t>%</w:t>
      </w:r>
    </w:p>
    <w:p w14:paraId="2ED83B6B" w14:textId="77777777" w:rsidR="008524C1" w:rsidRDefault="00F03C46" w:rsidP="00701B97">
      <w:r>
        <w:t>Final Exam</w:t>
      </w:r>
      <w:r>
        <w:tab/>
      </w:r>
      <w:r>
        <w:tab/>
      </w:r>
      <w:r>
        <w:tab/>
      </w:r>
      <w:r>
        <w:tab/>
      </w:r>
      <w:r w:rsidR="002321C9">
        <w:tab/>
      </w:r>
      <w:r w:rsidR="002321C9">
        <w:tab/>
      </w:r>
      <w:r w:rsidR="002321C9">
        <w:tab/>
        <w:t>30</w:t>
      </w:r>
      <w:r w:rsidR="008524C1">
        <w:t>%</w:t>
      </w:r>
    </w:p>
    <w:p w14:paraId="386C5289" w14:textId="77777777" w:rsidR="00701B97" w:rsidRDefault="00701B97" w:rsidP="008524C1"/>
    <w:p w14:paraId="2EA7235E" w14:textId="77777777" w:rsidR="00CC7548" w:rsidRDefault="00CC7548" w:rsidP="00CC7548">
      <w:pPr>
        <w:rPr>
          <w:b/>
        </w:rPr>
      </w:pPr>
    </w:p>
    <w:p w14:paraId="5D049F91" w14:textId="77777777" w:rsidR="00CC7548" w:rsidRDefault="00CC7548" w:rsidP="00CC7548">
      <w:pPr>
        <w:outlineLvl w:val="0"/>
        <w:rPr>
          <w:b/>
        </w:rPr>
      </w:pPr>
      <w:r w:rsidRPr="008F714A">
        <w:rPr>
          <w:b/>
        </w:rPr>
        <w:t>Required Readings</w:t>
      </w:r>
    </w:p>
    <w:p w14:paraId="156A7663" w14:textId="77777777" w:rsidR="00401597" w:rsidRPr="00F03C46" w:rsidRDefault="00401597" w:rsidP="00CC7548">
      <w:pPr>
        <w:outlineLvl w:val="0"/>
      </w:pPr>
    </w:p>
    <w:p w14:paraId="304C7F58" w14:textId="77777777" w:rsidR="009266DA" w:rsidRDefault="009266DA" w:rsidP="009266DA">
      <w:r>
        <w:t>Books:</w:t>
      </w:r>
    </w:p>
    <w:p w14:paraId="01BE2279" w14:textId="77777777" w:rsidR="009266DA" w:rsidRDefault="009266DA" w:rsidP="009266DA">
      <w:pPr>
        <w:pStyle w:val="ListParagraph"/>
        <w:numPr>
          <w:ilvl w:val="0"/>
          <w:numId w:val="15"/>
        </w:numPr>
        <w:spacing w:after="200" w:line="276" w:lineRule="auto"/>
      </w:pPr>
      <w:r w:rsidRPr="00433FB4">
        <w:rPr>
          <w:i/>
        </w:rPr>
        <w:t>Global Civil Society:  Dimensions of the Nonprofit Sector</w:t>
      </w:r>
      <w:r>
        <w:t xml:space="preserve">, Lester M. </w:t>
      </w:r>
      <w:proofErr w:type="spellStart"/>
      <w:r>
        <w:t>Salamon</w:t>
      </w:r>
      <w:proofErr w:type="spellEnd"/>
      <w:r>
        <w:t xml:space="preserve">, Helmut K. </w:t>
      </w:r>
      <w:proofErr w:type="spellStart"/>
      <w:r>
        <w:t>Anheier</w:t>
      </w:r>
      <w:proofErr w:type="spellEnd"/>
      <w:r>
        <w:t xml:space="preserve">, Regina List, Stefan </w:t>
      </w:r>
      <w:proofErr w:type="spellStart"/>
      <w:r>
        <w:t>Toepler</w:t>
      </w:r>
      <w:proofErr w:type="spellEnd"/>
      <w:r>
        <w:t xml:space="preserve">, S. </w:t>
      </w:r>
      <w:proofErr w:type="spellStart"/>
      <w:r>
        <w:t>Wojciech</w:t>
      </w:r>
      <w:proofErr w:type="spellEnd"/>
      <w:r>
        <w:t xml:space="preserve"> </w:t>
      </w:r>
      <w:proofErr w:type="spellStart"/>
      <w:r>
        <w:t>Sololowski</w:t>
      </w:r>
      <w:proofErr w:type="spellEnd"/>
      <w:r>
        <w:t xml:space="preserve"> and Associates, The John Hopkins Center for Social Studies, 1996 (Parts 1 and 4)</w:t>
      </w:r>
    </w:p>
    <w:p w14:paraId="763D24B7" w14:textId="77777777" w:rsidR="009266DA" w:rsidRPr="00563CD3" w:rsidRDefault="009266DA" w:rsidP="009266DA">
      <w:pPr>
        <w:pStyle w:val="ListParagraph"/>
        <w:numPr>
          <w:ilvl w:val="0"/>
          <w:numId w:val="15"/>
        </w:numPr>
        <w:spacing w:after="200" w:line="276" w:lineRule="auto"/>
        <w:rPr>
          <w:i/>
        </w:rPr>
      </w:pPr>
      <w:r w:rsidRPr="00433FB4">
        <w:rPr>
          <w:i/>
        </w:rPr>
        <w:t>A Concise Historical Atlas of Eastern Europe</w:t>
      </w:r>
      <w:r>
        <w:rPr>
          <w:i/>
        </w:rPr>
        <w:t xml:space="preserve">, </w:t>
      </w:r>
      <w:r>
        <w:t xml:space="preserve">Dennis P. </w:t>
      </w:r>
      <w:proofErr w:type="spellStart"/>
      <w:r>
        <w:t>Hupchick</w:t>
      </w:r>
      <w:proofErr w:type="spellEnd"/>
      <w:r>
        <w:t xml:space="preserve"> &amp; Harold E. Cox, </w:t>
      </w:r>
      <w:proofErr w:type="spellStart"/>
      <w:r>
        <w:t>Macmillian</w:t>
      </w:r>
      <w:proofErr w:type="spellEnd"/>
      <w:r>
        <w:t xml:space="preserve"> Press, 1996</w:t>
      </w:r>
      <w:r w:rsidR="002321C9">
        <w:t xml:space="preserve"> (Resource)</w:t>
      </w:r>
    </w:p>
    <w:p w14:paraId="22B6797E" w14:textId="77777777" w:rsidR="009266DA" w:rsidRPr="00563CD3" w:rsidRDefault="009266DA" w:rsidP="009266DA">
      <w:pPr>
        <w:pStyle w:val="ListParagraph"/>
        <w:numPr>
          <w:ilvl w:val="0"/>
          <w:numId w:val="15"/>
        </w:numPr>
        <w:spacing w:after="200" w:line="276" w:lineRule="auto"/>
        <w:rPr>
          <w:i/>
        </w:rPr>
      </w:pPr>
      <w:r w:rsidRPr="00433FB4">
        <w:rPr>
          <w:i/>
        </w:rPr>
        <w:t>The Magic Lantern:  The Revolution of ’89 Witnessed in Warsaw, Budapest, Berlin &amp; Prague</w:t>
      </w:r>
      <w:r>
        <w:rPr>
          <w:i/>
        </w:rPr>
        <w:t xml:space="preserve">, </w:t>
      </w:r>
      <w:r>
        <w:t xml:space="preserve">Timothy </w:t>
      </w:r>
      <w:proofErr w:type="spellStart"/>
      <w:r>
        <w:t>Garton</w:t>
      </w:r>
      <w:proofErr w:type="spellEnd"/>
      <w:r>
        <w:t xml:space="preserve"> Ash, Vintage Press, 1993</w:t>
      </w:r>
    </w:p>
    <w:p w14:paraId="4D5FAEAA" w14:textId="77777777" w:rsidR="009266DA" w:rsidRPr="00563CD3" w:rsidRDefault="009266DA" w:rsidP="009266DA">
      <w:pPr>
        <w:pStyle w:val="ListParagraph"/>
        <w:numPr>
          <w:ilvl w:val="0"/>
          <w:numId w:val="15"/>
        </w:numPr>
        <w:spacing w:after="200" w:line="276" w:lineRule="auto"/>
        <w:rPr>
          <w:i/>
        </w:rPr>
      </w:pPr>
      <w:r w:rsidRPr="00433FB4">
        <w:rPr>
          <w:i/>
        </w:rPr>
        <w:t>How We Survived Communism &amp; Even Laughed</w:t>
      </w:r>
      <w:r>
        <w:rPr>
          <w:i/>
        </w:rPr>
        <w:t xml:space="preserve">, </w:t>
      </w:r>
      <w:proofErr w:type="spellStart"/>
      <w:r>
        <w:t>Slavenka</w:t>
      </w:r>
      <w:proofErr w:type="spellEnd"/>
      <w:r>
        <w:t xml:space="preserve"> </w:t>
      </w:r>
      <w:proofErr w:type="spellStart"/>
      <w:r>
        <w:t>Drakulic</w:t>
      </w:r>
      <w:proofErr w:type="spellEnd"/>
      <w:r>
        <w:t xml:space="preserve">, Harper </w:t>
      </w:r>
      <w:proofErr w:type="gramStart"/>
      <w:r>
        <w:t>Perennial ,</w:t>
      </w:r>
      <w:proofErr w:type="gramEnd"/>
      <w:r>
        <w:t xml:space="preserve"> 1993</w:t>
      </w:r>
      <w:r>
        <w:tab/>
      </w:r>
    </w:p>
    <w:p w14:paraId="6ABC8C11" w14:textId="77777777" w:rsidR="009266DA" w:rsidRPr="0019573D" w:rsidRDefault="009266DA" w:rsidP="009266DA">
      <w:pPr>
        <w:pStyle w:val="ListParagraph"/>
        <w:numPr>
          <w:ilvl w:val="0"/>
          <w:numId w:val="15"/>
        </w:numPr>
        <w:spacing w:after="200" w:line="276" w:lineRule="auto"/>
        <w:rPr>
          <w:i/>
        </w:rPr>
      </w:pPr>
      <w:r w:rsidRPr="00433FB4">
        <w:rPr>
          <w:i/>
        </w:rPr>
        <w:t>A Concise History of Hungary</w:t>
      </w:r>
      <w:r>
        <w:rPr>
          <w:i/>
        </w:rPr>
        <w:t xml:space="preserve">, </w:t>
      </w:r>
      <w:proofErr w:type="spellStart"/>
      <w:r>
        <w:t>Miklos</w:t>
      </w:r>
      <w:proofErr w:type="spellEnd"/>
      <w:r>
        <w:t xml:space="preserve"> </w:t>
      </w:r>
      <w:proofErr w:type="spellStart"/>
      <w:r>
        <w:t>Molinar</w:t>
      </w:r>
      <w:proofErr w:type="spellEnd"/>
      <w:r>
        <w:t>, Cambridge University Press, 2001</w:t>
      </w:r>
      <w:r w:rsidR="002321C9">
        <w:t xml:space="preserve"> (Resource)</w:t>
      </w:r>
    </w:p>
    <w:p w14:paraId="5E565FFC" w14:textId="77777777" w:rsidR="00D54AA7" w:rsidRPr="00D54AA7" w:rsidRDefault="0019573D" w:rsidP="00D54AA7">
      <w:pPr>
        <w:pStyle w:val="ListParagraph"/>
        <w:numPr>
          <w:ilvl w:val="0"/>
          <w:numId w:val="15"/>
        </w:numPr>
        <w:spacing w:after="200" w:line="276" w:lineRule="auto"/>
        <w:rPr>
          <w:i/>
        </w:rPr>
      </w:pPr>
      <w:r>
        <w:rPr>
          <w:i/>
        </w:rPr>
        <w:t>Getting to Maybe:  How the World is Changed,</w:t>
      </w:r>
      <w:r>
        <w:t xml:space="preserve"> Frances </w:t>
      </w:r>
      <w:proofErr w:type="spellStart"/>
      <w:r>
        <w:t>Westley</w:t>
      </w:r>
      <w:proofErr w:type="spellEnd"/>
      <w:r>
        <w:t xml:space="preserve">, Brenda Zimmerman and Michael Quinn Patton, </w:t>
      </w:r>
      <w:r w:rsidR="002321C9">
        <w:t xml:space="preserve">Vintage </w:t>
      </w:r>
      <w:proofErr w:type="spellStart"/>
      <w:r w:rsidR="002321C9">
        <w:t>Canda</w:t>
      </w:r>
      <w:proofErr w:type="spellEnd"/>
      <w:r w:rsidR="002321C9">
        <w:t>, 2007</w:t>
      </w:r>
    </w:p>
    <w:p w14:paraId="32AD3165" w14:textId="77777777" w:rsidR="00D54AA7" w:rsidRDefault="00D54AA7" w:rsidP="00CC7548">
      <w:pPr>
        <w:outlineLvl w:val="0"/>
        <w:rPr>
          <w:b/>
        </w:rPr>
      </w:pPr>
    </w:p>
    <w:p w14:paraId="394CCA48" w14:textId="77777777" w:rsidR="00401597" w:rsidRDefault="00401597" w:rsidP="00401597">
      <w:pPr>
        <w:rPr>
          <w:rFonts w:cs="Arial"/>
          <w:b/>
          <w:color w:val="000000"/>
          <w:szCs w:val="29"/>
        </w:rPr>
      </w:pPr>
      <w:r w:rsidRPr="00401597">
        <w:rPr>
          <w:rFonts w:cs="Arial"/>
          <w:b/>
          <w:color w:val="000000"/>
          <w:szCs w:val="29"/>
        </w:rPr>
        <w:t>Articles</w:t>
      </w:r>
      <w:r>
        <w:rPr>
          <w:rFonts w:cs="Arial"/>
          <w:b/>
          <w:color w:val="000000"/>
          <w:szCs w:val="29"/>
        </w:rPr>
        <w:t>:</w:t>
      </w:r>
    </w:p>
    <w:p w14:paraId="51F8F6C9" w14:textId="77777777" w:rsidR="00401597" w:rsidRDefault="00401597" w:rsidP="00401597">
      <w:pPr>
        <w:rPr>
          <w:b/>
        </w:rPr>
      </w:pPr>
    </w:p>
    <w:p w14:paraId="57205390" w14:textId="77777777" w:rsidR="009266DA" w:rsidRPr="009266DA" w:rsidRDefault="009266DA" w:rsidP="009266DA">
      <w:pPr>
        <w:numPr>
          <w:ilvl w:val="0"/>
          <w:numId w:val="16"/>
        </w:numPr>
        <w:rPr>
          <w:b/>
        </w:rPr>
      </w:pPr>
      <w:r w:rsidRPr="002321C9">
        <w:rPr>
          <w:i/>
        </w:rPr>
        <w:t>The Citizen Sector:  Becoming As Entrepreneurial as Business</w:t>
      </w:r>
      <w:r>
        <w:t>, William Drayton, California Management Review, Vol. 44, Number 3, Spring 2002, 120-132 (CMR233)</w:t>
      </w:r>
    </w:p>
    <w:p w14:paraId="0E328D4A" w14:textId="77777777" w:rsidR="009266DA" w:rsidRPr="009266DA" w:rsidRDefault="009266DA" w:rsidP="009266DA">
      <w:pPr>
        <w:numPr>
          <w:ilvl w:val="0"/>
          <w:numId w:val="16"/>
        </w:numPr>
        <w:rPr>
          <w:b/>
        </w:rPr>
      </w:pPr>
      <w:r w:rsidRPr="002321C9">
        <w:rPr>
          <w:i/>
        </w:rPr>
        <w:t>The Six Practices of High-Impact Nonprofits</w:t>
      </w:r>
      <w:r>
        <w:t>, Leslie Crutchfield and Heather Gran, Fast Company, February 11, 2008</w:t>
      </w:r>
    </w:p>
    <w:p w14:paraId="4462F86B" w14:textId="77777777" w:rsidR="009266DA" w:rsidRPr="009266DA" w:rsidRDefault="009266DA" w:rsidP="009266DA">
      <w:pPr>
        <w:numPr>
          <w:ilvl w:val="0"/>
          <w:numId w:val="16"/>
        </w:numPr>
        <w:rPr>
          <w:b/>
        </w:rPr>
      </w:pPr>
      <w:r w:rsidRPr="002321C9">
        <w:rPr>
          <w:i/>
        </w:rPr>
        <w:t>NPO Legislation in Central and Eastern Europe</w:t>
      </w:r>
      <w:r>
        <w:t xml:space="preserve">, Douglas </w:t>
      </w:r>
      <w:proofErr w:type="spellStart"/>
      <w:r>
        <w:t>Rutzen</w:t>
      </w:r>
      <w:proofErr w:type="spellEnd"/>
      <w:r>
        <w:t xml:space="preserve">, Michael Durham and David Moore, </w:t>
      </w:r>
      <w:hyperlink r:id="rId9" w:history="1">
        <w:r w:rsidRPr="00F85537">
          <w:rPr>
            <w:rStyle w:val="Hyperlink"/>
          </w:rPr>
          <w:t>www.icnl.org</w:t>
        </w:r>
      </w:hyperlink>
    </w:p>
    <w:p w14:paraId="23E104FA" w14:textId="77777777" w:rsidR="009266DA" w:rsidRPr="009266DA" w:rsidRDefault="009266DA" w:rsidP="009266DA">
      <w:pPr>
        <w:numPr>
          <w:ilvl w:val="0"/>
          <w:numId w:val="16"/>
        </w:numPr>
        <w:rPr>
          <w:b/>
        </w:rPr>
      </w:pPr>
      <w:r w:rsidRPr="002321C9">
        <w:rPr>
          <w:i/>
        </w:rPr>
        <w:t>Design Thinking for Social Innovation</w:t>
      </w:r>
      <w:r>
        <w:t>, Tim Brown and Jocelyn Wyatt, Stanford Social Innovation Review, Winter 2010</w:t>
      </w:r>
    </w:p>
    <w:p w14:paraId="0A88B813" w14:textId="77777777" w:rsidR="0019573D" w:rsidRDefault="009266DA" w:rsidP="0019573D">
      <w:pPr>
        <w:numPr>
          <w:ilvl w:val="0"/>
          <w:numId w:val="16"/>
        </w:numPr>
      </w:pPr>
      <w:r w:rsidRPr="002321C9">
        <w:rPr>
          <w:i/>
        </w:rPr>
        <w:lastRenderedPageBreak/>
        <w:t xml:space="preserve">So, You Want to Change the World:  The Emergence of Social Entrepreneurship and the Rise of the Citizen </w:t>
      </w:r>
      <w:r w:rsidR="0019573D" w:rsidRPr="002321C9">
        <w:rPr>
          <w:i/>
        </w:rPr>
        <w:t>Sector</w:t>
      </w:r>
      <w:r w:rsidR="0019573D">
        <w:t>, David Bornstein, Hart House Lecture 2005</w:t>
      </w:r>
    </w:p>
    <w:p w14:paraId="3A0A6ECB" w14:textId="77777777" w:rsidR="0019573D" w:rsidRDefault="0019573D" w:rsidP="0019573D">
      <w:pPr>
        <w:numPr>
          <w:ilvl w:val="0"/>
          <w:numId w:val="16"/>
        </w:numPr>
      </w:pPr>
      <w:r w:rsidRPr="00433FB4">
        <w:rPr>
          <w:i/>
        </w:rPr>
        <w:t>About Miracles and Misperceptions – Lessons from the ‘percentage mechanism’ in Hungary</w:t>
      </w:r>
      <w:r>
        <w:t xml:space="preserve">, </w:t>
      </w:r>
      <w:proofErr w:type="spellStart"/>
      <w:r>
        <w:t>Nilda</w:t>
      </w:r>
      <w:proofErr w:type="spellEnd"/>
      <w:r>
        <w:t xml:space="preserve"> </w:t>
      </w:r>
      <w:proofErr w:type="spellStart"/>
      <w:r>
        <w:t>Bullain</w:t>
      </w:r>
      <w:proofErr w:type="spellEnd"/>
      <w:r>
        <w:t xml:space="preserve">, International Centre for Non-for-Profit Law, </w:t>
      </w:r>
      <w:hyperlink r:id="rId10" w:history="1">
        <w:r w:rsidRPr="00F94A60">
          <w:rPr>
            <w:rStyle w:val="Hyperlink"/>
          </w:rPr>
          <w:t>www.icnl.org</w:t>
        </w:r>
      </w:hyperlink>
      <w:r>
        <w:t>, 2006</w:t>
      </w:r>
    </w:p>
    <w:p w14:paraId="3D493CEF" w14:textId="77777777" w:rsidR="0019573D" w:rsidRDefault="0019573D" w:rsidP="0019573D">
      <w:pPr>
        <w:numPr>
          <w:ilvl w:val="0"/>
          <w:numId w:val="16"/>
        </w:numPr>
      </w:pPr>
      <w:r w:rsidRPr="00433FB4">
        <w:rPr>
          <w:i/>
        </w:rPr>
        <w:t>The Relationship between the Governmental and Civil Sectors in Hungary</w:t>
      </w:r>
      <w:r>
        <w:t xml:space="preserve">, </w:t>
      </w:r>
      <w:proofErr w:type="spellStart"/>
      <w:r>
        <w:t>Istvan</w:t>
      </w:r>
      <w:proofErr w:type="spellEnd"/>
      <w:r>
        <w:t xml:space="preserve"> </w:t>
      </w:r>
      <w:proofErr w:type="spellStart"/>
      <w:r>
        <w:t>Csoka</w:t>
      </w:r>
      <w:proofErr w:type="spellEnd"/>
      <w:r>
        <w:t xml:space="preserve">, </w:t>
      </w:r>
      <w:hyperlink r:id="rId11" w:history="1">
        <w:r w:rsidRPr="00F94A60">
          <w:rPr>
            <w:rStyle w:val="Hyperlink"/>
          </w:rPr>
          <w:t>www.icnl.org</w:t>
        </w:r>
      </w:hyperlink>
      <w:r>
        <w:t>, 2000</w:t>
      </w:r>
    </w:p>
    <w:p w14:paraId="3DB378D6" w14:textId="77777777" w:rsidR="0019573D" w:rsidRDefault="0019573D" w:rsidP="0019573D">
      <w:pPr>
        <w:numPr>
          <w:ilvl w:val="0"/>
          <w:numId w:val="16"/>
        </w:numPr>
      </w:pPr>
      <w:r w:rsidRPr="00433FB4">
        <w:rPr>
          <w:i/>
        </w:rPr>
        <w:t>The Hungarian Environment for Endowments and Financial Sustainability</w:t>
      </w:r>
      <w:r>
        <w:t xml:space="preserve">, Robert N. Thomas, </w:t>
      </w:r>
      <w:hyperlink r:id="rId12" w:history="1">
        <w:r w:rsidRPr="00F94A60">
          <w:rPr>
            <w:rStyle w:val="Hyperlink"/>
          </w:rPr>
          <w:t>www.icnl.org</w:t>
        </w:r>
      </w:hyperlink>
      <w:r>
        <w:t>, 2003</w:t>
      </w:r>
    </w:p>
    <w:p w14:paraId="292F85AE" w14:textId="77777777" w:rsidR="0019573D" w:rsidRDefault="0019573D" w:rsidP="0019573D">
      <w:pPr>
        <w:numPr>
          <w:ilvl w:val="0"/>
          <w:numId w:val="16"/>
        </w:numPr>
      </w:pPr>
      <w:r>
        <w:rPr>
          <w:i/>
        </w:rPr>
        <w:t xml:space="preserve">To Change the World, </w:t>
      </w:r>
      <w:r>
        <w:t xml:space="preserve">James Davidson Hunter, The Trinity Forum 2002, </w:t>
      </w:r>
      <w:hyperlink r:id="rId13" w:history="1">
        <w:r w:rsidRPr="00F85537">
          <w:rPr>
            <w:rStyle w:val="Hyperlink"/>
          </w:rPr>
          <w:t>www.thetrinityforum.org</w:t>
        </w:r>
      </w:hyperlink>
    </w:p>
    <w:p w14:paraId="1F28392F" w14:textId="77777777" w:rsidR="0019573D" w:rsidRPr="002321C9" w:rsidRDefault="0019573D" w:rsidP="002321C9">
      <w:pPr>
        <w:ind w:left="720"/>
      </w:pPr>
    </w:p>
    <w:p w14:paraId="652672CC" w14:textId="77777777" w:rsidR="00CC7548" w:rsidRDefault="00F03C46" w:rsidP="00CC7548">
      <w:pPr>
        <w:outlineLvl w:val="0"/>
        <w:rPr>
          <w:b/>
        </w:rPr>
      </w:pPr>
      <w:r>
        <w:rPr>
          <w:b/>
        </w:rPr>
        <w:t xml:space="preserve"> Additional readings will</w:t>
      </w:r>
      <w:r w:rsidR="002321C9">
        <w:rPr>
          <w:b/>
        </w:rPr>
        <w:t xml:space="preserve"> be made available on T-Square or provided by the instructor.</w:t>
      </w:r>
    </w:p>
    <w:p w14:paraId="0F0EFB31" w14:textId="77777777" w:rsidR="00895FCA" w:rsidRPr="00201392" w:rsidRDefault="00895FCA" w:rsidP="00CC7548">
      <w:pPr>
        <w:outlineLvl w:val="0"/>
        <w:rPr>
          <w:b/>
        </w:rPr>
      </w:pPr>
    </w:p>
    <w:p w14:paraId="4CC73CAC" w14:textId="77777777" w:rsidR="00CC7548" w:rsidRPr="00A37982" w:rsidRDefault="00CC7548" w:rsidP="00A37982">
      <w:r>
        <w:rPr>
          <w:b/>
        </w:rPr>
        <w:t>Grading</w:t>
      </w:r>
    </w:p>
    <w:p w14:paraId="126F8354" w14:textId="77777777" w:rsidR="00895FCA" w:rsidRDefault="00895FCA" w:rsidP="00CC7548">
      <w:pPr>
        <w:outlineLvl w:val="0"/>
        <w:rPr>
          <w:b/>
        </w:rPr>
      </w:pPr>
    </w:p>
    <w:p w14:paraId="5B0DF61F" w14:textId="77777777" w:rsidR="00C7156C" w:rsidRDefault="00C7156C" w:rsidP="00C7156C">
      <w:pPr>
        <w:pStyle w:val="ListParagraph"/>
        <w:numPr>
          <w:ilvl w:val="0"/>
          <w:numId w:val="13"/>
        </w:numPr>
      </w:pPr>
      <w:r>
        <w:t>Attendance - Points will be deducted for class absences (both excused and unexcused)</w:t>
      </w:r>
    </w:p>
    <w:p w14:paraId="41A7DD7A" w14:textId="77777777" w:rsidR="00C7156C" w:rsidRDefault="00C7156C" w:rsidP="00C7156C">
      <w:pPr>
        <w:ind w:firstLine="720"/>
      </w:pPr>
      <w:r>
        <w:tab/>
      </w:r>
      <w:r>
        <w:tab/>
      </w:r>
      <w:r>
        <w:tab/>
      </w:r>
      <w:r>
        <w:tab/>
      </w:r>
      <w:r w:rsidR="001E6107">
        <w:tab/>
      </w:r>
      <w:r>
        <w:tab/>
      </w:r>
      <w:r w:rsidR="001E6107">
        <w:tab/>
      </w:r>
      <w:r w:rsidR="001E6107">
        <w:tab/>
      </w:r>
    </w:p>
    <w:p w14:paraId="5FE85F78" w14:textId="77777777" w:rsidR="00C7156C" w:rsidRDefault="00C7156C" w:rsidP="00A37982">
      <w:pPr>
        <w:ind w:firstLine="360"/>
      </w:pPr>
      <w:r>
        <w:t>1</w:t>
      </w:r>
      <w:r w:rsidRPr="009E1377">
        <w:rPr>
          <w:vertAlign w:val="superscript"/>
        </w:rPr>
        <w:t>st</w:t>
      </w:r>
      <w:r w:rsidR="001E6107">
        <w:t xml:space="preserve"> absence </w:t>
      </w:r>
      <w:r w:rsidR="00A37982">
        <w:tab/>
      </w:r>
      <w:r w:rsidR="001E6107">
        <w:tab/>
      </w:r>
      <w:r w:rsidR="001E6107">
        <w:tab/>
      </w:r>
      <w:r w:rsidR="008524C1">
        <w:t>1 point</w:t>
      </w:r>
      <w:r w:rsidR="00F37664">
        <w:tab/>
      </w:r>
      <w:r w:rsidR="001E6107">
        <w:tab/>
      </w:r>
      <w:r w:rsidR="001E6107">
        <w:tab/>
      </w:r>
    </w:p>
    <w:p w14:paraId="70A369BD" w14:textId="77777777" w:rsidR="00C7156C" w:rsidRDefault="00C7156C" w:rsidP="00A37982">
      <w:pPr>
        <w:ind w:firstLine="360"/>
      </w:pPr>
      <w:r>
        <w:t>2</w:t>
      </w:r>
      <w:r w:rsidRPr="009E1377">
        <w:rPr>
          <w:vertAlign w:val="superscript"/>
        </w:rPr>
        <w:t>nd</w:t>
      </w:r>
      <w:r w:rsidR="001E6107">
        <w:t xml:space="preserve"> absence </w:t>
      </w:r>
      <w:r w:rsidR="001E6107">
        <w:tab/>
      </w:r>
      <w:r w:rsidR="00A37982">
        <w:tab/>
      </w:r>
      <w:r w:rsidR="001E6107">
        <w:tab/>
      </w:r>
      <w:r w:rsidR="008524C1">
        <w:t>2</w:t>
      </w:r>
      <w:r w:rsidR="000B6BD9">
        <w:t xml:space="preserve"> point</w:t>
      </w:r>
      <w:r w:rsidR="008524C1">
        <w:t xml:space="preserve"> deduction (cumulative 3 points)</w:t>
      </w:r>
      <w:r w:rsidR="001E6107">
        <w:tab/>
      </w:r>
      <w:r w:rsidR="008524C1">
        <w:tab/>
      </w:r>
    </w:p>
    <w:p w14:paraId="481C6E1F" w14:textId="77777777" w:rsidR="00C7156C" w:rsidRDefault="00C7156C" w:rsidP="00A37982">
      <w:pPr>
        <w:ind w:firstLine="360"/>
      </w:pPr>
      <w:r>
        <w:t>3</w:t>
      </w:r>
      <w:r w:rsidRPr="009E1377">
        <w:rPr>
          <w:vertAlign w:val="superscript"/>
        </w:rPr>
        <w:t>rd</w:t>
      </w:r>
      <w:r w:rsidR="001E6107">
        <w:t xml:space="preserve"> absence </w:t>
      </w:r>
      <w:r w:rsidR="000B6BD9">
        <w:t xml:space="preserve"> </w:t>
      </w:r>
      <w:r w:rsidR="001E6107">
        <w:tab/>
      </w:r>
      <w:r w:rsidR="001E6107">
        <w:tab/>
      </w:r>
      <w:r w:rsidR="00A37982">
        <w:tab/>
      </w:r>
      <w:r w:rsidR="008524C1">
        <w:t>2</w:t>
      </w:r>
      <w:r w:rsidR="000B6BD9">
        <w:t xml:space="preserve"> point</w:t>
      </w:r>
      <w:r w:rsidR="008524C1">
        <w:t xml:space="preserve"> deduction (cumulative 5</w:t>
      </w:r>
      <w:r w:rsidR="001E6107">
        <w:t xml:space="preserve"> points)</w:t>
      </w:r>
    </w:p>
    <w:p w14:paraId="05B97BD9" w14:textId="77777777" w:rsidR="00C7156C" w:rsidRDefault="00C7156C" w:rsidP="00A37982">
      <w:pPr>
        <w:ind w:firstLine="360"/>
      </w:pPr>
      <w:r>
        <w:t>4</w:t>
      </w:r>
      <w:r w:rsidRPr="009E1377">
        <w:rPr>
          <w:vertAlign w:val="superscript"/>
        </w:rPr>
        <w:t>th</w:t>
      </w:r>
      <w:r w:rsidR="001E6107">
        <w:t xml:space="preserve"> absence </w:t>
      </w:r>
      <w:r w:rsidR="001E6107">
        <w:tab/>
      </w:r>
      <w:r w:rsidR="001E6107">
        <w:tab/>
      </w:r>
      <w:r w:rsidR="00A37982">
        <w:tab/>
      </w:r>
      <w:r w:rsidR="008524C1">
        <w:t>2 point deduction (cumulative 7</w:t>
      </w:r>
      <w:r w:rsidR="001E6107">
        <w:t xml:space="preserve"> points)</w:t>
      </w:r>
    </w:p>
    <w:p w14:paraId="37D0EC7B" w14:textId="77777777" w:rsidR="00C7156C" w:rsidRDefault="00C7156C" w:rsidP="00A37982">
      <w:pPr>
        <w:ind w:firstLine="360"/>
      </w:pPr>
      <w:r>
        <w:t>5</w:t>
      </w:r>
      <w:r w:rsidRPr="009E1377">
        <w:rPr>
          <w:vertAlign w:val="superscript"/>
        </w:rPr>
        <w:t>th</w:t>
      </w:r>
      <w:r w:rsidR="001E6107">
        <w:t xml:space="preserve"> absence </w:t>
      </w:r>
      <w:r w:rsidR="001E6107">
        <w:tab/>
      </w:r>
      <w:r w:rsidR="001E6107">
        <w:tab/>
      </w:r>
      <w:r w:rsidR="00A37982">
        <w:tab/>
      </w:r>
      <w:r w:rsidR="008524C1">
        <w:t>3 point deduction (cumulative 10</w:t>
      </w:r>
      <w:r w:rsidR="001E6107">
        <w:t xml:space="preserve"> points)</w:t>
      </w:r>
    </w:p>
    <w:p w14:paraId="650CEA72" w14:textId="77777777" w:rsidR="00C7156C" w:rsidRDefault="00C7156C" w:rsidP="00A37982">
      <w:pPr>
        <w:ind w:firstLine="360"/>
      </w:pPr>
      <w:r>
        <w:t>6</w:t>
      </w:r>
      <w:r w:rsidRPr="009A0D35">
        <w:rPr>
          <w:vertAlign w:val="superscript"/>
        </w:rPr>
        <w:t>th</w:t>
      </w:r>
      <w:r w:rsidR="001E6107">
        <w:t xml:space="preserve"> absence </w:t>
      </w:r>
      <w:r w:rsidR="001E6107">
        <w:tab/>
      </w:r>
      <w:r w:rsidR="001E6107">
        <w:tab/>
      </w:r>
      <w:r w:rsidR="00A37982">
        <w:tab/>
      </w:r>
      <w:r w:rsidR="008524C1">
        <w:t>3 point deduction (cumulative 13</w:t>
      </w:r>
      <w:r w:rsidR="001E6107">
        <w:t xml:space="preserve"> points)</w:t>
      </w:r>
    </w:p>
    <w:p w14:paraId="3B8B075C" w14:textId="77777777" w:rsidR="00C7156C" w:rsidRDefault="001E6107" w:rsidP="00A37982">
      <w:pPr>
        <w:ind w:firstLine="360"/>
      </w:pPr>
      <w:r>
        <w:t>7</w:t>
      </w:r>
      <w:r w:rsidRPr="001E6107">
        <w:rPr>
          <w:vertAlign w:val="superscript"/>
        </w:rPr>
        <w:t>th</w:t>
      </w:r>
      <w:r>
        <w:t xml:space="preserve"> </w:t>
      </w:r>
      <w:r w:rsidR="00A37982">
        <w:t xml:space="preserve">absence </w:t>
      </w:r>
      <w:r>
        <w:t>and above</w:t>
      </w:r>
      <w:r>
        <w:tab/>
        <w:t xml:space="preserve"> </w:t>
      </w:r>
      <w:r>
        <w:tab/>
      </w:r>
      <w:r w:rsidR="00EB3FBE">
        <w:t>3</w:t>
      </w:r>
      <w:r>
        <w:t xml:space="preserve"> point deduction for each absence (max 20 points) </w:t>
      </w:r>
    </w:p>
    <w:p w14:paraId="5FA61622" w14:textId="77777777" w:rsidR="00A37982" w:rsidRDefault="00A37982" w:rsidP="00C7156C">
      <w:pPr>
        <w:ind w:left="1080"/>
      </w:pPr>
    </w:p>
    <w:p w14:paraId="01ABFBA9" w14:textId="77777777" w:rsidR="00A37982" w:rsidRDefault="00A37982" w:rsidP="00A37982">
      <w:pPr>
        <w:ind w:left="360"/>
      </w:pPr>
      <w:r>
        <w:t xml:space="preserve">The professor reserves the right to determine if an absence is excused or unexcused.  Students must submit reason for the absence (via email) within 3 days of absence.  </w:t>
      </w:r>
    </w:p>
    <w:p w14:paraId="3DE225B0" w14:textId="77777777" w:rsidR="00F03C46" w:rsidRPr="00D54AA7" w:rsidRDefault="00A37982" w:rsidP="00D54AA7">
      <w:pPr>
        <w:ind w:left="1080"/>
      </w:pPr>
      <w:r>
        <w:tab/>
      </w:r>
      <w:r>
        <w:tab/>
      </w:r>
      <w:r>
        <w:tab/>
      </w:r>
    </w:p>
    <w:p w14:paraId="27CC999F" w14:textId="77777777" w:rsidR="00CC7548" w:rsidRDefault="00CC7548" w:rsidP="00CC7548">
      <w:pPr>
        <w:outlineLvl w:val="0"/>
        <w:rPr>
          <w:b/>
        </w:rPr>
      </w:pPr>
      <w:r w:rsidRPr="00F111DB">
        <w:rPr>
          <w:b/>
        </w:rPr>
        <w:t>Honor Code</w:t>
      </w:r>
    </w:p>
    <w:p w14:paraId="6F2E3A95" w14:textId="77777777" w:rsidR="00895FCA" w:rsidRPr="00F111DB" w:rsidRDefault="00895FCA" w:rsidP="00CC7548">
      <w:pPr>
        <w:outlineLvl w:val="0"/>
        <w:rPr>
          <w:b/>
        </w:rPr>
      </w:pPr>
    </w:p>
    <w:p w14:paraId="5B8A4D74" w14:textId="77777777" w:rsidR="00CC7548" w:rsidRPr="00F111DB" w:rsidRDefault="00CC7548" w:rsidP="00CC7548">
      <w:pPr>
        <w:rPr>
          <w:color w:val="0000FF"/>
          <w:u w:val="single"/>
        </w:rPr>
      </w:pPr>
      <w:r>
        <w:t xml:space="preserve">You are expected to uphold the Georgia Institute of Technology Academic Honor code.  You may find information on the Honor Code at: </w:t>
      </w:r>
      <w:hyperlink r:id="rId14" w:history="1">
        <w:r w:rsidR="00213ED8" w:rsidRPr="00164BC9">
          <w:rPr>
            <w:rStyle w:val="Hyperlink"/>
          </w:rPr>
          <w:t>http://deanofstudents.gatech.eduHonor/</w:t>
        </w:r>
      </w:hyperlink>
      <w:r w:rsidR="00213ED8">
        <w:t>.</w:t>
      </w:r>
    </w:p>
    <w:p w14:paraId="63CA478F" w14:textId="77777777" w:rsidR="00CC7548" w:rsidRDefault="00CC7548" w:rsidP="00CC7548"/>
    <w:p w14:paraId="622832C8" w14:textId="77777777" w:rsidR="00CC7548" w:rsidRDefault="00CC7548" w:rsidP="00CC7548">
      <w:pPr>
        <w:outlineLvl w:val="0"/>
        <w:rPr>
          <w:b/>
        </w:rPr>
      </w:pPr>
      <w:r w:rsidRPr="00D0424E">
        <w:rPr>
          <w:b/>
        </w:rPr>
        <w:t>Students with Disabilities</w:t>
      </w:r>
    </w:p>
    <w:p w14:paraId="3B3109D5" w14:textId="77777777" w:rsidR="00895FCA" w:rsidRPr="00D0424E" w:rsidRDefault="00895FCA" w:rsidP="00CC7548">
      <w:pPr>
        <w:outlineLvl w:val="0"/>
        <w:rPr>
          <w:b/>
        </w:rPr>
      </w:pPr>
    </w:p>
    <w:p w14:paraId="63530EC9" w14:textId="77777777" w:rsidR="00CC7548" w:rsidRDefault="00CC7548" w:rsidP="00CC7548">
      <w:r>
        <w:t xml:space="preserve">To request classroom accommodations, students with disabilities should contact the ADAPTS office:  Assistant Dean/Coordinator for Students with Disabilities, </w:t>
      </w:r>
      <w:proofErr w:type="spellStart"/>
      <w:r>
        <w:t>Smithgall</w:t>
      </w:r>
      <w:proofErr w:type="spellEnd"/>
      <w:r>
        <w:t xml:space="preserve"> Student Services Building, Suite 221 (404-894-2564).</w:t>
      </w:r>
    </w:p>
    <w:p w14:paraId="046B3021" w14:textId="77777777" w:rsidR="00CC7548" w:rsidRPr="00657C1E" w:rsidRDefault="00CC7548" w:rsidP="00CC7548"/>
    <w:sectPr w:rsidR="00CC7548" w:rsidRPr="00657C1E" w:rsidSect="00CC7548">
      <w:headerReference w:type="default" r:id="rId15"/>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65124" w14:textId="77777777" w:rsidR="00D54AA7" w:rsidRDefault="00D54AA7" w:rsidP="00D4633D">
      <w:r>
        <w:separator/>
      </w:r>
    </w:p>
  </w:endnote>
  <w:endnote w:type="continuationSeparator" w:id="0">
    <w:p w14:paraId="197E3350" w14:textId="77777777" w:rsidR="00D54AA7" w:rsidRDefault="00D54AA7" w:rsidP="00D4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2262D" w14:textId="77777777" w:rsidR="00D54AA7" w:rsidRDefault="00D54AA7" w:rsidP="00D4633D">
      <w:r>
        <w:separator/>
      </w:r>
    </w:p>
  </w:footnote>
  <w:footnote w:type="continuationSeparator" w:id="0">
    <w:p w14:paraId="578F7FED" w14:textId="77777777" w:rsidR="00D54AA7" w:rsidRDefault="00D54AA7" w:rsidP="00D463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1D92E" w14:textId="77777777" w:rsidR="00D54AA7" w:rsidRDefault="00D54AA7">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67C4A" w:rsidRPr="00267C4A">
      <w:rPr>
        <w:b/>
        <w:noProof/>
      </w:rPr>
      <w:t>1</w:t>
    </w:r>
    <w:r>
      <w:rPr>
        <w:b/>
        <w:noProof/>
      </w:rPr>
      <w:fldChar w:fldCharType="end"/>
    </w:r>
  </w:p>
  <w:p w14:paraId="5F5595CC" w14:textId="77777777" w:rsidR="00D54AA7" w:rsidRDefault="00D54A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00D"/>
    <w:multiLevelType w:val="hybridMultilevel"/>
    <w:tmpl w:val="3064DEF0"/>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Aria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Aria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Aria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nsid w:val="09652705"/>
    <w:multiLevelType w:val="hybridMultilevel"/>
    <w:tmpl w:val="33EE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56223"/>
    <w:multiLevelType w:val="hybridMultilevel"/>
    <w:tmpl w:val="706C7C2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B671224"/>
    <w:multiLevelType w:val="hybridMultilevel"/>
    <w:tmpl w:val="84A41146"/>
    <w:lvl w:ilvl="0" w:tplc="E1B0B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C7C2F"/>
    <w:multiLevelType w:val="hybridMultilevel"/>
    <w:tmpl w:val="A5648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053CC6"/>
    <w:multiLevelType w:val="hybridMultilevel"/>
    <w:tmpl w:val="6694C1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6174226"/>
    <w:multiLevelType w:val="hybridMultilevel"/>
    <w:tmpl w:val="EFEA8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C846DA"/>
    <w:multiLevelType w:val="hybridMultilevel"/>
    <w:tmpl w:val="FB988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000333"/>
    <w:multiLevelType w:val="hybridMultilevel"/>
    <w:tmpl w:val="F9DE4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4C45DE5"/>
    <w:multiLevelType w:val="hybridMultilevel"/>
    <w:tmpl w:val="F19A2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6C80627"/>
    <w:multiLevelType w:val="hybridMultilevel"/>
    <w:tmpl w:val="91E46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4892F89"/>
    <w:multiLevelType w:val="hybridMultilevel"/>
    <w:tmpl w:val="8514E170"/>
    <w:lvl w:ilvl="0" w:tplc="17708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8EA1560"/>
    <w:multiLevelType w:val="hybridMultilevel"/>
    <w:tmpl w:val="8CD4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724691"/>
    <w:multiLevelType w:val="hybridMultilevel"/>
    <w:tmpl w:val="524EE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9D02A8"/>
    <w:multiLevelType w:val="hybridMultilevel"/>
    <w:tmpl w:val="1550E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5AF1EC3"/>
    <w:multiLevelType w:val="multilevel"/>
    <w:tmpl w:val="C782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6"/>
  </w:num>
  <w:num w:numId="6">
    <w:abstractNumId w:val="14"/>
  </w:num>
  <w:num w:numId="7">
    <w:abstractNumId w:val="0"/>
  </w:num>
  <w:num w:numId="8">
    <w:abstractNumId w:val="9"/>
  </w:num>
  <w:num w:numId="9">
    <w:abstractNumId w:val="15"/>
  </w:num>
  <w:num w:numId="10">
    <w:abstractNumId w:val="10"/>
  </w:num>
  <w:num w:numId="11">
    <w:abstractNumId w:val="8"/>
  </w:num>
  <w:num w:numId="12">
    <w:abstractNumId w:val="3"/>
  </w:num>
  <w:num w:numId="13">
    <w:abstractNumId w:val="11"/>
  </w:num>
  <w:num w:numId="14">
    <w:abstractNumId w:val="12"/>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73"/>
    <w:rsid w:val="00004F03"/>
    <w:rsid w:val="00050CED"/>
    <w:rsid w:val="00071576"/>
    <w:rsid w:val="00073D1E"/>
    <w:rsid w:val="000B6BD9"/>
    <w:rsid w:val="000C3373"/>
    <w:rsid w:val="000F2EBE"/>
    <w:rsid w:val="00134C96"/>
    <w:rsid w:val="00140B6C"/>
    <w:rsid w:val="001525D2"/>
    <w:rsid w:val="00185DE5"/>
    <w:rsid w:val="00191619"/>
    <w:rsid w:val="0019515D"/>
    <w:rsid w:val="0019573D"/>
    <w:rsid w:val="001E6107"/>
    <w:rsid w:val="001F2008"/>
    <w:rsid w:val="00213ED8"/>
    <w:rsid w:val="002321C9"/>
    <w:rsid w:val="002450F4"/>
    <w:rsid w:val="00267C4A"/>
    <w:rsid w:val="002A4B2E"/>
    <w:rsid w:val="002C363D"/>
    <w:rsid w:val="002E0E05"/>
    <w:rsid w:val="00356370"/>
    <w:rsid w:val="00367E5C"/>
    <w:rsid w:val="003E7F2B"/>
    <w:rsid w:val="00401597"/>
    <w:rsid w:val="00466290"/>
    <w:rsid w:val="00470F96"/>
    <w:rsid w:val="004A2188"/>
    <w:rsid w:val="004E50CB"/>
    <w:rsid w:val="004F449C"/>
    <w:rsid w:val="004F5375"/>
    <w:rsid w:val="00520A25"/>
    <w:rsid w:val="005467EC"/>
    <w:rsid w:val="00570255"/>
    <w:rsid w:val="0057335D"/>
    <w:rsid w:val="005F5C56"/>
    <w:rsid w:val="00604E0E"/>
    <w:rsid w:val="006269A1"/>
    <w:rsid w:val="0065386E"/>
    <w:rsid w:val="00660A40"/>
    <w:rsid w:val="00665F42"/>
    <w:rsid w:val="006F2BCF"/>
    <w:rsid w:val="00701B97"/>
    <w:rsid w:val="007543CE"/>
    <w:rsid w:val="0077469B"/>
    <w:rsid w:val="00782E35"/>
    <w:rsid w:val="007C2295"/>
    <w:rsid w:val="007C4972"/>
    <w:rsid w:val="007D19FB"/>
    <w:rsid w:val="007F11BE"/>
    <w:rsid w:val="00804AC1"/>
    <w:rsid w:val="008138C7"/>
    <w:rsid w:val="008143BD"/>
    <w:rsid w:val="008349A6"/>
    <w:rsid w:val="008433B8"/>
    <w:rsid w:val="00845FA7"/>
    <w:rsid w:val="008524C1"/>
    <w:rsid w:val="00895FCA"/>
    <w:rsid w:val="008B2293"/>
    <w:rsid w:val="008B75B2"/>
    <w:rsid w:val="008D0291"/>
    <w:rsid w:val="008D5975"/>
    <w:rsid w:val="009139C5"/>
    <w:rsid w:val="009159FD"/>
    <w:rsid w:val="00923EE2"/>
    <w:rsid w:val="009266DA"/>
    <w:rsid w:val="009807A6"/>
    <w:rsid w:val="0099074C"/>
    <w:rsid w:val="009A6C11"/>
    <w:rsid w:val="009C23B1"/>
    <w:rsid w:val="009E2930"/>
    <w:rsid w:val="00A0119B"/>
    <w:rsid w:val="00A3618C"/>
    <w:rsid w:val="00A37982"/>
    <w:rsid w:val="00AD4E75"/>
    <w:rsid w:val="00B03021"/>
    <w:rsid w:val="00B20FD5"/>
    <w:rsid w:val="00BC77F8"/>
    <w:rsid w:val="00C52129"/>
    <w:rsid w:val="00C55281"/>
    <w:rsid w:val="00C7156C"/>
    <w:rsid w:val="00CC7548"/>
    <w:rsid w:val="00CF1FDB"/>
    <w:rsid w:val="00D4633D"/>
    <w:rsid w:val="00D54AA7"/>
    <w:rsid w:val="00D62EE0"/>
    <w:rsid w:val="00D710F7"/>
    <w:rsid w:val="00D91A45"/>
    <w:rsid w:val="00E24FD2"/>
    <w:rsid w:val="00EB3FBE"/>
    <w:rsid w:val="00EC59FE"/>
    <w:rsid w:val="00ED04F9"/>
    <w:rsid w:val="00F03C46"/>
    <w:rsid w:val="00F37664"/>
    <w:rsid w:val="00FC7C58"/>
    <w:rsid w:val="00FD2476"/>
    <w:rsid w:val="00FF57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8B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8138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3373"/>
    <w:rPr>
      <w:color w:val="0000FF"/>
      <w:u w:val="single"/>
    </w:rPr>
  </w:style>
  <w:style w:type="paragraph" w:styleId="BalloonText">
    <w:name w:val="Balloon Text"/>
    <w:basedOn w:val="Normal"/>
    <w:semiHidden/>
    <w:rsid w:val="00223AB0"/>
    <w:rPr>
      <w:rFonts w:ascii="Tahoma" w:hAnsi="Tahoma" w:cs="Tahoma"/>
      <w:sz w:val="16"/>
      <w:szCs w:val="16"/>
    </w:rPr>
  </w:style>
  <w:style w:type="table" w:styleId="TableGrid">
    <w:name w:val="Table Grid"/>
    <w:basedOn w:val="TableNormal"/>
    <w:rsid w:val="00F2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F111DB"/>
    <w:rPr>
      <w:color w:val="800080"/>
      <w:u w:val="single"/>
    </w:rPr>
  </w:style>
  <w:style w:type="paragraph" w:styleId="ListParagraph">
    <w:name w:val="List Paragraph"/>
    <w:basedOn w:val="Normal"/>
    <w:uiPriority w:val="34"/>
    <w:qFormat/>
    <w:rsid w:val="00C7156C"/>
    <w:pPr>
      <w:ind w:left="720"/>
      <w:contextualSpacing/>
    </w:pPr>
  </w:style>
  <w:style w:type="character" w:styleId="CommentReference">
    <w:name w:val="annotation reference"/>
    <w:basedOn w:val="DefaultParagraphFont"/>
    <w:rsid w:val="00F37664"/>
    <w:rPr>
      <w:sz w:val="16"/>
      <w:szCs w:val="16"/>
    </w:rPr>
  </w:style>
  <w:style w:type="paragraph" w:styleId="CommentText">
    <w:name w:val="annotation text"/>
    <w:basedOn w:val="Normal"/>
    <w:link w:val="CommentTextChar"/>
    <w:rsid w:val="00F37664"/>
    <w:rPr>
      <w:sz w:val="20"/>
      <w:szCs w:val="20"/>
    </w:rPr>
  </w:style>
  <w:style w:type="character" w:customStyle="1" w:styleId="CommentTextChar">
    <w:name w:val="Comment Text Char"/>
    <w:basedOn w:val="DefaultParagraphFont"/>
    <w:link w:val="CommentText"/>
    <w:rsid w:val="00F37664"/>
  </w:style>
  <w:style w:type="paragraph" w:styleId="CommentSubject">
    <w:name w:val="annotation subject"/>
    <w:basedOn w:val="CommentText"/>
    <w:next w:val="CommentText"/>
    <w:link w:val="CommentSubjectChar"/>
    <w:rsid w:val="00F37664"/>
    <w:rPr>
      <w:b/>
      <w:bCs/>
    </w:rPr>
  </w:style>
  <w:style w:type="character" w:customStyle="1" w:styleId="CommentSubjectChar">
    <w:name w:val="Comment Subject Char"/>
    <w:basedOn w:val="CommentTextChar"/>
    <w:link w:val="CommentSubject"/>
    <w:rsid w:val="00F37664"/>
    <w:rPr>
      <w:b/>
      <w:bCs/>
    </w:rPr>
  </w:style>
  <w:style w:type="paragraph" w:styleId="Header">
    <w:name w:val="header"/>
    <w:basedOn w:val="Normal"/>
    <w:link w:val="HeaderChar"/>
    <w:uiPriority w:val="99"/>
    <w:rsid w:val="00D4633D"/>
    <w:pPr>
      <w:tabs>
        <w:tab w:val="center" w:pos="4680"/>
        <w:tab w:val="right" w:pos="9360"/>
      </w:tabs>
    </w:pPr>
  </w:style>
  <w:style w:type="character" w:customStyle="1" w:styleId="HeaderChar">
    <w:name w:val="Header Char"/>
    <w:basedOn w:val="DefaultParagraphFont"/>
    <w:link w:val="Header"/>
    <w:uiPriority w:val="99"/>
    <w:rsid w:val="00D4633D"/>
    <w:rPr>
      <w:sz w:val="24"/>
      <w:szCs w:val="24"/>
    </w:rPr>
  </w:style>
  <w:style w:type="paragraph" w:styleId="Footer">
    <w:name w:val="footer"/>
    <w:basedOn w:val="Normal"/>
    <w:link w:val="FooterChar"/>
    <w:rsid w:val="00D4633D"/>
    <w:pPr>
      <w:tabs>
        <w:tab w:val="center" w:pos="4680"/>
        <w:tab w:val="right" w:pos="9360"/>
      </w:tabs>
    </w:pPr>
  </w:style>
  <w:style w:type="character" w:customStyle="1" w:styleId="FooterChar">
    <w:name w:val="Footer Char"/>
    <w:basedOn w:val="DefaultParagraphFont"/>
    <w:link w:val="Footer"/>
    <w:rsid w:val="00D4633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8138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3373"/>
    <w:rPr>
      <w:color w:val="0000FF"/>
      <w:u w:val="single"/>
    </w:rPr>
  </w:style>
  <w:style w:type="paragraph" w:styleId="BalloonText">
    <w:name w:val="Balloon Text"/>
    <w:basedOn w:val="Normal"/>
    <w:semiHidden/>
    <w:rsid w:val="00223AB0"/>
    <w:rPr>
      <w:rFonts w:ascii="Tahoma" w:hAnsi="Tahoma" w:cs="Tahoma"/>
      <w:sz w:val="16"/>
      <w:szCs w:val="16"/>
    </w:rPr>
  </w:style>
  <w:style w:type="table" w:styleId="TableGrid">
    <w:name w:val="Table Grid"/>
    <w:basedOn w:val="TableNormal"/>
    <w:rsid w:val="00F2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F111DB"/>
    <w:rPr>
      <w:color w:val="800080"/>
      <w:u w:val="single"/>
    </w:rPr>
  </w:style>
  <w:style w:type="paragraph" w:styleId="ListParagraph">
    <w:name w:val="List Paragraph"/>
    <w:basedOn w:val="Normal"/>
    <w:uiPriority w:val="34"/>
    <w:qFormat/>
    <w:rsid w:val="00C7156C"/>
    <w:pPr>
      <w:ind w:left="720"/>
      <w:contextualSpacing/>
    </w:pPr>
  </w:style>
  <w:style w:type="character" w:styleId="CommentReference">
    <w:name w:val="annotation reference"/>
    <w:basedOn w:val="DefaultParagraphFont"/>
    <w:rsid w:val="00F37664"/>
    <w:rPr>
      <w:sz w:val="16"/>
      <w:szCs w:val="16"/>
    </w:rPr>
  </w:style>
  <w:style w:type="paragraph" w:styleId="CommentText">
    <w:name w:val="annotation text"/>
    <w:basedOn w:val="Normal"/>
    <w:link w:val="CommentTextChar"/>
    <w:rsid w:val="00F37664"/>
    <w:rPr>
      <w:sz w:val="20"/>
      <w:szCs w:val="20"/>
    </w:rPr>
  </w:style>
  <w:style w:type="character" w:customStyle="1" w:styleId="CommentTextChar">
    <w:name w:val="Comment Text Char"/>
    <w:basedOn w:val="DefaultParagraphFont"/>
    <w:link w:val="CommentText"/>
    <w:rsid w:val="00F37664"/>
  </w:style>
  <w:style w:type="paragraph" w:styleId="CommentSubject">
    <w:name w:val="annotation subject"/>
    <w:basedOn w:val="CommentText"/>
    <w:next w:val="CommentText"/>
    <w:link w:val="CommentSubjectChar"/>
    <w:rsid w:val="00F37664"/>
    <w:rPr>
      <w:b/>
      <w:bCs/>
    </w:rPr>
  </w:style>
  <w:style w:type="character" w:customStyle="1" w:styleId="CommentSubjectChar">
    <w:name w:val="Comment Subject Char"/>
    <w:basedOn w:val="CommentTextChar"/>
    <w:link w:val="CommentSubject"/>
    <w:rsid w:val="00F37664"/>
    <w:rPr>
      <w:b/>
      <w:bCs/>
    </w:rPr>
  </w:style>
  <w:style w:type="paragraph" w:styleId="Header">
    <w:name w:val="header"/>
    <w:basedOn w:val="Normal"/>
    <w:link w:val="HeaderChar"/>
    <w:uiPriority w:val="99"/>
    <w:rsid w:val="00D4633D"/>
    <w:pPr>
      <w:tabs>
        <w:tab w:val="center" w:pos="4680"/>
        <w:tab w:val="right" w:pos="9360"/>
      </w:tabs>
    </w:pPr>
  </w:style>
  <w:style w:type="character" w:customStyle="1" w:styleId="HeaderChar">
    <w:name w:val="Header Char"/>
    <w:basedOn w:val="DefaultParagraphFont"/>
    <w:link w:val="Header"/>
    <w:uiPriority w:val="99"/>
    <w:rsid w:val="00D4633D"/>
    <w:rPr>
      <w:sz w:val="24"/>
      <w:szCs w:val="24"/>
    </w:rPr>
  </w:style>
  <w:style w:type="paragraph" w:styleId="Footer">
    <w:name w:val="footer"/>
    <w:basedOn w:val="Normal"/>
    <w:link w:val="FooterChar"/>
    <w:rsid w:val="00D4633D"/>
    <w:pPr>
      <w:tabs>
        <w:tab w:val="center" w:pos="4680"/>
        <w:tab w:val="right" w:pos="9360"/>
      </w:tabs>
    </w:pPr>
  </w:style>
  <w:style w:type="character" w:customStyle="1" w:styleId="FooterChar">
    <w:name w:val="Footer Char"/>
    <w:basedOn w:val="DefaultParagraphFont"/>
    <w:link w:val="Footer"/>
    <w:rsid w:val="00D463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cnl.org" TargetMode="External"/><Relationship Id="rId12" Type="http://schemas.openxmlformats.org/officeDocument/2006/relationships/hyperlink" Target="http://www.icnl.org" TargetMode="External"/><Relationship Id="rId13" Type="http://schemas.openxmlformats.org/officeDocument/2006/relationships/hyperlink" Target="http://www.thetrinityforum.org" TargetMode="External"/><Relationship Id="rId14" Type="http://schemas.openxmlformats.org/officeDocument/2006/relationships/hyperlink" Target="http://deanofstudents.gatech.eduHonor/"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ert.thomas@ile.gatech.edu" TargetMode="External"/><Relationship Id="rId9" Type="http://schemas.openxmlformats.org/officeDocument/2006/relationships/hyperlink" Target="http://www.icnl.org" TargetMode="External"/><Relationship Id="rId10" Type="http://schemas.openxmlformats.org/officeDocument/2006/relationships/hyperlink" Target="http://www.icn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992</Words>
  <Characters>5659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Systemic Leadership:  Understanding the environment for leadership</vt:lpstr>
    </vt:vector>
  </TitlesOfParts>
  <Company>Georgia Institute of Technology</Company>
  <LinksUpToDate>false</LinksUpToDate>
  <CharactersWithSpaces>6638</CharactersWithSpaces>
  <SharedDoc>false</SharedDoc>
  <HLinks>
    <vt:vector size="42" baseType="variant">
      <vt:variant>
        <vt:i4>2818087</vt:i4>
      </vt:variant>
      <vt:variant>
        <vt:i4>18</vt:i4>
      </vt:variant>
      <vt:variant>
        <vt:i4>0</vt:i4>
      </vt:variant>
      <vt:variant>
        <vt:i4>5</vt:i4>
      </vt:variant>
      <vt:variant>
        <vt:lpwstr>http://deanofstudents.gatech.eduhonor/</vt:lpwstr>
      </vt:variant>
      <vt:variant>
        <vt:lpwstr/>
      </vt:variant>
      <vt:variant>
        <vt:i4>2752551</vt:i4>
      </vt:variant>
      <vt:variant>
        <vt:i4>15</vt:i4>
      </vt:variant>
      <vt:variant>
        <vt:i4>0</vt:i4>
      </vt:variant>
      <vt:variant>
        <vt:i4>5</vt:i4>
      </vt:variant>
      <vt:variant>
        <vt:lpwstr>http://www.amazon.com/</vt:lpwstr>
      </vt:variant>
      <vt:variant>
        <vt:lpwstr/>
      </vt:variant>
      <vt:variant>
        <vt:i4>4980758</vt:i4>
      </vt:variant>
      <vt:variant>
        <vt:i4>12</vt:i4>
      </vt:variant>
      <vt:variant>
        <vt:i4>0</vt:i4>
      </vt:variant>
      <vt:variant>
        <vt:i4>5</vt:i4>
      </vt:variant>
      <vt:variant>
        <vt:lpwstr>http://www.greenleaf.org/</vt:lpwstr>
      </vt:variant>
      <vt:variant>
        <vt:lpwstr/>
      </vt:variant>
      <vt:variant>
        <vt:i4>5111819</vt:i4>
      </vt:variant>
      <vt:variant>
        <vt:i4>9</vt:i4>
      </vt:variant>
      <vt:variant>
        <vt:i4>0</vt:i4>
      </vt:variant>
      <vt:variant>
        <vt:i4>5</vt:i4>
      </vt:variant>
      <vt:variant>
        <vt:lpwstr>http://www.study.net/</vt:lpwstr>
      </vt:variant>
      <vt:variant>
        <vt:lpwstr/>
      </vt:variant>
      <vt:variant>
        <vt:i4>4653133</vt:i4>
      </vt:variant>
      <vt:variant>
        <vt:i4>6</vt:i4>
      </vt:variant>
      <vt:variant>
        <vt:i4>0</vt:i4>
      </vt:variant>
      <vt:variant>
        <vt:i4>5</vt:i4>
      </vt:variant>
      <vt:variant>
        <vt:lpwstr>http://www.reflections.solonline.org/</vt:lpwstr>
      </vt:variant>
      <vt:variant>
        <vt:lpwstr/>
      </vt:variant>
      <vt:variant>
        <vt:i4>4653133</vt:i4>
      </vt:variant>
      <vt:variant>
        <vt:i4>3</vt:i4>
      </vt:variant>
      <vt:variant>
        <vt:i4>0</vt:i4>
      </vt:variant>
      <vt:variant>
        <vt:i4>5</vt:i4>
      </vt:variant>
      <vt:variant>
        <vt:lpwstr>http://www.reflections.solonline.org/</vt:lpwstr>
      </vt:variant>
      <vt:variant>
        <vt:lpwstr/>
      </vt:variant>
      <vt:variant>
        <vt:i4>7209029</vt:i4>
      </vt:variant>
      <vt:variant>
        <vt:i4>0</vt:i4>
      </vt:variant>
      <vt:variant>
        <vt:i4>0</vt:i4>
      </vt:variant>
      <vt:variant>
        <vt:i4>5</vt:i4>
      </vt:variant>
      <vt:variant>
        <vt:lpwstr>mailto:robert.thomas@ile.gatech.edu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Systemic Leadership:  Understanding the environment for leadership</dc:title>
  <dc:subject/>
  <dc:creator>College of Management</dc:creator>
  <cp:keywords/>
  <dc:description/>
  <cp:lastModifiedBy>Bob Thomas</cp:lastModifiedBy>
  <cp:revision>3</cp:revision>
  <cp:lastPrinted>2011-04-28T17:57:00Z</cp:lastPrinted>
  <dcterms:created xsi:type="dcterms:W3CDTF">2011-06-26T10:00:00Z</dcterms:created>
  <dcterms:modified xsi:type="dcterms:W3CDTF">2011-06-26T10:04:00Z</dcterms:modified>
</cp:coreProperties>
</file>