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6E9B4" w14:textId="77777777" w:rsidR="00C404C5" w:rsidRPr="00C32FB5" w:rsidRDefault="009E5D05" w:rsidP="00DB7537">
      <w:pPr>
        <w:jc w:val="center"/>
        <w:rPr>
          <w:rStyle w:val="text101"/>
          <w:rFonts w:ascii="Times New Roman" w:hAnsi="Times New Roman"/>
          <w:b/>
          <w:sz w:val="24"/>
          <w:szCs w:val="24"/>
          <w:lang w:val="en-US"/>
        </w:rPr>
      </w:pPr>
      <w:r w:rsidRPr="00C32FB5">
        <w:rPr>
          <w:rStyle w:val="text101"/>
          <w:rFonts w:ascii="Times New Roman" w:hAnsi="Times New Roman"/>
          <w:b/>
          <w:sz w:val="24"/>
          <w:szCs w:val="24"/>
          <w:lang w:val="en-US"/>
        </w:rPr>
        <w:t>MEDIA AND POWER IN LATIN AMERICA</w:t>
      </w:r>
    </w:p>
    <w:p w14:paraId="15E079BB" w14:textId="0E8A7989" w:rsidR="00994E8D" w:rsidRDefault="00EF2AF1" w:rsidP="00BA6EFA">
      <w:pPr>
        <w:jc w:val="center"/>
        <w:rPr>
          <w:rStyle w:val="text101"/>
          <w:rFonts w:ascii="Times New Roman" w:hAnsi="Times New Roman"/>
          <w:b/>
          <w:sz w:val="24"/>
          <w:szCs w:val="24"/>
          <w:lang w:val="en-US"/>
        </w:rPr>
      </w:pPr>
      <w:r>
        <w:rPr>
          <w:rStyle w:val="text101"/>
          <w:rFonts w:ascii="Times New Roman" w:hAnsi="Times New Roman"/>
          <w:b/>
          <w:sz w:val="24"/>
          <w:szCs w:val="24"/>
          <w:lang w:val="en-US"/>
        </w:rPr>
        <w:t xml:space="preserve">SPAN </w:t>
      </w:r>
      <w:r w:rsidR="00922E3B">
        <w:rPr>
          <w:rStyle w:val="text101"/>
          <w:rFonts w:ascii="Times New Roman" w:hAnsi="Times New Roman"/>
          <w:b/>
          <w:sz w:val="24"/>
          <w:szCs w:val="24"/>
          <w:lang w:val="en-US"/>
        </w:rPr>
        <w:t>4</w:t>
      </w:r>
      <w:r w:rsidR="00BA6EFA">
        <w:rPr>
          <w:rStyle w:val="text101"/>
          <w:rFonts w:ascii="Times New Roman" w:hAnsi="Times New Roman"/>
          <w:b/>
          <w:sz w:val="24"/>
          <w:szCs w:val="24"/>
          <w:lang w:val="en-US"/>
        </w:rPr>
        <w:t>410/6410</w:t>
      </w:r>
    </w:p>
    <w:p w14:paraId="287D0C4D" w14:textId="77777777" w:rsidR="00E52B12" w:rsidRDefault="00E52B12" w:rsidP="00E52B12">
      <w:pPr>
        <w:rPr>
          <w:rStyle w:val="text101"/>
          <w:rFonts w:ascii="Times New Roman" w:hAnsi="Times New Roman"/>
          <w:b/>
          <w:sz w:val="24"/>
          <w:szCs w:val="24"/>
          <w:lang w:val="en-US"/>
        </w:rPr>
      </w:pPr>
    </w:p>
    <w:p w14:paraId="143A1802" w14:textId="77777777" w:rsidR="00E52B12" w:rsidRPr="00922E3B" w:rsidRDefault="00E52B12" w:rsidP="00E52B12">
      <w:pPr>
        <w:rPr>
          <w:lang w:val="en-US"/>
        </w:rPr>
      </w:pPr>
      <w:r w:rsidRPr="00922E3B">
        <w:rPr>
          <w:lang w:val="en-US"/>
        </w:rPr>
        <w:t>Professor: Dr. Paul Alonso</w:t>
      </w:r>
    </w:p>
    <w:p w14:paraId="509C84D3" w14:textId="77777777" w:rsidR="00E52B12" w:rsidRPr="00922E3B" w:rsidRDefault="00E52B12" w:rsidP="00E52B12">
      <w:pPr>
        <w:rPr>
          <w:lang w:val="en-US"/>
        </w:rPr>
      </w:pPr>
      <w:r w:rsidRPr="00922E3B">
        <w:rPr>
          <w:lang w:val="en-US"/>
        </w:rPr>
        <w:t>Office: Swann 217</w:t>
      </w:r>
    </w:p>
    <w:p w14:paraId="675AFBDC" w14:textId="77777777" w:rsidR="00E52B12" w:rsidRPr="00922E3B" w:rsidRDefault="00E52B12" w:rsidP="00E52B12">
      <w:pPr>
        <w:rPr>
          <w:lang w:val="it-IT"/>
        </w:rPr>
      </w:pPr>
      <w:r w:rsidRPr="00922E3B">
        <w:rPr>
          <w:lang w:val="it-IT"/>
        </w:rPr>
        <w:t>E-mail: paul.alonso@modlangs.gatech.edu</w:t>
      </w:r>
    </w:p>
    <w:p w14:paraId="4014F0CF" w14:textId="77777777" w:rsidR="00ED5AD6" w:rsidRPr="00922E3B" w:rsidRDefault="00ED5AD6" w:rsidP="009E5D05">
      <w:pPr>
        <w:rPr>
          <w:rFonts w:eastAsia="MS Mincho"/>
          <w:b/>
          <w:bCs/>
          <w:lang w:val="it-IT"/>
        </w:rPr>
      </w:pPr>
    </w:p>
    <w:p w14:paraId="7E67073E" w14:textId="5D15AA6E" w:rsidR="009E5D05" w:rsidRPr="00C32FB5" w:rsidRDefault="009E5D05" w:rsidP="009E5D05">
      <w:pPr>
        <w:rPr>
          <w:rFonts w:eastAsia="MS Mincho"/>
          <w:lang w:val="en-US"/>
        </w:rPr>
      </w:pPr>
      <w:r w:rsidRPr="009E5D05">
        <w:rPr>
          <w:rFonts w:eastAsia="MS Mincho"/>
          <w:b/>
          <w:bCs/>
          <w:lang w:val="en-US"/>
        </w:rPr>
        <w:t>Description:</w:t>
      </w:r>
      <w:r w:rsidRPr="00C32FB5">
        <w:rPr>
          <w:rFonts w:eastAsia="MS Mincho"/>
          <w:lang w:val="en-US"/>
        </w:rPr>
        <w:t> What is the role of the media and journalism in L</w:t>
      </w:r>
      <w:r w:rsidR="00EF2AF1">
        <w:rPr>
          <w:rFonts w:eastAsia="MS Mincho"/>
          <w:lang w:val="en-US"/>
        </w:rPr>
        <w:t>atin American democratic societies</w:t>
      </w:r>
      <w:r w:rsidRPr="00C32FB5">
        <w:rPr>
          <w:rFonts w:eastAsia="MS Mincho"/>
          <w:lang w:val="en-US"/>
        </w:rPr>
        <w:t>? After the military dictatorships of the 70s and the wave of democratization in the region during the 8</w:t>
      </w:r>
      <w:r w:rsidR="00EF2AF1">
        <w:rPr>
          <w:rFonts w:eastAsia="MS Mincho"/>
          <w:lang w:val="en-US"/>
        </w:rPr>
        <w:t>0s, what were the challenges to develop</w:t>
      </w:r>
      <w:r w:rsidRPr="00C32FB5">
        <w:rPr>
          <w:rFonts w:eastAsia="MS Mincho"/>
          <w:lang w:val="en-US"/>
        </w:rPr>
        <w:t xml:space="preserve"> a watchdog press that informs the ci</w:t>
      </w:r>
      <w:r w:rsidR="00EF2AF1">
        <w:rPr>
          <w:rFonts w:eastAsia="MS Mincho"/>
          <w:lang w:val="en-US"/>
        </w:rPr>
        <w:t>tizens and keeps power accountable</w:t>
      </w:r>
      <w:r w:rsidRPr="00C32FB5">
        <w:rPr>
          <w:rFonts w:eastAsia="MS Mincho"/>
          <w:lang w:val="en-US"/>
        </w:rPr>
        <w:t xml:space="preserve">? This course explores the tensions among the commercial nature of </w:t>
      </w:r>
      <w:r w:rsidR="00975F94">
        <w:rPr>
          <w:rFonts w:eastAsia="MS Mincho"/>
          <w:lang w:val="en-US"/>
        </w:rPr>
        <w:t xml:space="preserve">private </w:t>
      </w:r>
      <w:r w:rsidRPr="00C32FB5">
        <w:rPr>
          <w:rFonts w:eastAsia="MS Mincho"/>
          <w:lang w:val="en-US"/>
        </w:rPr>
        <w:t>media companies, the government pressures, and the ideal public service eth</w:t>
      </w:r>
      <w:r w:rsidR="00EF2AF1">
        <w:rPr>
          <w:rFonts w:eastAsia="MS Mincho"/>
          <w:lang w:val="en-US"/>
        </w:rPr>
        <w:t>os of the press. It also analyzes</w:t>
      </w:r>
      <w:r w:rsidRPr="00C32FB5">
        <w:rPr>
          <w:rFonts w:eastAsia="MS Mincho"/>
          <w:lang w:val="en-US"/>
        </w:rPr>
        <w:t xml:space="preserve"> the constant struggle for freedom of the expression in the new realities of Latin American countries.</w:t>
      </w:r>
      <w:r w:rsidR="00ED5AD6">
        <w:rPr>
          <w:rFonts w:eastAsia="MS Mincho"/>
          <w:lang w:val="en-US"/>
        </w:rPr>
        <w:t xml:space="preserve"> The course will be conducted in Spanish. </w:t>
      </w:r>
    </w:p>
    <w:p w14:paraId="518DD1C1" w14:textId="77777777" w:rsidR="009E5D05" w:rsidRPr="009E5D05" w:rsidRDefault="009E5D05" w:rsidP="009E5D05">
      <w:pPr>
        <w:rPr>
          <w:rFonts w:eastAsia="MS Mincho"/>
          <w:lang w:val="en-US"/>
        </w:rPr>
      </w:pPr>
    </w:p>
    <w:p w14:paraId="48B4B93F" w14:textId="77777777" w:rsidR="009E5D05" w:rsidRPr="009E5D05" w:rsidRDefault="009E5D05" w:rsidP="009E5D05">
      <w:pPr>
        <w:rPr>
          <w:rFonts w:eastAsia="MS Mincho"/>
          <w:lang w:val="en-US"/>
        </w:rPr>
      </w:pPr>
      <w:r w:rsidRPr="009E5D05">
        <w:rPr>
          <w:rFonts w:eastAsia="MS Mincho"/>
          <w:lang w:val="en-US"/>
        </w:rPr>
        <w:t>Topics that will be covered include:</w:t>
      </w:r>
    </w:p>
    <w:p w14:paraId="58338173" w14:textId="77777777" w:rsidR="009E5D05" w:rsidRPr="009E5D05" w:rsidRDefault="009E5D05" w:rsidP="009E5D05">
      <w:pPr>
        <w:numPr>
          <w:ilvl w:val="0"/>
          <w:numId w:val="7"/>
        </w:numPr>
        <w:rPr>
          <w:rFonts w:eastAsia="MS Mincho"/>
          <w:lang w:val="en-US"/>
        </w:rPr>
      </w:pPr>
      <w:r w:rsidRPr="009E5D05">
        <w:rPr>
          <w:rFonts w:eastAsia="MS Mincho"/>
          <w:lang w:val="en-US"/>
        </w:rPr>
        <w:t>How the democratic wave in the region during the last quarter of the 20</w:t>
      </w:r>
      <w:r w:rsidRPr="009E5D05">
        <w:rPr>
          <w:rFonts w:eastAsia="MS Mincho"/>
          <w:vertAlign w:val="superscript"/>
          <w:lang w:val="en-US"/>
        </w:rPr>
        <w:t>th</w:t>
      </w:r>
      <w:r w:rsidRPr="009E5D05">
        <w:rPr>
          <w:rFonts w:eastAsia="MS Mincho"/>
          <w:lang w:val="en-US"/>
        </w:rPr>
        <w:t xml:space="preserve"> Century affected journalism in countries that for generations had been under dic</w:t>
      </w:r>
      <w:r w:rsidR="00EF2AF1">
        <w:rPr>
          <w:rFonts w:eastAsia="MS Mincho"/>
          <w:lang w:val="en-US"/>
        </w:rPr>
        <w:t>tatorship and strong censorship;</w:t>
      </w:r>
    </w:p>
    <w:p w14:paraId="4AF9F144" w14:textId="77777777" w:rsidR="009E5D05" w:rsidRPr="009E5D05" w:rsidRDefault="009E5D05" w:rsidP="009E5D05">
      <w:pPr>
        <w:numPr>
          <w:ilvl w:val="0"/>
          <w:numId w:val="7"/>
        </w:numPr>
        <w:rPr>
          <w:rFonts w:eastAsia="MS Mincho"/>
          <w:lang w:val="en-US"/>
        </w:rPr>
      </w:pPr>
      <w:r w:rsidRPr="009E5D05">
        <w:rPr>
          <w:rFonts w:eastAsia="MS Mincho"/>
          <w:lang w:val="en-US"/>
        </w:rPr>
        <w:t>The problem of violence against journalists in the hemisphere, especially in cases related to organized crime, drug trafficking</w:t>
      </w:r>
      <w:r w:rsidR="00EF2AF1">
        <w:rPr>
          <w:rFonts w:eastAsia="MS Mincho"/>
          <w:lang w:val="en-US"/>
        </w:rPr>
        <w:t xml:space="preserve"> and political motivated crimes;</w:t>
      </w:r>
    </w:p>
    <w:p w14:paraId="71A9AB65" w14:textId="77777777" w:rsidR="009E5D05" w:rsidRPr="009E5D05" w:rsidRDefault="009E5D05" w:rsidP="009E5D05">
      <w:pPr>
        <w:numPr>
          <w:ilvl w:val="0"/>
          <w:numId w:val="7"/>
        </w:numPr>
        <w:rPr>
          <w:rFonts w:eastAsia="MS Mincho"/>
          <w:lang w:val="en-US"/>
        </w:rPr>
      </w:pPr>
      <w:r w:rsidRPr="009E5D05">
        <w:rPr>
          <w:rFonts w:eastAsia="MS Mincho"/>
          <w:lang w:val="en-US"/>
        </w:rPr>
        <w:t>The impact of the Internet and other digital media on journalism and freedom of expression in the region;</w:t>
      </w:r>
    </w:p>
    <w:p w14:paraId="15213EE6" w14:textId="77777777" w:rsidR="009E5D05" w:rsidRPr="009E5D05" w:rsidRDefault="009E5D05" w:rsidP="009E5D05">
      <w:pPr>
        <w:numPr>
          <w:ilvl w:val="0"/>
          <w:numId w:val="7"/>
        </w:numPr>
        <w:rPr>
          <w:rFonts w:eastAsia="MS Mincho"/>
          <w:lang w:val="en-US"/>
        </w:rPr>
      </w:pPr>
      <w:r w:rsidRPr="009E5D05">
        <w:rPr>
          <w:rFonts w:eastAsia="MS Mincho"/>
          <w:lang w:val="en-US"/>
        </w:rPr>
        <w:t>How corruption, traditionally widespread in some countries, affects the practice of journalism;</w:t>
      </w:r>
    </w:p>
    <w:p w14:paraId="3776C51D" w14:textId="77777777" w:rsidR="009E5D05" w:rsidRPr="009E5D05" w:rsidRDefault="009E5D05" w:rsidP="009E5D05">
      <w:pPr>
        <w:numPr>
          <w:ilvl w:val="0"/>
          <w:numId w:val="7"/>
        </w:numPr>
        <w:rPr>
          <w:rFonts w:eastAsia="MS Mincho"/>
          <w:lang w:val="en-US"/>
        </w:rPr>
      </w:pPr>
      <w:r w:rsidRPr="009E5D05">
        <w:rPr>
          <w:rFonts w:eastAsia="MS Mincho"/>
          <w:lang w:val="en-US"/>
        </w:rPr>
        <w:t>The relations between the press and governments that do not understand or accept the role of independent journalism in a democracy;</w:t>
      </w:r>
    </w:p>
    <w:p w14:paraId="6274AEEB" w14:textId="77777777" w:rsidR="009E5D05" w:rsidRPr="009E5D05" w:rsidRDefault="009E5D05" w:rsidP="009E5D05">
      <w:pPr>
        <w:numPr>
          <w:ilvl w:val="0"/>
          <w:numId w:val="7"/>
        </w:numPr>
        <w:rPr>
          <w:rFonts w:eastAsia="MS Mincho"/>
          <w:lang w:val="en-US"/>
        </w:rPr>
      </w:pPr>
      <w:r w:rsidRPr="009E5D05">
        <w:rPr>
          <w:rFonts w:eastAsia="MS Mincho"/>
          <w:lang w:val="en-US"/>
        </w:rPr>
        <w:t>Media monopolies and c</w:t>
      </w:r>
      <w:r w:rsidR="00EF2AF1">
        <w:rPr>
          <w:rFonts w:eastAsia="MS Mincho"/>
          <w:lang w:val="en-US"/>
        </w:rPr>
        <w:t>oncentration of media ownership;</w:t>
      </w:r>
    </w:p>
    <w:p w14:paraId="31674EDB" w14:textId="77777777" w:rsidR="009E5D05" w:rsidRPr="009E5D05" w:rsidRDefault="009E5D05" w:rsidP="009E5D05">
      <w:pPr>
        <w:numPr>
          <w:ilvl w:val="0"/>
          <w:numId w:val="7"/>
        </w:numPr>
        <w:rPr>
          <w:rFonts w:eastAsia="MS Mincho"/>
          <w:lang w:val="en-US"/>
        </w:rPr>
      </w:pPr>
      <w:r w:rsidRPr="009E5D05">
        <w:rPr>
          <w:rFonts w:eastAsia="MS Mincho"/>
          <w:lang w:val="en-US"/>
        </w:rPr>
        <w:t>Alternative journalism</w:t>
      </w:r>
      <w:r w:rsidR="00EF2AF1">
        <w:rPr>
          <w:rFonts w:eastAsia="MS Mincho"/>
          <w:lang w:val="en-US"/>
        </w:rPr>
        <w:t>/media as social resistance</w:t>
      </w:r>
      <w:r w:rsidRPr="009E5D05">
        <w:rPr>
          <w:rFonts w:eastAsia="MS Mincho"/>
          <w:lang w:val="en-US"/>
        </w:rPr>
        <w:t xml:space="preserve">. </w:t>
      </w:r>
    </w:p>
    <w:p w14:paraId="6348E719" w14:textId="77777777" w:rsidR="009E5D05" w:rsidRPr="009E5D05" w:rsidRDefault="009E5D05" w:rsidP="009E5D05">
      <w:pPr>
        <w:rPr>
          <w:rFonts w:eastAsia="MS Mincho"/>
          <w:lang w:val="en-US"/>
        </w:rPr>
      </w:pPr>
    </w:p>
    <w:p w14:paraId="7ED6851E" w14:textId="19D9D52D" w:rsidR="009E5D05" w:rsidRDefault="00382BFE">
      <w:pPr>
        <w:rPr>
          <w:rFonts w:eastAsia="MS Mincho"/>
          <w:b/>
          <w:u w:val="single"/>
          <w:lang w:val="en-US"/>
        </w:rPr>
      </w:pPr>
      <w:r>
        <w:rPr>
          <w:rFonts w:eastAsia="MS Mincho"/>
          <w:b/>
          <w:u w:val="single"/>
          <w:lang w:val="en-US"/>
        </w:rPr>
        <w:t>Learning Outcomes</w:t>
      </w:r>
    </w:p>
    <w:p w14:paraId="286129A3" w14:textId="32871E45" w:rsidR="00BA6EFA" w:rsidRDefault="00BA6EFA">
      <w:pPr>
        <w:rPr>
          <w:rFonts w:eastAsia="MS Mincho"/>
          <w:b/>
          <w:u w:val="single"/>
          <w:lang w:val="en-US"/>
        </w:rPr>
      </w:pPr>
    </w:p>
    <w:p w14:paraId="04A0FE8F" w14:textId="11AB0B6D" w:rsidR="00BA6EFA" w:rsidRDefault="00BA6EFA">
      <w:pPr>
        <w:rPr>
          <w:rFonts w:eastAsia="MS Mincho"/>
          <w:b/>
          <w:u w:val="single"/>
          <w:lang w:val="en-US"/>
        </w:rPr>
      </w:pPr>
      <w:r>
        <w:rPr>
          <w:rFonts w:eastAsia="MS Mincho"/>
          <w:b/>
          <w:u w:val="single"/>
          <w:lang w:val="en-US"/>
        </w:rPr>
        <w:t>Students will</w:t>
      </w:r>
    </w:p>
    <w:p w14:paraId="06BDC457" w14:textId="77777777" w:rsidR="00EF2AF1" w:rsidRPr="009E5D05" w:rsidRDefault="00EF2AF1" w:rsidP="009E5D05">
      <w:pPr>
        <w:rPr>
          <w:rFonts w:eastAsia="MS Mincho"/>
          <w:b/>
          <w:u w:val="single"/>
          <w:lang w:val="en-US"/>
        </w:rPr>
      </w:pPr>
    </w:p>
    <w:p w14:paraId="3921FB92" w14:textId="2DBBB783" w:rsidR="009E5D05" w:rsidRPr="009E5D05" w:rsidRDefault="009E5D05" w:rsidP="009E5D05">
      <w:pPr>
        <w:numPr>
          <w:ilvl w:val="0"/>
          <w:numId w:val="8"/>
        </w:numPr>
        <w:rPr>
          <w:rFonts w:eastAsia="MS Mincho"/>
          <w:lang w:val="en-US"/>
        </w:rPr>
      </w:pPr>
      <w:r w:rsidRPr="009E5D05">
        <w:rPr>
          <w:rFonts w:eastAsia="MS Mincho"/>
          <w:lang w:val="en-US"/>
        </w:rPr>
        <w:t xml:space="preserve">analyze </w:t>
      </w:r>
      <w:r w:rsidR="00876329">
        <w:rPr>
          <w:rFonts w:eastAsia="MS Mincho"/>
          <w:lang w:val="en-US"/>
        </w:rPr>
        <w:t xml:space="preserve">media and </w:t>
      </w:r>
      <w:r w:rsidRPr="009E5D05">
        <w:rPr>
          <w:rFonts w:eastAsia="MS Mincho"/>
          <w:lang w:val="en-US"/>
        </w:rPr>
        <w:t xml:space="preserve">journalism in Latin American countries, including </w:t>
      </w:r>
      <w:r w:rsidR="00EF2AF1">
        <w:rPr>
          <w:rFonts w:eastAsia="MS Mincho"/>
          <w:lang w:val="en-US"/>
        </w:rPr>
        <w:t xml:space="preserve">the </w:t>
      </w:r>
      <w:r w:rsidRPr="009E5D05">
        <w:rPr>
          <w:rFonts w:eastAsia="MS Mincho"/>
          <w:lang w:val="en-US"/>
        </w:rPr>
        <w:t xml:space="preserve">cultural, political, economic and historical aspects </w:t>
      </w:r>
      <w:r w:rsidR="00EF2AF1">
        <w:rPr>
          <w:rFonts w:eastAsia="MS Mincho"/>
          <w:lang w:val="en-US"/>
        </w:rPr>
        <w:t>that shape the profession</w:t>
      </w:r>
    </w:p>
    <w:p w14:paraId="67BCF231" w14:textId="4CAFF968" w:rsidR="00EF2AF1" w:rsidRDefault="00BA6EFA" w:rsidP="00F66BFF">
      <w:pPr>
        <w:numPr>
          <w:ilvl w:val="0"/>
          <w:numId w:val="8"/>
        </w:numPr>
        <w:rPr>
          <w:rFonts w:eastAsia="MS Mincho"/>
          <w:lang w:val="en-US"/>
        </w:rPr>
      </w:pPr>
      <w:r>
        <w:rPr>
          <w:rFonts w:eastAsia="MS Mincho"/>
          <w:lang w:val="en-US"/>
        </w:rPr>
        <w:t>u</w:t>
      </w:r>
      <w:r w:rsidRPr="00EF2AF1">
        <w:rPr>
          <w:rFonts w:eastAsia="MS Mincho"/>
          <w:lang w:val="en-US"/>
        </w:rPr>
        <w:t xml:space="preserve">nderstand </w:t>
      </w:r>
      <w:r w:rsidR="009E5D05" w:rsidRPr="00EF2AF1">
        <w:rPr>
          <w:rFonts w:eastAsia="MS Mincho"/>
          <w:lang w:val="en-US"/>
        </w:rPr>
        <w:t xml:space="preserve">the evolution </w:t>
      </w:r>
      <w:r w:rsidR="00EF2AF1">
        <w:rPr>
          <w:rFonts w:eastAsia="MS Mincho"/>
          <w:lang w:val="en-US"/>
        </w:rPr>
        <w:t xml:space="preserve">and challenges </w:t>
      </w:r>
      <w:r w:rsidR="009E5D05" w:rsidRPr="00EF2AF1">
        <w:rPr>
          <w:rFonts w:eastAsia="MS Mincho"/>
          <w:lang w:val="en-US"/>
        </w:rPr>
        <w:t>of</w:t>
      </w:r>
      <w:r w:rsidR="00876329" w:rsidRPr="00EF2AF1">
        <w:rPr>
          <w:rFonts w:eastAsia="MS Mincho"/>
          <w:lang w:val="en-US"/>
        </w:rPr>
        <w:t xml:space="preserve"> media and</w:t>
      </w:r>
      <w:r w:rsidR="009E5D05" w:rsidRPr="00EF2AF1">
        <w:rPr>
          <w:rFonts w:eastAsia="MS Mincho"/>
          <w:lang w:val="en-US"/>
        </w:rPr>
        <w:t xml:space="preserve"> journalism in countries that have been struggling for democ</w:t>
      </w:r>
      <w:r w:rsidR="00EF2AF1">
        <w:rPr>
          <w:rFonts w:eastAsia="MS Mincho"/>
          <w:lang w:val="en-US"/>
        </w:rPr>
        <w:t>racy and freedom of expression</w:t>
      </w:r>
    </w:p>
    <w:p w14:paraId="56A4400E" w14:textId="14027433" w:rsidR="00E87094" w:rsidRPr="00EF2AF1" w:rsidRDefault="00BA6EFA" w:rsidP="00F66BFF">
      <w:pPr>
        <w:numPr>
          <w:ilvl w:val="0"/>
          <w:numId w:val="8"/>
        </w:numPr>
        <w:rPr>
          <w:rFonts w:eastAsia="MS Mincho"/>
          <w:lang w:val="en-US"/>
        </w:rPr>
      </w:pPr>
      <w:r>
        <w:rPr>
          <w:rFonts w:eastAsia="MS Mincho"/>
          <w:lang w:val="en-US"/>
        </w:rPr>
        <w:t>describe</w:t>
      </w:r>
      <w:r w:rsidRPr="00EF2AF1">
        <w:rPr>
          <w:rFonts w:eastAsia="MS Mincho"/>
          <w:lang w:val="en-US"/>
        </w:rPr>
        <w:t xml:space="preserve"> </w:t>
      </w:r>
      <w:r w:rsidR="009E5D05" w:rsidRPr="00EF2AF1">
        <w:rPr>
          <w:rFonts w:eastAsia="MS Mincho"/>
          <w:lang w:val="en-US"/>
        </w:rPr>
        <w:t>the importance of the</w:t>
      </w:r>
      <w:r w:rsidR="00876329" w:rsidRPr="00EF2AF1">
        <w:rPr>
          <w:rFonts w:eastAsia="MS Mincho"/>
          <w:lang w:val="en-US"/>
        </w:rPr>
        <w:t xml:space="preserve"> media and the</w:t>
      </w:r>
      <w:r w:rsidR="009E5D05" w:rsidRPr="00EF2AF1">
        <w:rPr>
          <w:rFonts w:eastAsia="MS Mincho"/>
          <w:lang w:val="en-US"/>
        </w:rPr>
        <w:t xml:space="preserve"> press and its role in a democratic society, as part of its checks and balances, and how the Digital Revolution is affecting journalism and its role in a democracy</w:t>
      </w:r>
    </w:p>
    <w:p w14:paraId="763A3565" w14:textId="25E55223" w:rsidR="00876329" w:rsidRDefault="00876329">
      <w:pPr>
        <w:numPr>
          <w:ilvl w:val="0"/>
          <w:numId w:val="8"/>
        </w:numPr>
        <w:rPr>
          <w:rFonts w:eastAsia="MS Mincho"/>
          <w:lang w:val="en-US"/>
        </w:rPr>
      </w:pPr>
      <w:r w:rsidRPr="00E87094">
        <w:rPr>
          <w:rFonts w:eastAsia="MS Mincho"/>
          <w:lang w:val="en-US"/>
        </w:rPr>
        <w:t>demon</w:t>
      </w:r>
      <w:r w:rsidR="00E87094">
        <w:rPr>
          <w:rFonts w:eastAsia="MS Mincho"/>
          <w:lang w:val="en-US"/>
        </w:rPr>
        <w:t>strate oral proficiency at the i</w:t>
      </w:r>
      <w:r w:rsidRPr="00E87094">
        <w:rPr>
          <w:rFonts w:eastAsia="MS Mincho"/>
          <w:lang w:val="en-US"/>
        </w:rPr>
        <w:t>ntermediate</w:t>
      </w:r>
      <w:r w:rsidR="00E87094">
        <w:rPr>
          <w:rFonts w:eastAsia="MS Mincho"/>
          <w:lang w:val="en-US"/>
        </w:rPr>
        <w:t xml:space="preserve"> h</w:t>
      </w:r>
      <w:r w:rsidRPr="00E87094">
        <w:rPr>
          <w:rFonts w:eastAsia="MS Mincho"/>
          <w:lang w:val="en-US"/>
        </w:rPr>
        <w:t xml:space="preserve">igh level or higher, </w:t>
      </w:r>
      <w:r w:rsidR="00BA6EFA">
        <w:rPr>
          <w:rFonts w:eastAsia="MS Mincho"/>
          <w:lang w:val="en-US"/>
        </w:rPr>
        <w:t>able</w:t>
      </w:r>
      <w:r w:rsidR="00BA6EFA" w:rsidRPr="00E87094">
        <w:rPr>
          <w:rFonts w:eastAsia="MS Mincho"/>
          <w:lang w:val="en-US"/>
        </w:rPr>
        <w:t xml:space="preserve"> </w:t>
      </w:r>
      <w:r w:rsidRPr="00E87094">
        <w:rPr>
          <w:rFonts w:eastAsia="MS Mincho"/>
          <w:lang w:val="en-US"/>
        </w:rPr>
        <w:t xml:space="preserve">to present and engage audiences, </w:t>
      </w:r>
      <w:r w:rsidR="00BA6EFA">
        <w:rPr>
          <w:rFonts w:eastAsia="MS Mincho"/>
          <w:lang w:val="en-US"/>
        </w:rPr>
        <w:t xml:space="preserve">to engage in </w:t>
      </w:r>
      <w:r w:rsidRPr="00E87094">
        <w:rPr>
          <w:rFonts w:eastAsia="MS Mincho"/>
          <w:lang w:val="en-US"/>
        </w:rPr>
        <w:t xml:space="preserve">reflective and research writing, and </w:t>
      </w:r>
      <w:r w:rsidR="00BA6EFA">
        <w:rPr>
          <w:rFonts w:eastAsia="MS Mincho"/>
          <w:lang w:val="en-US"/>
        </w:rPr>
        <w:t>able</w:t>
      </w:r>
      <w:r w:rsidRPr="00E87094">
        <w:rPr>
          <w:rFonts w:eastAsia="MS Mincho"/>
          <w:lang w:val="en-US"/>
        </w:rPr>
        <w:t xml:space="preserve"> to understand</w:t>
      </w:r>
      <w:r w:rsidR="00BA6EFA">
        <w:rPr>
          <w:rFonts w:eastAsia="MS Mincho"/>
          <w:lang w:val="en-US"/>
        </w:rPr>
        <w:t>,</w:t>
      </w:r>
      <w:r w:rsidRPr="00E87094">
        <w:rPr>
          <w:rFonts w:eastAsia="MS Mincho"/>
          <w:lang w:val="en-US"/>
        </w:rPr>
        <w:t xml:space="preserve"> analyze and interpret authentic media texts</w:t>
      </w:r>
    </w:p>
    <w:p w14:paraId="5ABCEBB3" w14:textId="3B0D35D1" w:rsidR="00DA7B95" w:rsidRPr="00DA7B95" w:rsidRDefault="00DA7B95" w:rsidP="00DA7B95">
      <w:pPr>
        <w:pStyle w:val="ListParagraph"/>
        <w:numPr>
          <w:ilvl w:val="0"/>
          <w:numId w:val="8"/>
        </w:numPr>
        <w:spacing w:after="160" w:line="259" w:lineRule="auto"/>
        <w:rPr>
          <w:lang w:val="en-US"/>
        </w:rPr>
      </w:pPr>
      <w:r>
        <w:rPr>
          <w:rFonts w:eastAsiaTheme="minorEastAsia"/>
          <w:lang w:val="en-US"/>
        </w:rPr>
        <w:lastRenderedPageBreak/>
        <w:t>w</w:t>
      </w:r>
      <w:r w:rsidRPr="00DA7B95">
        <w:rPr>
          <w:rFonts w:eastAsiaTheme="minorEastAsia"/>
          <w:lang w:val="en-US"/>
        </w:rPr>
        <w:t>ork in a global context grounded upon a theoretically informed and comparative understanding of languages, me</w:t>
      </w:r>
      <w:r>
        <w:rPr>
          <w:rFonts w:eastAsiaTheme="minorEastAsia"/>
          <w:lang w:val="en-US"/>
        </w:rPr>
        <w:t>dia, cultures, and technologies</w:t>
      </w:r>
    </w:p>
    <w:p w14:paraId="698CD464" w14:textId="77777777" w:rsidR="00DA7B95" w:rsidRPr="00E87094" w:rsidRDefault="00DA7B95" w:rsidP="00DA7B95">
      <w:pPr>
        <w:ind w:left="720"/>
        <w:rPr>
          <w:rFonts w:eastAsia="MS Mincho"/>
          <w:lang w:val="en-US"/>
        </w:rPr>
      </w:pPr>
    </w:p>
    <w:p w14:paraId="29E623E7" w14:textId="77777777" w:rsidR="00975F94" w:rsidRDefault="00975F94" w:rsidP="009E5D05">
      <w:pPr>
        <w:rPr>
          <w:rFonts w:eastAsia="MS Mincho"/>
          <w:lang w:val="en-US"/>
        </w:rPr>
      </w:pPr>
    </w:p>
    <w:p w14:paraId="7CFC2011" w14:textId="77777777" w:rsidR="00975F94" w:rsidRDefault="00975F94" w:rsidP="009E5D05">
      <w:pPr>
        <w:rPr>
          <w:rFonts w:eastAsia="MS Mincho"/>
          <w:lang w:val="en-US"/>
        </w:rPr>
      </w:pPr>
    </w:p>
    <w:p w14:paraId="7208F49D" w14:textId="77777777" w:rsidR="00975F94" w:rsidRPr="008C7BE0" w:rsidRDefault="00975F94" w:rsidP="00975F94">
      <w:pPr>
        <w:rPr>
          <w:b/>
          <w:lang w:val="en-US"/>
        </w:rPr>
      </w:pPr>
      <w:r w:rsidRPr="008C7BE0">
        <w:rPr>
          <w:b/>
          <w:lang w:val="en-US"/>
        </w:rPr>
        <w:t>EVALUATION</w:t>
      </w:r>
    </w:p>
    <w:p w14:paraId="5C9D282A" w14:textId="77777777" w:rsidR="00975F94" w:rsidRPr="008C7BE0" w:rsidRDefault="00975F94" w:rsidP="00975F94">
      <w:pPr>
        <w:rPr>
          <w:b/>
          <w:lang w:val="en-US"/>
        </w:rPr>
      </w:pPr>
    </w:p>
    <w:p w14:paraId="141ABA4A" w14:textId="77777777" w:rsidR="00975F94" w:rsidRPr="008C7BE0" w:rsidRDefault="00975F94" w:rsidP="00975F94">
      <w:pPr>
        <w:rPr>
          <w:lang w:val="en-US"/>
        </w:rPr>
      </w:pPr>
      <w:r w:rsidRPr="008C7BE0">
        <w:rPr>
          <w:lang w:val="en-US"/>
        </w:rPr>
        <w:t>Participation: 10%</w:t>
      </w:r>
    </w:p>
    <w:p w14:paraId="606952FE" w14:textId="77777777" w:rsidR="00975F94" w:rsidRPr="008C7BE0" w:rsidRDefault="00975F94" w:rsidP="00975F94">
      <w:pPr>
        <w:rPr>
          <w:lang w:val="en-US"/>
        </w:rPr>
      </w:pPr>
      <w:r w:rsidRPr="008C7BE0">
        <w:rPr>
          <w:lang w:val="en-US"/>
        </w:rPr>
        <w:t>Writing assignments (</w:t>
      </w:r>
      <w:r>
        <w:rPr>
          <w:lang w:val="en-US"/>
        </w:rPr>
        <w:t>2</w:t>
      </w:r>
      <w:r w:rsidRPr="008C7BE0">
        <w:rPr>
          <w:lang w:val="en-US"/>
        </w:rPr>
        <w:t xml:space="preserve">): </w:t>
      </w:r>
      <w:r>
        <w:rPr>
          <w:lang w:val="en-US"/>
        </w:rPr>
        <w:t>2</w:t>
      </w:r>
      <w:r w:rsidRPr="008C7BE0">
        <w:rPr>
          <w:lang w:val="en-US"/>
        </w:rPr>
        <w:t>0%</w:t>
      </w:r>
    </w:p>
    <w:p w14:paraId="43A1B742" w14:textId="57F33509" w:rsidR="00975F94" w:rsidRPr="008C7BE0" w:rsidRDefault="00975F94" w:rsidP="00975F94">
      <w:pPr>
        <w:rPr>
          <w:lang w:val="en-US"/>
        </w:rPr>
      </w:pPr>
      <w:r w:rsidRPr="008C7BE0">
        <w:rPr>
          <w:lang w:val="en-US"/>
        </w:rPr>
        <w:t>Oral presentations in class (</w:t>
      </w:r>
      <w:r w:rsidR="00BF06E3">
        <w:rPr>
          <w:lang w:val="en-US"/>
        </w:rPr>
        <w:t>2</w:t>
      </w:r>
      <w:r w:rsidRPr="008C7BE0">
        <w:rPr>
          <w:lang w:val="en-US"/>
        </w:rPr>
        <w:t xml:space="preserve">): </w:t>
      </w:r>
      <w:r w:rsidR="00BF06E3">
        <w:rPr>
          <w:lang w:val="en-US"/>
        </w:rPr>
        <w:t>20</w:t>
      </w:r>
      <w:r w:rsidRPr="008C7BE0">
        <w:rPr>
          <w:lang w:val="en-US"/>
        </w:rPr>
        <w:t>%</w:t>
      </w:r>
    </w:p>
    <w:p w14:paraId="2E0048C7" w14:textId="0457F53D" w:rsidR="00975F94" w:rsidRPr="008C7BE0" w:rsidRDefault="00975F94" w:rsidP="00975F94">
      <w:pPr>
        <w:rPr>
          <w:lang w:val="en-US"/>
        </w:rPr>
      </w:pPr>
      <w:r w:rsidRPr="008C7BE0">
        <w:rPr>
          <w:lang w:val="en-US"/>
        </w:rPr>
        <w:t>Mid-term exam</w:t>
      </w:r>
      <w:r w:rsidR="00BF06E3">
        <w:rPr>
          <w:lang w:val="en-US"/>
        </w:rPr>
        <w:t>: 2</w:t>
      </w:r>
      <w:r w:rsidRPr="008C7BE0">
        <w:rPr>
          <w:lang w:val="en-US"/>
        </w:rPr>
        <w:t>0%</w:t>
      </w:r>
    </w:p>
    <w:p w14:paraId="5BF4C00D" w14:textId="77777777" w:rsidR="00975F94" w:rsidRPr="008C7BE0" w:rsidRDefault="00975F94" w:rsidP="00975F94">
      <w:pPr>
        <w:rPr>
          <w:lang w:val="en-US"/>
        </w:rPr>
      </w:pPr>
      <w:r w:rsidRPr="008C7BE0">
        <w:rPr>
          <w:lang w:val="en-US"/>
        </w:rPr>
        <w:t xml:space="preserve">Final paper (outline + final version): </w:t>
      </w:r>
      <w:r>
        <w:rPr>
          <w:lang w:val="en-US"/>
        </w:rPr>
        <w:t>30</w:t>
      </w:r>
      <w:r w:rsidRPr="008C7BE0">
        <w:rPr>
          <w:lang w:val="en-US"/>
        </w:rPr>
        <w:t>%</w:t>
      </w:r>
    </w:p>
    <w:p w14:paraId="577890AE" w14:textId="77777777" w:rsidR="00975F94" w:rsidRPr="008C7BE0" w:rsidRDefault="00975F94" w:rsidP="00975F94">
      <w:pPr>
        <w:rPr>
          <w:b/>
          <w:lang w:val="en-US"/>
        </w:rPr>
      </w:pPr>
    </w:p>
    <w:p w14:paraId="47535ADF" w14:textId="77777777" w:rsidR="00975F94" w:rsidRPr="008C7BE0" w:rsidRDefault="00975F94" w:rsidP="00975F94">
      <w:pPr>
        <w:rPr>
          <w:b/>
          <w:lang w:val="en-US"/>
        </w:rPr>
      </w:pPr>
      <w:r w:rsidRPr="008C7BE0">
        <w:rPr>
          <w:b/>
          <w:lang w:val="en-US"/>
        </w:rPr>
        <w:t>Participation (10%):</w:t>
      </w:r>
    </w:p>
    <w:p w14:paraId="63D1F9EC" w14:textId="77777777" w:rsidR="00975F94" w:rsidRDefault="00975F94" w:rsidP="00975F94">
      <w:pPr>
        <w:rPr>
          <w:lang w:val="en-US"/>
        </w:rPr>
      </w:pPr>
      <w:r w:rsidRPr="008C7BE0">
        <w:rPr>
          <w:lang w:val="en-US"/>
        </w:rPr>
        <w:t>Active participation in class is essential. The student is required to complete the readings before each class, watch any assigned videos or materials, do homework</w:t>
      </w:r>
      <w:r>
        <w:rPr>
          <w:lang w:val="en-US"/>
        </w:rPr>
        <w:t>,</w:t>
      </w:r>
      <w:r w:rsidRPr="008C7BE0">
        <w:rPr>
          <w:lang w:val="en-US"/>
        </w:rPr>
        <w:t xml:space="preserve"> and read his/her notes before the discussions. </w:t>
      </w:r>
      <w:r>
        <w:rPr>
          <w:lang w:val="en-US"/>
        </w:rPr>
        <w:t xml:space="preserve">While this grade is the most subjective one of the class, students’ interventions are evaluated in terms of accuracy and depth of content (40%), clarity and correction of language (40%), and respectful attitude towards the class and the instructor (20%). </w:t>
      </w:r>
    </w:p>
    <w:p w14:paraId="096DB592" w14:textId="77777777" w:rsidR="00975F94" w:rsidRPr="008C7BE0" w:rsidRDefault="00975F94" w:rsidP="00975F94">
      <w:pPr>
        <w:rPr>
          <w:lang w:val="en-US"/>
        </w:rPr>
      </w:pPr>
    </w:p>
    <w:p w14:paraId="50DB458E" w14:textId="77777777" w:rsidR="00975F94" w:rsidRPr="008C7BE0" w:rsidRDefault="00975F94" w:rsidP="00975F94">
      <w:pPr>
        <w:rPr>
          <w:b/>
          <w:lang w:val="en-US"/>
        </w:rPr>
      </w:pPr>
      <w:r w:rsidRPr="008C7BE0">
        <w:rPr>
          <w:b/>
          <w:lang w:val="en-US"/>
        </w:rPr>
        <w:t xml:space="preserve">*Required readings will be available on T-Square or the professor will send them by email or hand them in class. </w:t>
      </w:r>
    </w:p>
    <w:p w14:paraId="0708362D" w14:textId="77777777" w:rsidR="00975F94" w:rsidRDefault="00975F94" w:rsidP="00975F94">
      <w:pPr>
        <w:rPr>
          <w:b/>
          <w:lang w:val="en-US"/>
        </w:rPr>
      </w:pPr>
    </w:p>
    <w:p w14:paraId="61130ACD" w14:textId="77777777" w:rsidR="00975F94" w:rsidRPr="008C7BE0" w:rsidRDefault="00975F94" w:rsidP="00975F94">
      <w:pPr>
        <w:rPr>
          <w:lang w:val="en-US"/>
        </w:rPr>
      </w:pPr>
      <w:r>
        <w:rPr>
          <w:lang w:val="en-US"/>
        </w:rPr>
        <w:t xml:space="preserve">*Students will be updated on their grades on T-Square. </w:t>
      </w:r>
    </w:p>
    <w:p w14:paraId="32924BFD" w14:textId="77777777" w:rsidR="00975F94" w:rsidRPr="008C7BE0" w:rsidRDefault="00975F94" w:rsidP="00975F94">
      <w:pPr>
        <w:rPr>
          <w:b/>
          <w:lang w:val="en-US"/>
        </w:rPr>
      </w:pPr>
    </w:p>
    <w:p w14:paraId="317A09DE" w14:textId="77777777" w:rsidR="00975F94" w:rsidRPr="008C7BE0" w:rsidRDefault="00975F94" w:rsidP="00975F94">
      <w:pPr>
        <w:rPr>
          <w:b/>
          <w:lang w:val="en-US"/>
        </w:rPr>
      </w:pPr>
      <w:r w:rsidRPr="008C7BE0">
        <w:rPr>
          <w:b/>
          <w:lang w:val="en-US"/>
        </w:rPr>
        <w:t>Writ</w:t>
      </w:r>
      <w:r>
        <w:rPr>
          <w:b/>
          <w:lang w:val="en-US"/>
        </w:rPr>
        <w:t>ten</w:t>
      </w:r>
      <w:r w:rsidRPr="008C7BE0">
        <w:rPr>
          <w:b/>
          <w:lang w:val="en-US"/>
        </w:rPr>
        <w:t xml:space="preserve"> assignments (</w:t>
      </w:r>
      <w:r>
        <w:rPr>
          <w:b/>
          <w:lang w:val="en-US"/>
        </w:rPr>
        <w:t>20</w:t>
      </w:r>
      <w:r w:rsidRPr="008C7BE0">
        <w:rPr>
          <w:b/>
          <w:lang w:val="en-US"/>
        </w:rPr>
        <w:t>%):</w:t>
      </w:r>
    </w:p>
    <w:p w14:paraId="31D96523" w14:textId="77777777" w:rsidR="00975F94" w:rsidRPr="008C7BE0" w:rsidRDefault="00975F94" w:rsidP="00975F94">
      <w:pPr>
        <w:rPr>
          <w:lang w:val="en-US"/>
        </w:rPr>
      </w:pPr>
      <w:r w:rsidRPr="008C7BE0">
        <w:rPr>
          <w:lang w:val="en-US"/>
        </w:rPr>
        <w:t>Students will submit t</w:t>
      </w:r>
      <w:r>
        <w:rPr>
          <w:lang w:val="en-US"/>
        </w:rPr>
        <w:t>wo</w:t>
      </w:r>
      <w:r w:rsidRPr="008C7BE0">
        <w:rPr>
          <w:lang w:val="en-US"/>
        </w:rPr>
        <w:t xml:space="preserve"> writ</w:t>
      </w:r>
      <w:r>
        <w:rPr>
          <w:lang w:val="en-US"/>
        </w:rPr>
        <w:t>ten</w:t>
      </w:r>
      <w:r w:rsidRPr="008C7BE0">
        <w:rPr>
          <w:lang w:val="en-US"/>
        </w:rPr>
        <w:t xml:space="preserve"> assignments during the semester (the deadlines are in the syllabus). </w:t>
      </w:r>
      <w:r>
        <w:rPr>
          <w:lang w:val="en-US"/>
        </w:rPr>
        <w:t xml:space="preserve">Grades will be </w:t>
      </w:r>
      <w:r w:rsidRPr="008C7BE0">
        <w:rPr>
          <w:lang w:val="en-US"/>
        </w:rPr>
        <w:t xml:space="preserve">based on: 1) </w:t>
      </w:r>
      <w:r>
        <w:rPr>
          <w:lang w:val="en-US"/>
        </w:rPr>
        <w:t xml:space="preserve">ability to </w:t>
      </w:r>
      <w:r w:rsidRPr="008C7BE0">
        <w:rPr>
          <w:lang w:val="en-US"/>
        </w:rPr>
        <w:t xml:space="preserve">follow the instructions </w:t>
      </w:r>
      <w:r>
        <w:rPr>
          <w:lang w:val="en-US"/>
        </w:rPr>
        <w:t xml:space="preserve">of the assignment </w:t>
      </w:r>
      <w:r w:rsidRPr="008C7BE0">
        <w:rPr>
          <w:lang w:val="en-US"/>
        </w:rPr>
        <w:t>and us</w:t>
      </w:r>
      <w:r>
        <w:rPr>
          <w:lang w:val="en-US"/>
        </w:rPr>
        <w:t>e</w:t>
      </w:r>
      <w:r w:rsidRPr="008C7BE0">
        <w:rPr>
          <w:lang w:val="en-US"/>
        </w:rPr>
        <w:t xml:space="preserve"> the techniques</w:t>
      </w:r>
      <w:r>
        <w:rPr>
          <w:lang w:val="en-US"/>
        </w:rPr>
        <w:t xml:space="preserve"> and readings explained</w:t>
      </w:r>
      <w:r w:rsidRPr="008C7BE0">
        <w:rPr>
          <w:lang w:val="en-US"/>
        </w:rPr>
        <w:t xml:space="preserve"> in class</w:t>
      </w:r>
      <w:r>
        <w:rPr>
          <w:lang w:val="en-US"/>
        </w:rPr>
        <w:t xml:space="preserve"> (40%)</w:t>
      </w:r>
      <w:r w:rsidRPr="008C7BE0">
        <w:rPr>
          <w:lang w:val="en-US"/>
        </w:rPr>
        <w:t xml:space="preserve">; 2) </w:t>
      </w:r>
      <w:r>
        <w:rPr>
          <w:lang w:val="en-US"/>
        </w:rPr>
        <w:t xml:space="preserve">clear writing and use of correct </w:t>
      </w:r>
      <w:r w:rsidRPr="008C7BE0">
        <w:rPr>
          <w:lang w:val="en-US"/>
        </w:rPr>
        <w:t>academic language (</w:t>
      </w:r>
      <w:r>
        <w:rPr>
          <w:lang w:val="en-US"/>
        </w:rPr>
        <w:t>40%)</w:t>
      </w:r>
      <w:r w:rsidRPr="008C7BE0">
        <w:rPr>
          <w:lang w:val="en-US"/>
        </w:rPr>
        <w:t xml:space="preserve">; 3) </w:t>
      </w:r>
      <w:r>
        <w:rPr>
          <w:lang w:val="en-US"/>
        </w:rPr>
        <w:t xml:space="preserve">citations of </w:t>
      </w:r>
      <w:r w:rsidRPr="008C7BE0">
        <w:rPr>
          <w:lang w:val="en-US"/>
        </w:rPr>
        <w:t>all pertinent sources and including bibliography</w:t>
      </w:r>
      <w:r>
        <w:rPr>
          <w:lang w:val="en-US"/>
        </w:rPr>
        <w:t xml:space="preserve"> (20%)</w:t>
      </w:r>
      <w:r w:rsidRPr="008C7BE0">
        <w:rPr>
          <w:lang w:val="en-US"/>
        </w:rPr>
        <w:t>. Late assignments will not be accepted. No</w:t>
      </w:r>
      <w:r>
        <w:rPr>
          <w:lang w:val="en-US"/>
        </w:rPr>
        <w:t>t submitting an assignment will result in</w:t>
      </w:r>
      <w:r w:rsidRPr="008C7BE0">
        <w:rPr>
          <w:lang w:val="en-US"/>
        </w:rPr>
        <w:t xml:space="preserve"> a </w:t>
      </w:r>
      <w:r>
        <w:rPr>
          <w:lang w:val="en-US"/>
        </w:rPr>
        <w:t xml:space="preserve">grade of </w:t>
      </w:r>
      <w:r w:rsidRPr="008C7BE0">
        <w:rPr>
          <w:lang w:val="en-US"/>
        </w:rPr>
        <w:t xml:space="preserve">zero. </w:t>
      </w:r>
    </w:p>
    <w:p w14:paraId="7C09C13C" w14:textId="77777777" w:rsidR="00975F94" w:rsidRPr="008C7BE0" w:rsidRDefault="00975F94" w:rsidP="00975F94">
      <w:pPr>
        <w:rPr>
          <w:lang w:val="en-US"/>
        </w:rPr>
      </w:pPr>
    </w:p>
    <w:p w14:paraId="1D470C9E" w14:textId="330C1A65" w:rsidR="00975F94" w:rsidRPr="008C7BE0" w:rsidRDefault="00975F94" w:rsidP="00975F94">
      <w:pPr>
        <w:rPr>
          <w:b/>
          <w:lang w:val="en-US"/>
        </w:rPr>
      </w:pPr>
      <w:r w:rsidRPr="008C7BE0">
        <w:rPr>
          <w:b/>
          <w:lang w:val="en-US"/>
        </w:rPr>
        <w:t>Mid-term Exam</w:t>
      </w:r>
      <w:r w:rsidR="00BF06E3">
        <w:rPr>
          <w:b/>
          <w:lang w:val="en-US"/>
        </w:rPr>
        <w:t xml:space="preserve"> (2</w:t>
      </w:r>
      <w:r w:rsidRPr="008C7BE0">
        <w:rPr>
          <w:b/>
          <w:lang w:val="en-US"/>
        </w:rPr>
        <w:t>0%):</w:t>
      </w:r>
    </w:p>
    <w:p w14:paraId="49BBB994" w14:textId="77777777" w:rsidR="00975F94" w:rsidRPr="008C7BE0" w:rsidRDefault="00975F94" w:rsidP="00975F94">
      <w:pPr>
        <w:rPr>
          <w:lang w:val="en-US"/>
        </w:rPr>
      </w:pPr>
      <w:r w:rsidRPr="008C7BE0">
        <w:rPr>
          <w:lang w:val="en-US"/>
        </w:rPr>
        <w:t xml:space="preserve">The mid-term includes all the topics discussed in class. If a student misses the exam without previous notification and official excuse, </w:t>
      </w:r>
      <w:r>
        <w:rPr>
          <w:lang w:val="en-US"/>
        </w:rPr>
        <w:t xml:space="preserve">they </w:t>
      </w:r>
      <w:r w:rsidRPr="008C7BE0">
        <w:rPr>
          <w:lang w:val="en-US"/>
        </w:rPr>
        <w:t>will receive a grade of zero.</w:t>
      </w:r>
    </w:p>
    <w:p w14:paraId="41CB34BD" w14:textId="77777777" w:rsidR="00975F94" w:rsidRPr="008C7BE0" w:rsidRDefault="00975F94" w:rsidP="00975F94">
      <w:pPr>
        <w:rPr>
          <w:b/>
          <w:lang w:val="en-US"/>
        </w:rPr>
      </w:pPr>
    </w:p>
    <w:p w14:paraId="2BB30590" w14:textId="7AEA6087" w:rsidR="00975F94" w:rsidRPr="008C7BE0" w:rsidRDefault="00975F94" w:rsidP="00975F94">
      <w:pPr>
        <w:rPr>
          <w:b/>
          <w:lang w:val="en-US"/>
        </w:rPr>
      </w:pPr>
      <w:r w:rsidRPr="008C7BE0">
        <w:rPr>
          <w:b/>
          <w:lang w:val="en-US"/>
        </w:rPr>
        <w:t>Oral presentations in class (</w:t>
      </w:r>
      <w:r w:rsidR="00BF06E3">
        <w:rPr>
          <w:b/>
          <w:lang w:val="en-US"/>
        </w:rPr>
        <w:t>20</w:t>
      </w:r>
      <w:r w:rsidRPr="008C7BE0">
        <w:rPr>
          <w:b/>
          <w:lang w:val="en-US"/>
        </w:rPr>
        <w:t>%)</w:t>
      </w:r>
    </w:p>
    <w:p w14:paraId="0DE9230F" w14:textId="1BDF01F5" w:rsidR="00975F94" w:rsidRPr="008C7BE0" w:rsidRDefault="00975F94" w:rsidP="00975F94">
      <w:pPr>
        <w:rPr>
          <w:lang w:val="en-US"/>
        </w:rPr>
      </w:pPr>
      <w:r w:rsidRPr="008C7BE0">
        <w:rPr>
          <w:lang w:val="en-US"/>
        </w:rPr>
        <w:t xml:space="preserve">Students will prepare </w:t>
      </w:r>
      <w:r>
        <w:rPr>
          <w:lang w:val="en-US"/>
        </w:rPr>
        <w:t>t</w:t>
      </w:r>
      <w:r w:rsidR="00BF06E3">
        <w:rPr>
          <w:lang w:val="en-US"/>
        </w:rPr>
        <w:t>wo</w:t>
      </w:r>
      <w:r w:rsidRPr="008C7BE0">
        <w:rPr>
          <w:lang w:val="en-US"/>
        </w:rPr>
        <w:t xml:space="preserve"> oral presentations during the semester; </w:t>
      </w:r>
      <w:r>
        <w:rPr>
          <w:lang w:val="en-US"/>
        </w:rPr>
        <w:t>approximately</w:t>
      </w:r>
      <w:r w:rsidRPr="008C7BE0">
        <w:rPr>
          <w:lang w:val="en-US"/>
        </w:rPr>
        <w:t xml:space="preserve"> ten minutes each. </w:t>
      </w:r>
      <w:r w:rsidR="00BF06E3">
        <w:rPr>
          <w:lang w:val="en-US"/>
        </w:rPr>
        <w:t>The first presentation</w:t>
      </w:r>
      <w:r w:rsidRPr="008C7BE0">
        <w:rPr>
          <w:lang w:val="en-US"/>
        </w:rPr>
        <w:t xml:space="preserve"> will be on assigned readings</w:t>
      </w:r>
      <w:r w:rsidR="00E52B12">
        <w:rPr>
          <w:lang w:val="en-US"/>
        </w:rPr>
        <w:t>, and the date will be coordinated in class</w:t>
      </w:r>
      <w:r>
        <w:rPr>
          <w:lang w:val="en-US"/>
        </w:rPr>
        <w:t xml:space="preserve">. The final presentation will be based on your final paper (week 16 of the course). </w:t>
      </w:r>
      <w:r w:rsidRPr="008C7BE0">
        <w:rPr>
          <w:lang w:val="en-US"/>
        </w:rPr>
        <w:t>Specific instructions will be offered a week in advance.</w:t>
      </w:r>
      <w:r>
        <w:rPr>
          <w:lang w:val="en-US"/>
        </w:rPr>
        <w:t xml:space="preserve"> A rubric for the oral presentations will be uploaded in T-Square. The rubric considers the following aspects: Introduction (10%), Body of Content (40%), Conclusions (10%), </w:t>
      </w:r>
      <w:proofErr w:type="spellStart"/>
      <w:r>
        <w:rPr>
          <w:lang w:val="en-US"/>
        </w:rPr>
        <w:t>Powerpoint</w:t>
      </w:r>
      <w:proofErr w:type="spellEnd"/>
      <w:r>
        <w:rPr>
          <w:lang w:val="en-US"/>
        </w:rPr>
        <w:t xml:space="preserve"> (10%), Delivery (30%). </w:t>
      </w:r>
      <w:r w:rsidRPr="008C7BE0">
        <w:rPr>
          <w:lang w:val="en-US"/>
        </w:rPr>
        <w:t xml:space="preserve">Each presentation is </w:t>
      </w:r>
      <w:r>
        <w:rPr>
          <w:lang w:val="en-US"/>
        </w:rPr>
        <w:t>10</w:t>
      </w:r>
      <w:r w:rsidRPr="008C7BE0">
        <w:rPr>
          <w:lang w:val="en-US"/>
        </w:rPr>
        <w:t xml:space="preserve">% of the total grade. Students should use </w:t>
      </w:r>
      <w:r w:rsidRPr="008C7BE0">
        <w:rPr>
          <w:lang w:val="en-US"/>
        </w:rPr>
        <w:lastRenderedPageBreak/>
        <w:t xml:space="preserve">PowerPoint or other similar visual aids in their presentations and generate interaction with the class. </w:t>
      </w:r>
    </w:p>
    <w:p w14:paraId="43F29D56" w14:textId="77777777" w:rsidR="00975F94" w:rsidRPr="008C7BE0" w:rsidRDefault="00975F94" w:rsidP="00975F94">
      <w:pPr>
        <w:rPr>
          <w:b/>
          <w:lang w:val="en-US"/>
        </w:rPr>
      </w:pPr>
    </w:p>
    <w:p w14:paraId="4D8AD07F" w14:textId="77777777" w:rsidR="00975F94" w:rsidRPr="008C7BE0" w:rsidRDefault="00975F94" w:rsidP="00975F94">
      <w:pPr>
        <w:rPr>
          <w:b/>
          <w:lang w:val="en-US"/>
        </w:rPr>
      </w:pPr>
      <w:r w:rsidRPr="008C7BE0">
        <w:rPr>
          <w:b/>
          <w:lang w:val="en-US"/>
        </w:rPr>
        <w:t>Final paper (</w:t>
      </w:r>
      <w:r>
        <w:rPr>
          <w:b/>
          <w:lang w:val="en-US"/>
        </w:rPr>
        <w:t>30</w:t>
      </w:r>
      <w:r w:rsidRPr="008C7BE0">
        <w:rPr>
          <w:b/>
          <w:lang w:val="en-US"/>
        </w:rPr>
        <w:t>%):</w:t>
      </w:r>
    </w:p>
    <w:p w14:paraId="616D7353" w14:textId="59071D78" w:rsidR="00975F94" w:rsidRPr="008C7BE0" w:rsidRDefault="00975F94" w:rsidP="00975F94">
      <w:pPr>
        <w:rPr>
          <w:lang w:val="en-US"/>
        </w:rPr>
      </w:pPr>
      <w:r w:rsidRPr="008C7BE0">
        <w:rPr>
          <w:lang w:val="en-US"/>
        </w:rPr>
        <w:t>As a final paper, each student will rese</w:t>
      </w:r>
      <w:r w:rsidR="00BF06E3">
        <w:rPr>
          <w:lang w:val="en-US"/>
        </w:rPr>
        <w:t>arch a specific aspect of the media/journalism</w:t>
      </w:r>
      <w:r w:rsidRPr="008C7BE0">
        <w:rPr>
          <w:lang w:val="en-US"/>
        </w:rPr>
        <w:t xml:space="preserve"> in the Americas (i.e.,</w:t>
      </w:r>
      <w:r w:rsidR="00BF06E3">
        <w:rPr>
          <w:lang w:val="en-US"/>
        </w:rPr>
        <w:t xml:space="preserve"> media concentration in Brazil, coverage of gang violence in El Salvador, social media in Ecuador, etc.) </w:t>
      </w:r>
      <w:r w:rsidRPr="008C7BE0">
        <w:rPr>
          <w:lang w:val="en-US"/>
        </w:rPr>
        <w:t>The topic needs to be approved by the professor beforehand. The student will present an outline</w:t>
      </w:r>
      <w:r>
        <w:rPr>
          <w:lang w:val="en-US"/>
        </w:rPr>
        <w:t xml:space="preserve"> including the research question and main ideas</w:t>
      </w:r>
      <w:r w:rsidRPr="008C7BE0">
        <w:rPr>
          <w:lang w:val="en-US"/>
        </w:rPr>
        <w:t xml:space="preserve"> (</w:t>
      </w:r>
      <w:r>
        <w:rPr>
          <w:lang w:val="en-US"/>
        </w:rPr>
        <w:t>10</w:t>
      </w:r>
      <w:r w:rsidRPr="008C7BE0">
        <w:rPr>
          <w:lang w:val="en-US"/>
        </w:rPr>
        <w:t xml:space="preserve">%) and a final version of the paper (20%). In the final paper, the student should demonstrate knowledge of the social, political and cultural context of his/her case study. The paper should also exhibit familiarity with the theoretical readings. </w:t>
      </w:r>
      <w:r w:rsidRPr="00716A08">
        <w:rPr>
          <w:rFonts w:ascii="Georgia" w:hAnsi="Georgia"/>
          <w:sz w:val="20"/>
          <w:szCs w:val="20"/>
          <w:lang w:val="en-US"/>
        </w:rPr>
        <w:t xml:space="preserve"> </w:t>
      </w:r>
      <w:r>
        <w:rPr>
          <w:lang w:val="en-US"/>
        </w:rPr>
        <w:t>The final paper</w:t>
      </w:r>
      <w:r w:rsidRPr="00716A08">
        <w:rPr>
          <w:lang w:val="en-US"/>
        </w:rPr>
        <w:t xml:space="preserve"> will be graded on depth of background research</w:t>
      </w:r>
      <w:r>
        <w:rPr>
          <w:lang w:val="en-US"/>
        </w:rPr>
        <w:t xml:space="preserve"> (30%)</w:t>
      </w:r>
      <w:r w:rsidRPr="00716A08">
        <w:rPr>
          <w:lang w:val="en-US"/>
        </w:rPr>
        <w:t>, organiza</w:t>
      </w:r>
      <w:r>
        <w:rPr>
          <w:lang w:val="en-US"/>
        </w:rPr>
        <w:t>tion and clarity of arguments (35%)</w:t>
      </w:r>
      <w:r w:rsidRPr="00716A08">
        <w:rPr>
          <w:lang w:val="en-US"/>
        </w:rPr>
        <w:t>, and the correct use of language (no errors of agreement)</w:t>
      </w:r>
      <w:r>
        <w:rPr>
          <w:lang w:val="en-US"/>
        </w:rPr>
        <w:t xml:space="preserve"> (35%)</w:t>
      </w:r>
      <w:r w:rsidRPr="00716A08">
        <w:rPr>
          <w:lang w:val="en-US"/>
        </w:rPr>
        <w:t>.</w:t>
      </w:r>
      <w:r>
        <w:rPr>
          <w:lang w:val="en-US"/>
        </w:rPr>
        <w:t xml:space="preserve"> </w:t>
      </w:r>
      <w:r w:rsidRPr="008C7BE0">
        <w:rPr>
          <w:lang w:val="en-US"/>
        </w:rPr>
        <w:t xml:space="preserve">The final paper should cite </w:t>
      </w:r>
      <w:r>
        <w:rPr>
          <w:lang w:val="en-US"/>
        </w:rPr>
        <w:t xml:space="preserve">at least three </w:t>
      </w:r>
      <w:r w:rsidRPr="008C7BE0">
        <w:rPr>
          <w:lang w:val="en-US"/>
        </w:rPr>
        <w:t>readings in Spanish</w:t>
      </w:r>
      <w:r>
        <w:rPr>
          <w:lang w:val="en-US"/>
        </w:rPr>
        <w:t xml:space="preserve">, and </w:t>
      </w:r>
      <w:r w:rsidRPr="008C7BE0">
        <w:rPr>
          <w:lang w:val="en-US"/>
        </w:rPr>
        <w:t>should be a</w:t>
      </w:r>
      <w:r>
        <w:rPr>
          <w:lang w:val="en-US"/>
        </w:rPr>
        <w:t>pproximately</w:t>
      </w:r>
      <w:r w:rsidRPr="008C7BE0">
        <w:rPr>
          <w:lang w:val="en-US"/>
        </w:rPr>
        <w:t xml:space="preserve"> 1,300 words (5 pages, double- spaced), including one bibliography page.  </w:t>
      </w:r>
    </w:p>
    <w:p w14:paraId="6E39E167" w14:textId="77777777" w:rsidR="00BF06E3" w:rsidRDefault="00BF06E3" w:rsidP="00975F94">
      <w:pPr>
        <w:rPr>
          <w:b/>
          <w:lang w:val="en-US"/>
        </w:rPr>
      </w:pPr>
    </w:p>
    <w:p w14:paraId="50459B2B" w14:textId="329E4B14" w:rsidR="00BF06E3" w:rsidRPr="00922E3B" w:rsidRDefault="00BF06E3" w:rsidP="00BF06E3">
      <w:pPr>
        <w:rPr>
          <w:b/>
          <w:lang w:val="en-US"/>
        </w:rPr>
      </w:pPr>
      <w:r w:rsidRPr="00922E3B">
        <w:rPr>
          <w:b/>
          <w:lang w:val="en-US"/>
        </w:rPr>
        <w:t xml:space="preserve">*Students taking this class at the 6000-level will be producing a more in-depth final paper of approximately 2,500 words. The distribution of grade percentages remains the same for both graduates and undergraduates. </w:t>
      </w:r>
    </w:p>
    <w:p w14:paraId="12801B41" w14:textId="77777777" w:rsidR="00BF06E3" w:rsidRPr="008C7BE0" w:rsidRDefault="00BF06E3" w:rsidP="00975F94">
      <w:pPr>
        <w:rPr>
          <w:b/>
          <w:lang w:val="en-US"/>
        </w:rPr>
      </w:pPr>
    </w:p>
    <w:p w14:paraId="4E620E32" w14:textId="77777777" w:rsidR="00975F94" w:rsidRPr="008C7BE0" w:rsidRDefault="00975F94" w:rsidP="00975F94">
      <w:pPr>
        <w:rPr>
          <w:b/>
          <w:lang w:val="en-US"/>
        </w:rPr>
      </w:pPr>
      <w:r w:rsidRPr="008C7BE0">
        <w:rPr>
          <w:b/>
          <w:lang w:val="en-US"/>
        </w:rPr>
        <w:t xml:space="preserve">Important </w:t>
      </w:r>
      <w:r>
        <w:rPr>
          <w:b/>
          <w:lang w:val="en-US"/>
        </w:rPr>
        <w:t>class guidelines</w:t>
      </w:r>
      <w:r w:rsidRPr="008C7BE0">
        <w:rPr>
          <w:b/>
          <w:lang w:val="en-US"/>
        </w:rPr>
        <w:t>:</w:t>
      </w:r>
    </w:p>
    <w:p w14:paraId="22C76923" w14:textId="77777777" w:rsidR="00975F94" w:rsidRPr="008C7BE0" w:rsidRDefault="00975F94" w:rsidP="00975F94">
      <w:pPr>
        <w:rPr>
          <w:lang w:val="en-US"/>
        </w:rPr>
      </w:pPr>
    </w:p>
    <w:p w14:paraId="57191671" w14:textId="77777777" w:rsidR="00975F94" w:rsidRPr="008C7BE0" w:rsidRDefault="00975F94" w:rsidP="00975F94">
      <w:pPr>
        <w:rPr>
          <w:lang w:val="en-US"/>
        </w:rPr>
      </w:pPr>
      <w:r w:rsidRPr="008C7BE0">
        <w:rPr>
          <w:lang w:val="en-US"/>
        </w:rPr>
        <w:t>* All papers in the course should be typed</w:t>
      </w:r>
      <w:r>
        <w:rPr>
          <w:lang w:val="en-US"/>
        </w:rPr>
        <w:t>,</w:t>
      </w:r>
      <w:r w:rsidRPr="008C7BE0">
        <w:rPr>
          <w:lang w:val="en-US"/>
        </w:rPr>
        <w:t xml:space="preserve"> double spaced, 12-point font. </w:t>
      </w:r>
    </w:p>
    <w:p w14:paraId="787EC5C3" w14:textId="77777777" w:rsidR="00975F94" w:rsidRPr="008C7BE0" w:rsidRDefault="00975F94" w:rsidP="00975F94">
      <w:pPr>
        <w:rPr>
          <w:lang w:val="en-US"/>
        </w:rPr>
      </w:pPr>
    </w:p>
    <w:p w14:paraId="3275CC71" w14:textId="77777777" w:rsidR="00975F94" w:rsidRPr="008C7BE0" w:rsidRDefault="00975F94" w:rsidP="00975F94">
      <w:pPr>
        <w:rPr>
          <w:lang w:val="en-US"/>
        </w:rPr>
      </w:pPr>
      <w:r w:rsidRPr="008C7BE0">
        <w:rPr>
          <w:lang w:val="en-US"/>
        </w:rPr>
        <w:t xml:space="preserve">* Students should not use cell-phones or similar devices in class, except with the professor’s authorization. </w:t>
      </w:r>
    </w:p>
    <w:p w14:paraId="6C30D59A" w14:textId="77777777" w:rsidR="00975F94" w:rsidRPr="008C7BE0" w:rsidRDefault="00975F94" w:rsidP="00975F94">
      <w:pPr>
        <w:rPr>
          <w:lang w:val="en-US"/>
        </w:rPr>
      </w:pPr>
    </w:p>
    <w:p w14:paraId="287F6AE2" w14:textId="77777777" w:rsidR="00975F94" w:rsidRPr="008C7BE0" w:rsidRDefault="00975F94" w:rsidP="00975F94">
      <w:pPr>
        <w:rPr>
          <w:b/>
          <w:lang w:val="en-US"/>
        </w:rPr>
      </w:pPr>
      <w:r w:rsidRPr="008C7BE0">
        <w:rPr>
          <w:b/>
          <w:lang w:val="en-US"/>
        </w:rPr>
        <w:t xml:space="preserve">Attendance: </w:t>
      </w:r>
    </w:p>
    <w:p w14:paraId="0E4EB214" w14:textId="7835DF25" w:rsidR="00382BFE" w:rsidRDefault="00382BFE" w:rsidP="00975F94">
      <w:pPr>
        <w:rPr>
          <w:lang w:val="en-US"/>
        </w:rPr>
      </w:pPr>
      <w:r>
        <w:rPr>
          <w:lang w:val="en-US"/>
        </w:rPr>
        <w:t>Class a</w:t>
      </w:r>
      <w:r w:rsidR="00975F94" w:rsidRPr="008C7BE0">
        <w:rPr>
          <w:lang w:val="en-US"/>
        </w:rPr>
        <w:t xml:space="preserve">ttendance is mandatory and essential. Three absences without </w:t>
      </w:r>
      <w:r w:rsidR="00975F94">
        <w:rPr>
          <w:lang w:val="en-US"/>
        </w:rPr>
        <w:t xml:space="preserve">a </w:t>
      </w:r>
      <w:r w:rsidR="00975F94" w:rsidRPr="008C7BE0">
        <w:rPr>
          <w:lang w:val="en-US"/>
        </w:rPr>
        <w:t xml:space="preserve">formal excuse will result in a 5-point deduction of the final grade. Any additional absence will result in an additional 3-point deduction of the final grade. </w:t>
      </w:r>
      <w:r w:rsidR="00975F94">
        <w:rPr>
          <w:lang w:val="en-US"/>
        </w:rPr>
        <w:t>S</w:t>
      </w:r>
      <w:r w:rsidR="00975F94" w:rsidRPr="008C7BE0">
        <w:rPr>
          <w:lang w:val="en-US"/>
        </w:rPr>
        <w:t>tudents should</w:t>
      </w:r>
      <w:r w:rsidR="00975F94">
        <w:rPr>
          <w:lang w:val="en-US"/>
        </w:rPr>
        <w:t xml:space="preserve"> arrive on time; t</w:t>
      </w:r>
      <w:r w:rsidR="00975F94" w:rsidRPr="008C7BE0">
        <w:rPr>
          <w:lang w:val="en-US"/>
        </w:rPr>
        <w:t>wo tardy arrivals will be counted as an absence from the course. If a student misses class, it is his/her responsibility to</w:t>
      </w:r>
      <w:r w:rsidR="00975F94">
        <w:rPr>
          <w:lang w:val="en-US"/>
        </w:rPr>
        <w:t xml:space="preserve"> stay updated on the </w:t>
      </w:r>
      <w:r w:rsidR="00975F94" w:rsidRPr="008C7BE0">
        <w:rPr>
          <w:lang w:val="en-US"/>
        </w:rPr>
        <w:t xml:space="preserve">contents </w:t>
      </w:r>
      <w:r w:rsidR="00975F94">
        <w:rPr>
          <w:lang w:val="en-US"/>
        </w:rPr>
        <w:t xml:space="preserve">and homework </w:t>
      </w:r>
      <w:r w:rsidR="00975F94" w:rsidRPr="008C7BE0">
        <w:rPr>
          <w:lang w:val="en-US"/>
        </w:rPr>
        <w:t xml:space="preserve">of the course. </w:t>
      </w:r>
      <w:r w:rsidR="00975F94">
        <w:rPr>
          <w:lang w:val="en-US"/>
        </w:rPr>
        <w:t>Official absences are allowed following the Institute guidelines: “</w:t>
      </w:r>
      <w:r w:rsidR="00975F94" w:rsidRPr="00134A14">
        <w:rPr>
          <w:lang w:val="en-US"/>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975F94">
        <w:rPr>
          <w:lang w:val="en-US"/>
        </w:rPr>
        <w:t>”</w:t>
      </w:r>
      <w:r w:rsidR="00975F94" w:rsidRPr="00134A14">
        <w:rPr>
          <w:lang w:val="en-US"/>
        </w:rPr>
        <w:t> </w:t>
      </w:r>
      <w:hyperlink r:id="rId6" w:history="1">
        <w:r w:rsidRPr="00BB7593">
          <w:rPr>
            <w:rStyle w:val="Hyperlink"/>
            <w:lang w:val="en-US"/>
          </w:rPr>
          <w:t>http://www.catalog.gatech.edu/rules/4/</w:t>
        </w:r>
      </w:hyperlink>
      <w:bookmarkStart w:id="0" w:name="_GoBack"/>
      <w:bookmarkEnd w:id="0"/>
    </w:p>
    <w:p w14:paraId="3FE4A870" w14:textId="77777777" w:rsidR="00382BFE" w:rsidRPr="00134A14" w:rsidRDefault="00382BFE" w:rsidP="00975F94">
      <w:pPr>
        <w:rPr>
          <w:lang w:val="en-US"/>
        </w:rPr>
      </w:pPr>
    </w:p>
    <w:p w14:paraId="0BD3DC87" w14:textId="392CD0DA" w:rsidR="009E5D05" w:rsidRDefault="009E5D05" w:rsidP="00BD4939">
      <w:pPr>
        <w:rPr>
          <w:b/>
          <w:bCs/>
          <w:u w:val="single"/>
          <w:lang w:val="en-US"/>
        </w:rPr>
      </w:pPr>
    </w:p>
    <w:p w14:paraId="075506A7" w14:textId="12114AF0" w:rsidR="00106488" w:rsidRDefault="00106488" w:rsidP="00BD4939">
      <w:pPr>
        <w:rPr>
          <w:b/>
          <w:bCs/>
          <w:u w:val="single"/>
          <w:lang w:val="en-US"/>
        </w:rPr>
      </w:pPr>
      <w:r>
        <w:rPr>
          <w:b/>
          <w:bCs/>
          <w:u w:val="single"/>
          <w:lang w:val="en-US"/>
        </w:rPr>
        <w:t>Suggested Readings:</w:t>
      </w:r>
    </w:p>
    <w:p w14:paraId="63ECE4C5" w14:textId="77777777" w:rsidR="00106488" w:rsidRDefault="00106488" w:rsidP="00BD4939">
      <w:pPr>
        <w:rPr>
          <w:b/>
          <w:bCs/>
          <w:u w:val="single"/>
          <w:lang w:val="en-US"/>
        </w:rPr>
      </w:pPr>
    </w:p>
    <w:p w14:paraId="3C7485D8" w14:textId="7667528B" w:rsidR="00106488" w:rsidRPr="00106488" w:rsidRDefault="00106488" w:rsidP="00106488">
      <w:pPr>
        <w:pStyle w:val="ListParagraph"/>
        <w:numPr>
          <w:ilvl w:val="0"/>
          <w:numId w:val="17"/>
        </w:numPr>
        <w:rPr>
          <w:i/>
          <w:color w:val="000000"/>
          <w:lang w:val="en-US"/>
        </w:rPr>
      </w:pPr>
      <w:r w:rsidRPr="00922E3B">
        <w:rPr>
          <w:color w:val="000000"/>
          <w:lang w:val="it-IT"/>
        </w:rPr>
        <w:t xml:space="preserve">Matos, Carolina (2012). Media and Politics in Latin America. I.B. Tauris. </w:t>
      </w:r>
      <w:r>
        <w:rPr>
          <w:color w:val="000000"/>
          <w:lang w:val="en-US"/>
        </w:rPr>
        <w:t>Publishers.</w:t>
      </w:r>
    </w:p>
    <w:p w14:paraId="7C03125C" w14:textId="1CE44AEF" w:rsidR="00106488" w:rsidRPr="00106488" w:rsidRDefault="00106488" w:rsidP="00106488">
      <w:pPr>
        <w:pStyle w:val="ListParagraph"/>
        <w:numPr>
          <w:ilvl w:val="0"/>
          <w:numId w:val="17"/>
        </w:numPr>
        <w:rPr>
          <w:i/>
          <w:color w:val="000000"/>
          <w:lang w:val="en-US"/>
        </w:rPr>
      </w:pPr>
      <w:proofErr w:type="spellStart"/>
      <w:r>
        <w:rPr>
          <w:color w:val="000000"/>
          <w:lang w:val="en-US"/>
        </w:rPr>
        <w:lastRenderedPageBreak/>
        <w:t>Waisbord</w:t>
      </w:r>
      <w:proofErr w:type="spellEnd"/>
      <w:r>
        <w:rPr>
          <w:color w:val="000000"/>
          <w:lang w:val="en-US"/>
        </w:rPr>
        <w:t>, Silvio (2000). Watchdog Journalism in South America</w:t>
      </w:r>
    </w:p>
    <w:p w14:paraId="140CD15A" w14:textId="04102FB6" w:rsidR="00106488" w:rsidRPr="00922E3B" w:rsidRDefault="00106488" w:rsidP="00106488">
      <w:pPr>
        <w:pStyle w:val="ListParagraph"/>
        <w:numPr>
          <w:ilvl w:val="0"/>
          <w:numId w:val="17"/>
        </w:numPr>
        <w:rPr>
          <w:i/>
          <w:color w:val="000000"/>
          <w:lang w:val="es-ES"/>
        </w:rPr>
      </w:pPr>
      <w:r w:rsidRPr="00922E3B">
        <w:rPr>
          <w:color w:val="000000"/>
          <w:lang w:val="it-IT"/>
        </w:rPr>
        <w:t xml:space="preserve">Mastrini, Guillermo &amp; Becerra, Martin (Eds). </w:t>
      </w:r>
      <w:r w:rsidRPr="00922E3B">
        <w:rPr>
          <w:color w:val="000000"/>
          <w:lang w:val="es-ES"/>
        </w:rPr>
        <w:t>Periodistas y Magnates. Estructura de las industrias culturales en América Latina.</w:t>
      </w:r>
    </w:p>
    <w:p w14:paraId="0A051629" w14:textId="77777777" w:rsidR="009E5D05" w:rsidRPr="00922E3B" w:rsidRDefault="009E5D05" w:rsidP="009E5D05">
      <w:pPr>
        <w:rPr>
          <w:b/>
          <w:lang w:val="es-ES"/>
        </w:rPr>
      </w:pPr>
    </w:p>
    <w:p w14:paraId="4B90A484" w14:textId="77777777" w:rsidR="009E5D05" w:rsidRPr="00922E3B" w:rsidRDefault="009E5D05" w:rsidP="009E5D05">
      <w:pPr>
        <w:rPr>
          <w:b/>
          <w:lang w:val="es-ES"/>
        </w:rPr>
      </w:pPr>
    </w:p>
    <w:p w14:paraId="0704344C" w14:textId="77777777" w:rsidR="00C32FB5" w:rsidRPr="00922E3B" w:rsidRDefault="00C32FB5" w:rsidP="009E5D05">
      <w:pPr>
        <w:rPr>
          <w:b/>
          <w:lang w:val="es-ES"/>
        </w:rPr>
      </w:pPr>
    </w:p>
    <w:p w14:paraId="47570101" w14:textId="77777777" w:rsidR="009E5D05" w:rsidRPr="00C32FB5" w:rsidRDefault="009E5D05" w:rsidP="009E5D05">
      <w:pPr>
        <w:rPr>
          <w:b/>
          <w:lang w:val="en-US"/>
        </w:rPr>
      </w:pPr>
      <w:r w:rsidRPr="00C32FB5">
        <w:rPr>
          <w:b/>
          <w:lang w:val="en-US"/>
        </w:rPr>
        <w:t>CALENDAR OF THE COURSE</w:t>
      </w:r>
    </w:p>
    <w:p w14:paraId="6FCE6272" w14:textId="77777777" w:rsidR="009E5D05" w:rsidRPr="00C32FB5" w:rsidRDefault="009E5D05" w:rsidP="009E5D05">
      <w:pPr>
        <w:rPr>
          <w:lang w:val="en-US"/>
        </w:rPr>
      </w:pPr>
    </w:p>
    <w:p w14:paraId="5BA39C82" w14:textId="77777777" w:rsidR="00C32FB5" w:rsidRPr="00C32FB5" w:rsidRDefault="00C32FB5" w:rsidP="00C32FB5">
      <w:pPr>
        <w:rPr>
          <w:b/>
          <w:u w:val="single"/>
          <w:lang w:val="en-US"/>
        </w:rPr>
      </w:pPr>
      <w:r w:rsidRPr="00C32FB5">
        <w:rPr>
          <w:b/>
          <w:u w:val="single"/>
          <w:lang w:val="en-US"/>
        </w:rPr>
        <w:t>WEEK 1</w:t>
      </w:r>
    </w:p>
    <w:p w14:paraId="2EB8130D" w14:textId="77777777" w:rsidR="00C32FB5" w:rsidRDefault="00C32FB5" w:rsidP="00C32FB5">
      <w:pPr>
        <w:rPr>
          <w:lang w:val="en-US"/>
        </w:rPr>
      </w:pPr>
      <w:r w:rsidRPr="00C32FB5">
        <w:rPr>
          <w:lang w:val="en-US"/>
        </w:rPr>
        <w:t xml:space="preserve">Introduction / </w:t>
      </w:r>
      <w:r>
        <w:rPr>
          <w:lang w:val="en-US"/>
        </w:rPr>
        <w:t>Presentation</w:t>
      </w:r>
    </w:p>
    <w:p w14:paraId="66BF9BCF" w14:textId="77777777" w:rsidR="00C32FB5" w:rsidRDefault="00C32FB5" w:rsidP="00C32FB5">
      <w:pPr>
        <w:rPr>
          <w:lang w:val="en-US"/>
        </w:rPr>
      </w:pPr>
      <w:r>
        <w:rPr>
          <w:lang w:val="en-US"/>
        </w:rPr>
        <w:t>Media and Journalism in Latin America: overview</w:t>
      </w:r>
    </w:p>
    <w:p w14:paraId="5FC935FB" w14:textId="77777777" w:rsidR="00C32FB5" w:rsidRPr="00C32FB5" w:rsidRDefault="00C32FB5" w:rsidP="00C32FB5">
      <w:pPr>
        <w:rPr>
          <w:lang w:val="en-US"/>
        </w:rPr>
      </w:pPr>
    </w:p>
    <w:p w14:paraId="4528B999" w14:textId="77777777" w:rsidR="00C32FB5" w:rsidRPr="00922E3B" w:rsidRDefault="00ED5AD6" w:rsidP="00C32FB5">
      <w:pPr>
        <w:rPr>
          <w:b/>
          <w:u w:val="single"/>
          <w:lang w:val="en-US"/>
        </w:rPr>
      </w:pPr>
      <w:r w:rsidRPr="00922E3B">
        <w:rPr>
          <w:b/>
          <w:u w:val="single"/>
          <w:lang w:val="en-US"/>
        </w:rPr>
        <w:t>WEEK</w:t>
      </w:r>
      <w:r w:rsidR="00C32FB5" w:rsidRPr="00922E3B">
        <w:rPr>
          <w:b/>
          <w:u w:val="single"/>
          <w:lang w:val="en-US"/>
        </w:rPr>
        <w:t xml:space="preserve"> 2</w:t>
      </w:r>
    </w:p>
    <w:p w14:paraId="4664ED23" w14:textId="77777777" w:rsidR="00C32FB5" w:rsidRPr="00922E3B" w:rsidRDefault="00C32FB5" w:rsidP="00C32FB5">
      <w:pPr>
        <w:rPr>
          <w:lang w:val="en-US"/>
        </w:rPr>
      </w:pPr>
      <w:r w:rsidRPr="00922E3B">
        <w:rPr>
          <w:lang w:val="en-US"/>
        </w:rPr>
        <w:t>Peru: socio-political and media context</w:t>
      </w:r>
    </w:p>
    <w:p w14:paraId="28EA274A" w14:textId="77777777" w:rsidR="00C32FB5" w:rsidRDefault="00C32FB5" w:rsidP="00C32FB5">
      <w:pPr>
        <w:rPr>
          <w:lang w:val="en-US"/>
        </w:rPr>
      </w:pPr>
      <w:r>
        <w:rPr>
          <w:lang w:val="en-US"/>
        </w:rPr>
        <w:t>Peru: the media during and after Fujimori</w:t>
      </w:r>
    </w:p>
    <w:p w14:paraId="39F217FA" w14:textId="77777777" w:rsidR="00C32FB5" w:rsidRPr="00C32FB5" w:rsidRDefault="00C32FB5" w:rsidP="00C32FB5">
      <w:pPr>
        <w:rPr>
          <w:b/>
          <w:lang w:val="en-US"/>
        </w:rPr>
      </w:pPr>
    </w:p>
    <w:p w14:paraId="178EA059" w14:textId="77777777" w:rsidR="00C32FB5" w:rsidRPr="00C32FB5" w:rsidRDefault="00ED5AD6" w:rsidP="00C32FB5">
      <w:pPr>
        <w:rPr>
          <w:lang w:val="en-US"/>
        </w:rPr>
      </w:pPr>
      <w:r>
        <w:rPr>
          <w:b/>
          <w:u w:val="single"/>
          <w:lang w:val="en-US"/>
        </w:rPr>
        <w:t>WEEK</w:t>
      </w:r>
      <w:r w:rsidR="00C32FB5" w:rsidRPr="00C32FB5">
        <w:rPr>
          <w:b/>
          <w:u w:val="single"/>
          <w:lang w:val="en-US"/>
        </w:rPr>
        <w:t xml:space="preserve"> 3</w:t>
      </w:r>
    </w:p>
    <w:p w14:paraId="55AA3798" w14:textId="77777777" w:rsidR="00C32FB5" w:rsidRDefault="00C32FB5" w:rsidP="00C32FB5">
      <w:pPr>
        <w:rPr>
          <w:lang w:val="en-US"/>
        </w:rPr>
      </w:pPr>
      <w:r w:rsidRPr="00C32FB5">
        <w:rPr>
          <w:lang w:val="en-US"/>
        </w:rPr>
        <w:t>Peru: the media during the democratic transition</w:t>
      </w:r>
    </w:p>
    <w:p w14:paraId="7E23A412" w14:textId="77777777" w:rsidR="00C32FB5" w:rsidRPr="00922E3B" w:rsidRDefault="000408DF" w:rsidP="00C32FB5">
      <w:pPr>
        <w:rPr>
          <w:lang w:val="en-US"/>
        </w:rPr>
      </w:pPr>
      <w:r w:rsidRPr="00922E3B">
        <w:rPr>
          <w:lang w:val="en-US"/>
        </w:rPr>
        <w:t>Argentina: socio-political and media context</w:t>
      </w:r>
    </w:p>
    <w:p w14:paraId="385A4F49" w14:textId="77777777" w:rsidR="000408DF" w:rsidRPr="00922E3B" w:rsidRDefault="000408DF" w:rsidP="00C32FB5">
      <w:pPr>
        <w:rPr>
          <w:lang w:val="en-US"/>
        </w:rPr>
      </w:pPr>
    </w:p>
    <w:p w14:paraId="7BA06A06" w14:textId="77777777" w:rsidR="00C32FB5" w:rsidRPr="00C32FB5" w:rsidRDefault="00ED5AD6" w:rsidP="00C32FB5">
      <w:pPr>
        <w:rPr>
          <w:b/>
          <w:u w:val="single"/>
          <w:lang w:val="en-US"/>
        </w:rPr>
      </w:pPr>
      <w:r>
        <w:rPr>
          <w:b/>
          <w:u w:val="single"/>
          <w:lang w:val="en-US"/>
        </w:rPr>
        <w:t>WEEK</w:t>
      </w:r>
      <w:r w:rsidR="00C32FB5" w:rsidRPr="00C32FB5">
        <w:rPr>
          <w:b/>
          <w:u w:val="single"/>
          <w:lang w:val="en-US"/>
        </w:rPr>
        <w:t xml:space="preserve"> 4</w:t>
      </w:r>
    </w:p>
    <w:p w14:paraId="54106575" w14:textId="77777777" w:rsidR="00C32FB5" w:rsidRPr="000408DF" w:rsidRDefault="00C32FB5" w:rsidP="00C32FB5">
      <w:pPr>
        <w:rPr>
          <w:lang w:val="en-US"/>
        </w:rPr>
      </w:pPr>
      <w:r>
        <w:rPr>
          <w:lang w:val="en-US"/>
        </w:rPr>
        <w:t>Argentina: the media and</w:t>
      </w:r>
      <w:r w:rsidRPr="00C32FB5">
        <w:rPr>
          <w:lang w:val="en-US"/>
        </w:rPr>
        <w:t xml:space="preserve"> the military dictatorship</w:t>
      </w:r>
    </w:p>
    <w:p w14:paraId="14112E52" w14:textId="77777777" w:rsidR="000408DF" w:rsidRDefault="000408DF" w:rsidP="000408DF">
      <w:pPr>
        <w:rPr>
          <w:lang w:val="en-US"/>
        </w:rPr>
      </w:pPr>
      <w:r>
        <w:rPr>
          <w:lang w:val="en-US"/>
        </w:rPr>
        <w:t>Argentina: the media and the 2001 economic crisis</w:t>
      </w:r>
    </w:p>
    <w:p w14:paraId="376BD240" w14:textId="77777777" w:rsidR="00E52B12" w:rsidRPr="00C32FB5" w:rsidRDefault="00E52B12" w:rsidP="00E52B12">
      <w:pPr>
        <w:rPr>
          <w:b/>
          <w:lang w:val="en-US"/>
        </w:rPr>
      </w:pPr>
      <w:r w:rsidRPr="00C32FB5">
        <w:rPr>
          <w:b/>
          <w:lang w:val="en-US"/>
        </w:rPr>
        <w:t>Deadline: writing assignment 1</w:t>
      </w:r>
    </w:p>
    <w:p w14:paraId="4EA552F1" w14:textId="77777777" w:rsidR="00E52B12" w:rsidRPr="00C32FB5" w:rsidRDefault="00E52B12" w:rsidP="00C32FB5">
      <w:pPr>
        <w:rPr>
          <w:b/>
          <w:lang w:val="en-US"/>
        </w:rPr>
      </w:pPr>
    </w:p>
    <w:p w14:paraId="6C319D9B" w14:textId="77777777" w:rsidR="00C32FB5" w:rsidRPr="00C32FB5" w:rsidRDefault="00ED5AD6" w:rsidP="00C32FB5">
      <w:pPr>
        <w:rPr>
          <w:b/>
          <w:u w:val="single"/>
          <w:lang w:val="en-US"/>
        </w:rPr>
      </w:pPr>
      <w:r>
        <w:rPr>
          <w:b/>
          <w:u w:val="single"/>
          <w:lang w:val="en-US"/>
        </w:rPr>
        <w:t>WEEK</w:t>
      </w:r>
      <w:r w:rsidR="00C32FB5" w:rsidRPr="00C32FB5">
        <w:rPr>
          <w:b/>
          <w:u w:val="single"/>
          <w:lang w:val="en-US"/>
        </w:rPr>
        <w:t xml:space="preserve"> 5</w:t>
      </w:r>
    </w:p>
    <w:p w14:paraId="46782564" w14:textId="77777777" w:rsidR="000408DF" w:rsidRDefault="000408DF" w:rsidP="000408DF">
      <w:pPr>
        <w:rPr>
          <w:lang w:val="en-US"/>
        </w:rPr>
      </w:pPr>
      <w:r>
        <w:rPr>
          <w:lang w:val="en-US"/>
        </w:rPr>
        <w:t xml:space="preserve">Chile: </w:t>
      </w:r>
      <w:r w:rsidRPr="00C32FB5">
        <w:rPr>
          <w:lang w:val="en-US"/>
        </w:rPr>
        <w:t>socio-political and media context</w:t>
      </w:r>
    </w:p>
    <w:p w14:paraId="0A3F3E54" w14:textId="77777777" w:rsidR="000408DF" w:rsidRDefault="000408DF" w:rsidP="000408DF">
      <w:pPr>
        <w:rPr>
          <w:lang w:val="en-US"/>
        </w:rPr>
      </w:pPr>
      <w:r w:rsidRPr="000408DF">
        <w:rPr>
          <w:lang w:val="en-US"/>
        </w:rPr>
        <w:t>Chile: the media during and after Pinochet</w:t>
      </w:r>
    </w:p>
    <w:p w14:paraId="34AE5D8A" w14:textId="77777777" w:rsidR="00C32FB5" w:rsidRDefault="00C32FB5" w:rsidP="00C32FB5">
      <w:pPr>
        <w:rPr>
          <w:lang w:val="en-US"/>
        </w:rPr>
      </w:pPr>
    </w:p>
    <w:p w14:paraId="20473F84" w14:textId="77777777" w:rsidR="00C32FB5" w:rsidRPr="00C32FB5" w:rsidRDefault="00ED5AD6" w:rsidP="00C32FB5">
      <w:pPr>
        <w:rPr>
          <w:b/>
          <w:u w:val="single"/>
          <w:lang w:val="en-US"/>
        </w:rPr>
      </w:pPr>
      <w:r>
        <w:rPr>
          <w:b/>
          <w:u w:val="single"/>
          <w:lang w:val="en-US"/>
        </w:rPr>
        <w:t>WEEK</w:t>
      </w:r>
      <w:r w:rsidR="00C32FB5" w:rsidRPr="00C32FB5">
        <w:rPr>
          <w:b/>
          <w:u w:val="single"/>
          <w:lang w:val="en-US"/>
        </w:rPr>
        <w:t xml:space="preserve"> 6: </w:t>
      </w:r>
    </w:p>
    <w:p w14:paraId="685C7042" w14:textId="77777777" w:rsidR="000408DF" w:rsidRDefault="000408DF" w:rsidP="000408DF">
      <w:pPr>
        <w:rPr>
          <w:lang w:val="en-US"/>
        </w:rPr>
      </w:pPr>
      <w:r>
        <w:rPr>
          <w:lang w:val="en-US"/>
        </w:rPr>
        <w:t>Chile: the media during and after Pinochet</w:t>
      </w:r>
    </w:p>
    <w:p w14:paraId="3D4B94DB" w14:textId="77777777" w:rsidR="000408DF" w:rsidRPr="000408DF" w:rsidRDefault="000408DF" w:rsidP="000408DF">
      <w:pPr>
        <w:rPr>
          <w:b/>
          <w:lang w:val="en-US"/>
        </w:rPr>
      </w:pPr>
      <w:r w:rsidRPr="000408DF">
        <w:rPr>
          <w:b/>
          <w:lang w:val="en-US"/>
        </w:rPr>
        <w:t xml:space="preserve">Deadline: writing assignment 2 </w:t>
      </w:r>
    </w:p>
    <w:p w14:paraId="179A5939" w14:textId="77777777" w:rsidR="000408DF" w:rsidRPr="00C32FB5" w:rsidRDefault="000408DF" w:rsidP="00C32FB5">
      <w:pPr>
        <w:rPr>
          <w:lang w:val="en-US"/>
        </w:rPr>
      </w:pPr>
    </w:p>
    <w:p w14:paraId="175D9403" w14:textId="77777777" w:rsidR="00C32FB5" w:rsidRDefault="00ED5AD6" w:rsidP="00C32FB5">
      <w:pPr>
        <w:rPr>
          <w:b/>
          <w:u w:val="single"/>
          <w:lang w:val="en-US"/>
        </w:rPr>
      </w:pPr>
      <w:r>
        <w:rPr>
          <w:b/>
          <w:u w:val="single"/>
          <w:lang w:val="en-US"/>
        </w:rPr>
        <w:t>WEEK</w:t>
      </w:r>
      <w:r w:rsidR="00C32FB5" w:rsidRPr="00C32FB5">
        <w:rPr>
          <w:b/>
          <w:u w:val="single"/>
          <w:lang w:val="en-US"/>
        </w:rPr>
        <w:t xml:space="preserve"> 7</w:t>
      </w:r>
    </w:p>
    <w:p w14:paraId="7C03E252" w14:textId="77777777" w:rsidR="000408DF" w:rsidRPr="000408DF" w:rsidRDefault="000408DF" w:rsidP="000408DF">
      <w:pPr>
        <w:rPr>
          <w:lang w:val="en-US"/>
        </w:rPr>
      </w:pPr>
      <w:r w:rsidRPr="000408DF">
        <w:rPr>
          <w:lang w:val="en-US"/>
        </w:rPr>
        <w:t>Colombia: socio-political and media context</w:t>
      </w:r>
    </w:p>
    <w:p w14:paraId="3C0E5C93" w14:textId="77777777" w:rsidR="000408DF" w:rsidRDefault="000408DF" w:rsidP="000408DF">
      <w:pPr>
        <w:rPr>
          <w:lang w:val="en-US"/>
        </w:rPr>
      </w:pPr>
      <w:r w:rsidRPr="000408DF">
        <w:rPr>
          <w:lang w:val="en-US"/>
        </w:rPr>
        <w:t>Colombia: the media and the armed conflict</w:t>
      </w:r>
    </w:p>
    <w:p w14:paraId="0E0245C0" w14:textId="77777777" w:rsidR="00C32FB5" w:rsidRPr="00C32FB5" w:rsidRDefault="00C32FB5" w:rsidP="00C32FB5">
      <w:pPr>
        <w:rPr>
          <w:lang w:val="en-US"/>
        </w:rPr>
      </w:pPr>
    </w:p>
    <w:p w14:paraId="083AA222" w14:textId="77777777" w:rsidR="00C32FB5" w:rsidRPr="00C32FB5" w:rsidRDefault="00ED5AD6" w:rsidP="00C32FB5">
      <w:pPr>
        <w:rPr>
          <w:b/>
          <w:u w:val="single"/>
          <w:lang w:val="en-US"/>
        </w:rPr>
      </w:pPr>
      <w:r>
        <w:rPr>
          <w:b/>
          <w:u w:val="single"/>
          <w:lang w:val="en-US"/>
        </w:rPr>
        <w:t>WEEK</w:t>
      </w:r>
      <w:r w:rsidR="00C32FB5" w:rsidRPr="00C32FB5">
        <w:rPr>
          <w:b/>
          <w:u w:val="single"/>
          <w:lang w:val="en-US"/>
        </w:rPr>
        <w:t xml:space="preserve"> 8</w:t>
      </w:r>
    </w:p>
    <w:p w14:paraId="4C6A9B7D" w14:textId="77777777" w:rsidR="000408DF" w:rsidRDefault="000408DF" w:rsidP="00C32FB5">
      <w:pPr>
        <w:rPr>
          <w:lang w:val="en-US"/>
        </w:rPr>
      </w:pPr>
      <w:r w:rsidRPr="000408DF">
        <w:rPr>
          <w:lang w:val="en-US"/>
        </w:rPr>
        <w:t>Colombia: the media and the armed conflict</w:t>
      </w:r>
    </w:p>
    <w:p w14:paraId="30DBD989" w14:textId="77777777" w:rsidR="000408DF" w:rsidRPr="000408DF" w:rsidRDefault="000408DF" w:rsidP="00C32FB5">
      <w:pPr>
        <w:rPr>
          <w:b/>
          <w:lang w:val="en-US"/>
        </w:rPr>
      </w:pPr>
      <w:r w:rsidRPr="000408DF">
        <w:rPr>
          <w:b/>
          <w:lang w:val="en-US"/>
        </w:rPr>
        <w:t>MID-TERM EXAM</w:t>
      </w:r>
    </w:p>
    <w:p w14:paraId="7D352F69" w14:textId="77777777" w:rsidR="00C32FB5" w:rsidRPr="00C32FB5" w:rsidRDefault="00C32FB5" w:rsidP="00C32FB5">
      <w:pPr>
        <w:rPr>
          <w:lang w:val="en-US"/>
        </w:rPr>
      </w:pPr>
    </w:p>
    <w:p w14:paraId="7C68DCC1" w14:textId="77777777" w:rsidR="00C32FB5" w:rsidRPr="00876329" w:rsidRDefault="00ED5AD6" w:rsidP="00C32FB5">
      <w:pPr>
        <w:rPr>
          <w:b/>
          <w:u w:val="single"/>
          <w:lang w:val="en-US"/>
        </w:rPr>
      </w:pPr>
      <w:r>
        <w:rPr>
          <w:b/>
          <w:u w:val="single"/>
          <w:lang w:val="en-US"/>
        </w:rPr>
        <w:t>WEEK</w:t>
      </w:r>
      <w:r w:rsidR="00C32FB5" w:rsidRPr="00876329">
        <w:rPr>
          <w:b/>
          <w:u w:val="single"/>
          <w:lang w:val="en-US"/>
        </w:rPr>
        <w:t xml:space="preserve"> 9</w:t>
      </w:r>
    </w:p>
    <w:p w14:paraId="5DE9E401" w14:textId="77777777" w:rsidR="000408DF" w:rsidRPr="00876329" w:rsidRDefault="000408DF" w:rsidP="000408DF">
      <w:pPr>
        <w:rPr>
          <w:lang w:val="en-US"/>
        </w:rPr>
      </w:pPr>
      <w:r w:rsidRPr="00876329">
        <w:rPr>
          <w:lang w:val="en-US"/>
        </w:rPr>
        <w:t>Mexico: socio-political and media context</w:t>
      </w:r>
    </w:p>
    <w:p w14:paraId="70DCD8FF" w14:textId="77777777" w:rsidR="000408DF" w:rsidRDefault="000408DF" w:rsidP="000408DF">
      <w:pPr>
        <w:rPr>
          <w:lang w:val="en-US"/>
        </w:rPr>
      </w:pPr>
      <w:r w:rsidRPr="000408DF">
        <w:rPr>
          <w:lang w:val="en-US"/>
        </w:rPr>
        <w:t>Mexico: the media during and after the PRI</w:t>
      </w:r>
    </w:p>
    <w:p w14:paraId="637D9849" w14:textId="77777777" w:rsidR="000408DF" w:rsidRDefault="000408DF" w:rsidP="000408DF">
      <w:pPr>
        <w:rPr>
          <w:lang w:val="en-US"/>
        </w:rPr>
      </w:pPr>
    </w:p>
    <w:p w14:paraId="644806DA" w14:textId="77777777" w:rsidR="00C32FB5" w:rsidRPr="00C32FB5" w:rsidRDefault="00ED5AD6" w:rsidP="00C32FB5">
      <w:pPr>
        <w:rPr>
          <w:b/>
          <w:u w:val="single"/>
          <w:lang w:val="en-US"/>
        </w:rPr>
      </w:pPr>
      <w:r>
        <w:rPr>
          <w:b/>
          <w:u w:val="single"/>
          <w:lang w:val="en-US"/>
        </w:rPr>
        <w:t>WEEK</w:t>
      </w:r>
      <w:r w:rsidR="00C32FB5" w:rsidRPr="00C32FB5">
        <w:rPr>
          <w:b/>
          <w:u w:val="single"/>
          <w:lang w:val="en-US"/>
        </w:rPr>
        <w:t xml:space="preserve"> 10</w:t>
      </w:r>
    </w:p>
    <w:p w14:paraId="3A3BCD56" w14:textId="77777777" w:rsidR="000408DF" w:rsidRPr="000408DF" w:rsidRDefault="000408DF" w:rsidP="000408DF">
      <w:pPr>
        <w:rPr>
          <w:lang w:val="en-US"/>
        </w:rPr>
      </w:pPr>
      <w:r w:rsidRPr="000408DF">
        <w:rPr>
          <w:lang w:val="en-US"/>
        </w:rPr>
        <w:lastRenderedPageBreak/>
        <w:t xml:space="preserve">Mexico: concentration of media and the case of </w:t>
      </w:r>
      <w:proofErr w:type="spellStart"/>
      <w:r w:rsidRPr="000408DF">
        <w:rPr>
          <w:lang w:val="en-US"/>
        </w:rPr>
        <w:t>Televisa</w:t>
      </w:r>
      <w:proofErr w:type="spellEnd"/>
    </w:p>
    <w:p w14:paraId="2341248D" w14:textId="77777777" w:rsidR="000408DF" w:rsidRPr="000408DF" w:rsidRDefault="000408DF" w:rsidP="000408DF">
      <w:pPr>
        <w:rPr>
          <w:lang w:val="en-US"/>
        </w:rPr>
      </w:pPr>
      <w:r w:rsidRPr="000408DF">
        <w:rPr>
          <w:lang w:val="en-US"/>
        </w:rPr>
        <w:t xml:space="preserve">Mexico: violence, journalism and drug trafficking </w:t>
      </w:r>
    </w:p>
    <w:p w14:paraId="1F43B9F3" w14:textId="77777777" w:rsidR="000408DF" w:rsidRPr="00C32FB5" w:rsidRDefault="000408DF" w:rsidP="000408DF">
      <w:pPr>
        <w:rPr>
          <w:lang w:val="en-US"/>
        </w:rPr>
      </w:pPr>
    </w:p>
    <w:p w14:paraId="04416291" w14:textId="77777777" w:rsidR="00C32FB5" w:rsidRPr="000408DF" w:rsidRDefault="00ED5AD6" w:rsidP="00C32FB5">
      <w:pPr>
        <w:rPr>
          <w:b/>
          <w:u w:val="single"/>
          <w:lang w:val="en-US"/>
        </w:rPr>
      </w:pPr>
      <w:r>
        <w:rPr>
          <w:b/>
          <w:u w:val="single"/>
          <w:lang w:val="en-US"/>
        </w:rPr>
        <w:t>WEEK</w:t>
      </w:r>
      <w:r w:rsidR="00C32FB5" w:rsidRPr="000408DF">
        <w:rPr>
          <w:b/>
          <w:u w:val="single"/>
          <w:lang w:val="en-US"/>
        </w:rPr>
        <w:t xml:space="preserve"> 11</w:t>
      </w:r>
    </w:p>
    <w:p w14:paraId="78AB0DC3" w14:textId="77777777" w:rsidR="00E52B12" w:rsidRPr="00922E3B" w:rsidRDefault="00E52B12" w:rsidP="00E52B12">
      <w:pPr>
        <w:rPr>
          <w:lang w:val="en-US"/>
        </w:rPr>
      </w:pPr>
      <w:r w:rsidRPr="00922E3B">
        <w:rPr>
          <w:lang w:val="en-US"/>
        </w:rPr>
        <w:t>Venezuela: socio-political and media context</w:t>
      </w:r>
    </w:p>
    <w:p w14:paraId="5B0CB957" w14:textId="77777777" w:rsidR="00E52B12" w:rsidRPr="00922E3B" w:rsidRDefault="00E52B12" w:rsidP="00E52B12">
      <w:pPr>
        <w:rPr>
          <w:lang w:val="en-US"/>
        </w:rPr>
      </w:pPr>
      <w:r w:rsidRPr="00922E3B">
        <w:rPr>
          <w:lang w:val="en-US"/>
        </w:rPr>
        <w:t>Venezuela: Chávez and the media</w:t>
      </w:r>
    </w:p>
    <w:p w14:paraId="10B549CB" w14:textId="122F2D21" w:rsidR="00E52B12" w:rsidRPr="00922E3B" w:rsidRDefault="00E52B12" w:rsidP="00E52B12">
      <w:pPr>
        <w:rPr>
          <w:lang w:val="en-US"/>
        </w:rPr>
      </w:pPr>
      <w:r w:rsidRPr="00390FF8">
        <w:rPr>
          <w:b/>
          <w:lang w:val="en-US"/>
        </w:rPr>
        <w:t>Deadline: Outline of the final paper</w:t>
      </w:r>
    </w:p>
    <w:p w14:paraId="33127317" w14:textId="77777777" w:rsidR="00390FF8" w:rsidRPr="00922E3B" w:rsidRDefault="00390FF8" w:rsidP="00C32FB5">
      <w:pPr>
        <w:rPr>
          <w:b/>
          <w:lang w:val="en-US"/>
        </w:rPr>
      </w:pPr>
    </w:p>
    <w:p w14:paraId="65D60D6C" w14:textId="3CD31235" w:rsidR="00C32FB5" w:rsidRPr="00922E3B" w:rsidRDefault="00ED5AD6" w:rsidP="00C32FB5">
      <w:pPr>
        <w:rPr>
          <w:b/>
          <w:u w:val="single"/>
          <w:lang w:val="en-US"/>
        </w:rPr>
      </w:pPr>
      <w:r w:rsidRPr="00922E3B">
        <w:rPr>
          <w:b/>
          <w:u w:val="single"/>
          <w:lang w:val="en-US"/>
        </w:rPr>
        <w:t>WEEK</w:t>
      </w:r>
      <w:r w:rsidR="00E52B12" w:rsidRPr="00922E3B">
        <w:rPr>
          <w:b/>
          <w:u w:val="single"/>
          <w:lang w:val="en-US"/>
        </w:rPr>
        <w:t xml:space="preserve"> 12</w:t>
      </w:r>
    </w:p>
    <w:p w14:paraId="5FCDE0CB" w14:textId="77777777" w:rsidR="00390FF8" w:rsidRPr="00922E3B" w:rsidRDefault="00390FF8" w:rsidP="00C32FB5">
      <w:pPr>
        <w:rPr>
          <w:lang w:val="en-US"/>
        </w:rPr>
      </w:pPr>
      <w:r w:rsidRPr="00922E3B">
        <w:rPr>
          <w:lang w:val="en-US"/>
        </w:rPr>
        <w:t>Ecuador: sociopolitical and media context</w:t>
      </w:r>
    </w:p>
    <w:p w14:paraId="7835AF8C" w14:textId="77777777" w:rsidR="00390FF8" w:rsidRPr="00922E3B" w:rsidRDefault="00390FF8" w:rsidP="00C32FB5">
      <w:pPr>
        <w:rPr>
          <w:lang w:val="en-US"/>
        </w:rPr>
      </w:pPr>
      <w:r w:rsidRPr="00922E3B">
        <w:rPr>
          <w:lang w:val="en-US"/>
        </w:rPr>
        <w:t>Ecuador: Correa and the media</w:t>
      </w:r>
    </w:p>
    <w:p w14:paraId="16B2512F" w14:textId="77777777" w:rsidR="00C32FB5" w:rsidRPr="00C32FB5" w:rsidRDefault="00C32FB5" w:rsidP="00C32FB5">
      <w:pPr>
        <w:rPr>
          <w:b/>
          <w:u w:val="single"/>
          <w:lang w:val="en-US"/>
        </w:rPr>
      </w:pPr>
    </w:p>
    <w:p w14:paraId="51E1325E" w14:textId="0845539D" w:rsidR="00C32FB5" w:rsidRDefault="00ED5AD6" w:rsidP="00C32FB5">
      <w:pPr>
        <w:rPr>
          <w:b/>
          <w:u w:val="single"/>
          <w:lang w:val="en-US"/>
        </w:rPr>
      </w:pPr>
      <w:r>
        <w:rPr>
          <w:b/>
          <w:u w:val="single"/>
          <w:lang w:val="en-US"/>
        </w:rPr>
        <w:t>WEEK</w:t>
      </w:r>
      <w:r w:rsidR="00E52B12">
        <w:rPr>
          <w:b/>
          <w:u w:val="single"/>
          <w:lang w:val="en-US"/>
        </w:rPr>
        <w:t xml:space="preserve"> 13</w:t>
      </w:r>
    </w:p>
    <w:p w14:paraId="47562620" w14:textId="77777777" w:rsidR="00390FF8" w:rsidRPr="00390FF8" w:rsidRDefault="00390FF8" w:rsidP="00C32FB5">
      <w:pPr>
        <w:rPr>
          <w:lang w:val="en-US"/>
        </w:rPr>
      </w:pPr>
      <w:r>
        <w:rPr>
          <w:lang w:val="en-US"/>
        </w:rPr>
        <w:t>Digital journalism in Latin America</w:t>
      </w:r>
    </w:p>
    <w:p w14:paraId="4F017BA1" w14:textId="77777777" w:rsidR="00C32FB5" w:rsidRPr="00C32FB5" w:rsidRDefault="00C32FB5" w:rsidP="00C32FB5">
      <w:pPr>
        <w:rPr>
          <w:lang w:val="en-US"/>
        </w:rPr>
      </w:pPr>
      <w:r w:rsidRPr="00C32FB5">
        <w:rPr>
          <w:lang w:val="en-US"/>
        </w:rPr>
        <w:tab/>
      </w:r>
    </w:p>
    <w:p w14:paraId="06F0BFCF" w14:textId="73E23601" w:rsidR="00C32FB5" w:rsidRPr="00C32FB5" w:rsidRDefault="00ED5AD6" w:rsidP="00C32FB5">
      <w:pPr>
        <w:rPr>
          <w:b/>
          <w:u w:val="single"/>
          <w:lang w:val="en-US"/>
        </w:rPr>
      </w:pPr>
      <w:r>
        <w:rPr>
          <w:b/>
          <w:u w:val="single"/>
          <w:lang w:val="en-US"/>
        </w:rPr>
        <w:t>WEEK</w:t>
      </w:r>
      <w:r w:rsidR="00E52B12">
        <w:rPr>
          <w:b/>
          <w:u w:val="single"/>
          <w:lang w:val="en-US"/>
        </w:rPr>
        <w:t xml:space="preserve"> 14</w:t>
      </w:r>
    </w:p>
    <w:p w14:paraId="5CFB2663" w14:textId="77777777" w:rsidR="00C32FB5" w:rsidRDefault="00390FF8" w:rsidP="00C32FB5">
      <w:pPr>
        <w:rPr>
          <w:lang w:val="en-US"/>
        </w:rPr>
      </w:pPr>
      <w:r>
        <w:rPr>
          <w:lang w:val="en-US"/>
        </w:rPr>
        <w:t>Consultation sessions</w:t>
      </w:r>
    </w:p>
    <w:p w14:paraId="29FC9B07" w14:textId="77777777" w:rsidR="00390FF8" w:rsidRPr="00C32FB5" w:rsidRDefault="00390FF8" w:rsidP="00C32FB5">
      <w:pPr>
        <w:rPr>
          <w:b/>
          <w:u w:val="single"/>
          <w:lang w:val="en-US"/>
        </w:rPr>
      </w:pPr>
    </w:p>
    <w:p w14:paraId="5AD42712" w14:textId="2C131452" w:rsidR="00390FF8" w:rsidRPr="00C32FB5" w:rsidRDefault="00E52B12" w:rsidP="00390FF8">
      <w:pPr>
        <w:rPr>
          <w:b/>
          <w:u w:val="single"/>
          <w:lang w:val="en-US"/>
        </w:rPr>
      </w:pPr>
      <w:r>
        <w:rPr>
          <w:b/>
          <w:u w:val="single"/>
          <w:lang w:val="en-US"/>
        </w:rPr>
        <w:t>WEEK 15</w:t>
      </w:r>
    </w:p>
    <w:p w14:paraId="17EBBAFA" w14:textId="72FF678D" w:rsidR="00390FF8" w:rsidRPr="00C32FB5" w:rsidRDefault="00390FF8" w:rsidP="00390FF8">
      <w:pPr>
        <w:rPr>
          <w:lang w:val="en-US"/>
        </w:rPr>
      </w:pPr>
      <w:r w:rsidRPr="00C32FB5">
        <w:rPr>
          <w:lang w:val="en-US"/>
        </w:rPr>
        <w:t xml:space="preserve">FINAL PAPERS / FINAL PRESENTATIONS </w:t>
      </w:r>
    </w:p>
    <w:p w14:paraId="07DCFFCA" w14:textId="77777777" w:rsidR="009E5D05" w:rsidRPr="00C32FB5" w:rsidRDefault="009E5D05" w:rsidP="009E5D05">
      <w:pPr>
        <w:rPr>
          <w:lang w:val="en-US"/>
        </w:rPr>
      </w:pPr>
    </w:p>
    <w:p w14:paraId="444DA23A" w14:textId="77777777" w:rsidR="009E5D05" w:rsidRPr="00C32FB5" w:rsidRDefault="009E5D05" w:rsidP="009E5D05">
      <w:pPr>
        <w:pBdr>
          <w:bottom w:val="single" w:sz="12" w:space="1" w:color="auto"/>
        </w:pBdr>
        <w:tabs>
          <w:tab w:val="left" w:pos="6867"/>
        </w:tabs>
        <w:rPr>
          <w:i/>
          <w:lang w:val="en-US"/>
        </w:rPr>
      </w:pPr>
      <w:r w:rsidRPr="00C32FB5">
        <w:rPr>
          <w:i/>
          <w:lang w:val="en-US"/>
        </w:rPr>
        <w:t>NOTE: This syllabus is subject to change at the discretion of the instructor to accommodate instructional and/or student needs.</w:t>
      </w:r>
      <w:r w:rsidRPr="00C32FB5">
        <w:rPr>
          <w:i/>
          <w:lang w:val="en-US"/>
        </w:rPr>
        <w:tab/>
      </w:r>
    </w:p>
    <w:p w14:paraId="71556D99" w14:textId="77777777" w:rsidR="009E5D05" w:rsidRPr="00C32FB5" w:rsidRDefault="009E5D05" w:rsidP="009E5D05">
      <w:pPr>
        <w:rPr>
          <w:b/>
          <w:lang w:val="en-US"/>
        </w:rPr>
      </w:pPr>
    </w:p>
    <w:p w14:paraId="755A8150" w14:textId="77777777" w:rsidR="009E5D05" w:rsidRPr="00C32FB5" w:rsidRDefault="009E5D05" w:rsidP="009E5D05">
      <w:pPr>
        <w:widowControl w:val="0"/>
        <w:autoSpaceDE w:val="0"/>
        <w:autoSpaceDN w:val="0"/>
        <w:adjustRightInd w:val="0"/>
        <w:rPr>
          <w:b/>
          <w:lang w:val="en-US"/>
        </w:rPr>
      </w:pPr>
      <w:r w:rsidRPr="00C32FB5">
        <w:rPr>
          <w:b/>
          <w:lang w:val="en-US"/>
        </w:rPr>
        <w:t>Academic Honesty:</w:t>
      </w:r>
    </w:p>
    <w:p w14:paraId="2C1FC849" w14:textId="77777777" w:rsidR="009E5D05" w:rsidRPr="00C32FB5" w:rsidRDefault="009E5D05" w:rsidP="009E5D05">
      <w:pPr>
        <w:widowControl w:val="0"/>
        <w:autoSpaceDE w:val="0"/>
        <w:autoSpaceDN w:val="0"/>
        <w:adjustRightInd w:val="0"/>
        <w:rPr>
          <w:lang w:val="en-US"/>
        </w:rPr>
      </w:pPr>
    </w:p>
    <w:p w14:paraId="5A53537D" w14:textId="77777777" w:rsidR="009E5D05" w:rsidRPr="00C32FB5" w:rsidRDefault="009E5D05" w:rsidP="009E5D05">
      <w:pPr>
        <w:widowControl w:val="0"/>
        <w:autoSpaceDE w:val="0"/>
        <w:autoSpaceDN w:val="0"/>
        <w:adjustRightInd w:val="0"/>
        <w:jc w:val="both"/>
        <w:rPr>
          <w:lang w:val="en-US"/>
        </w:rPr>
      </w:pPr>
      <w:r w:rsidRPr="00C32FB5">
        <w:rPr>
          <w:lang w:val="en-US"/>
        </w:rPr>
        <w:tab/>
        <w:t xml:space="preserve">As a student at Georgia Tech, you are expected to fully understand and to carefully follow the policies and standards of academic honesty set forth in </w:t>
      </w:r>
      <w:r w:rsidRPr="00C32FB5">
        <w:rPr>
          <w:i/>
          <w:lang w:val="en-US"/>
        </w:rPr>
        <w:t>The</w:t>
      </w:r>
      <w:r w:rsidRPr="00C32FB5">
        <w:rPr>
          <w:lang w:val="en-US"/>
        </w:rPr>
        <w:t xml:space="preserve"> </w:t>
      </w:r>
      <w:r w:rsidRPr="00C32FB5">
        <w:rPr>
          <w:i/>
          <w:lang w:val="en-US"/>
        </w:rPr>
        <w:t>Student Handbook</w:t>
      </w:r>
      <w:r w:rsidRPr="00C32FB5">
        <w:rPr>
          <w:lang w:val="en-US"/>
        </w:rPr>
        <w:t>, which is available from the office of the Dean of Students and online. Lack of familiarity 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14:paraId="49B6BA60" w14:textId="77777777" w:rsidR="009E5D05" w:rsidRPr="00C32FB5" w:rsidRDefault="009E5D05" w:rsidP="009E5D05">
      <w:pPr>
        <w:widowControl w:val="0"/>
        <w:autoSpaceDE w:val="0"/>
        <w:autoSpaceDN w:val="0"/>
        <w:adjustRightInd w:val="0"/>
        <w:rPr>
          <w:lang w:val="en-US"/>
        </w:rPr>
      </w:pPr>
    </w:p>
    <w:p w14:paraId="0218D829" w14:textId="77777777" w:rsidR="009E5D05" w:rsidRPr="00C32FB5" w:rsidRDefault="009E5D05" w:rsidP="009E5D05">
      <w:pPr>
        <w:widowControl w:val="0"/>
        <w:autoSpaceDE w:val="0"/>
        <w:autoSpaceDN w:val="0"/>
        <w:adjustRightInd w:val="0"/>
        <w:jc w:val="both"/>
        <w:rPr>
          <w:lang w:val="en-US"/>
        </w:rPr>
      </w:pPr>
      <w:r w:rsidRPr="00C32FB5">
        <w:rPr>
          <w:lang w:val="en-US"/>
        </w:rPr>
        <w:tab/>
        <w:t>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APA, will offer guidelines regarding attribution, quotation, and citation, and these rules should be followed completely and consistently. These rules apply equally to books, journals, newspapers, other hard copy publications, and materials obtained over the Internet.</w:t>
      </w:r>
    </w:p>
    <w:p w14:paraId="0E2943DC" w14:textId="77777777" w:rsidR="00407D82" w:rsidRPr="00C32FB5" w:rsidRDefault="00407D82" w:rsidP="002340D6">
      <w:pPr>
        <w:rPr>
          <w:b/>
          <w:lang w:val="en-US"/>
        </w:rPr>
      </w:pPr>
    </w:p>
    <w:p w14:paraId="601D13C8" w14:textId="77777777" w:rsidR="00407D82" w:rsidRPr="00C32FB5" w:rsidRDefault="00407D82" w:rsidP="002340D6">
      <w:pPr>
        <w:rPr>
          <w:b/>
          <w:lang w:val="en-US"/>
        </w:rPr>
      </w:pPr>
    </w:p>
    <w:p w14:paraId="568CCDBA" w14:textId="77777777" w:rsidR="00C541D9" w:rsidRPr="00C32FB5" w:rsidRDefault="00C541D9" w:rsidP="002340D6">
      <w:pPr>
        <w:rPr>
          <w:b/>
          <w:lang w:val="en-US"/>
        </w:rPr>
      </w:pPr>
    </w:p>
    <w:p w14:paraId="72BD2BE3" w14:textId="77777777" w:rsidR="001137EA" w:rsidRPr="00C32FB5" w:rsidRDefault="001137EA" w:rsidP="002340D6">
      <w:pPr>
        <w:rPr>
          <w:lang w:val="en-US"/>
        </w:rPr>
      </w:pPr>
    </w:p>
    <w:p w14:paraId="5E49A311" w14:textId="77777777" w:rsidR="00DF201A" w:rsidRPr="00C32FB5" w:rsidRDefault="00DF201A">
      <w:pPr>
        <w:rPr>
          <w:lang w:val="en-US"/>
        </w:rPr>
      </w:pPr>
    </w:p>
    <w:sectPr w:rsidR="00DF201A" w:rsidRPr="00C32FB5" w:rsidSect="00DF201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modern"/>
    <w:pitch w:val="fixed"/>
    <w:sig w:usb0="00000287" w:usb1="08070000"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764A0"/>
    <w:multiLevelType w:val="hybridMultilevel"/>
    <w:tmpl w:val="2ABA6D4E"/>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673E7"/>
    <w:multiLevelType w:val="hybridMultilevel"/>
    <w:tmpl w:val="8C7AC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2572C"/>
    <w:multiLevelType w:val="hybridMultilevel"/>
    <w:tmpl w:val="E478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A634E"/>
    <w:multiLevelType w:val="hybridMultilevel"/>
    <w:tmpl w:val="D11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D1817"/>
    <w:multiLevelType w:val="hybridMultilevel"/>
    <w:tmpl w:val="9E603B14"/>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F11F5"/>
    <w:multiLevelType w:val="hybridMultilevel"/>
    <w:tmpl w:val="0E46CFF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3EAC1FB2"/>
    <w:multiLevelType w:val="hybridMultilevel"/>
    <w:tmpl w:val="2E7A543C"/>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F101A"/>
    <w:multiLevelType w:val="hybridMultilevel"/>
    <w:tmpl w:val="C43CE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2415F4"/>
    <w:multiLevelType w:val="hybridMultilevel"/>
    <w:tmpl w:val="11288606"/>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E6AFE"/>
    <w:multiLevelType w:val="hybridMultilevel"/>
    <w:tmpl w:val="9CAA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6F87FE1"/>
    <w:multiLevelType w:val="hybridMultilevel"/>
    <w:tmpl w:val="7680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847A1"/>
    <w:multiLevelType w:val="hybridMultilevel"/>
    <w:tmpl w:val="3A367E6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92172C"/>
    <w:multiLevelType w:val="hybridMultilevel"/>
    <w:tmpl w:val="58226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4261B1"/>
    <w:multiLevelType w:val="hybridMultilevel"/>
    <w:tmpl w:val="00DE92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74AB237D"/>
    <w:multiLevelType w:val="hybridMultilevel"/>
    <w:tmpl w:val="31561704"/>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1">
      <w:start w:val="1"/>
      <w:numFmt w:val="bullet"/>
      <w:lvlText w:val=""/>
      <w:lvlJc w:val="left"/>
      <w:pPr>
        <w:tabs>
          <w:tab w:val="num" w:pos="1080"/>
        </w:tabs>
        <w:ind w:left="1080" w:hanging="360"/>
      </w:pPr>
      <w:rPr>
        <w:rFonts w:ascii="Symbol" w:hAnsi="Symbol" w:hint="default"/>
        <w:b/>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6"/>
  </w:num>
  <w:num w:numId="3">
    <w:abstractNumId w:val="8"/>
  </w:num>
  <w:num w:numId="4">
    <w:abstractNumId w:val="13"/>
  </w:num>
  <w:num w:numId="5">
    <w:abstractNumId w:val="4"/>
  </w:num>
  <w:num w:numId="6">
    <w:abstractNumId w:val="2"/>
  </w:num>
  <w:num w:numId="7">
    <w:abstractNumId w:val="6"/>
  </w:num>
  <w:num w:numId="8">
    <w:abstractNumId w:val="15"/>
  </w:num>
  <w:num w:numId="9">
    <w:abstractNumId w:val="0"/>
  </w:num>
  <w:num w:numId="10">
    <w:abstractNumId w:val="3"/>
  </w:num>
  <w:num w:numId="11">
    <w:abstractNumId w:val="9"/>
  </w:num>
  <w:num w:numId="12">
    <w:abstractNumId w:val="7"/>
  </w:num>
  <w:num w:numId="13">
    <w:abstractNumId w:val="1"/>
  </w:num>
  <w:num w:numId="14">
    <w:abstractNumId w:val="5"/>
  </w:num>
  <w:num w:numId="15">
    <w:abstractNumId w:val="12"/>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D6"/>
    <w:rsid w:val="000408DF"/>
    <w:rsid w:val="000743FE"/>
    <w:rsid w:val="000A138C"/>
    <w:rsid w:val="00106488"/>
    <w:rsid w:val="001137EA"/>
    <w:rsid w:val="00125186"/>
    <w:rsid w:val="001C50E1"/>
    <w:rsid w:val="001D1EAA"/>
    <w:rsid w:val="001F4C77"/>
    <w:rsid w:val="002340D6"/>
    <w:rsid w:val="00262A0C"/>
    <w:rsid w:val="002B674C"/>
    <w:rsid w:val="00302BD9"/>
    <w:rsid w:val="00306B7B"/>
    <w:rsid w:val="003756BC"/>
    <w:rsid w:val="00375773"/>
    <w:rsid w:val="003760DD"/>
    <w:rsid w:val="00382BFE"/>
    <w:rsid w:val="00386FB1"/>
    <w:rsid w:val="00390FF8"/>
    <w:rsid w:val="003D79F0"/>
    <w:rsid w:val="00407D82"/>
    <w:rsid w:val="00424225"/>
    <w:rsid w:val="0042714A"/>
    <w:rsid w:val="004371FA"/>
    <w:rsid w:val="00437706"/>
    <w:rsid w:val="004A79D3"/>
    <w:rsid w:val="004F10B6"/>
    <w:rsid w:val="0054618A"/>
    <w:rsid w:val="0058117D"/>
    <w:rsid w:val="00596607"/>
    <w:rsid w:val="005B10FF"/>
    <w:rsid w:val="005B3B2F"/>
    <w:rsid w:val="005D0225"/>
    <w:rsid w:val="0063157D"/>
    <w:rsid w:val="00651BF0"/>
    <w:rsid w:val="00660847"/>
    <w:rsid w:val="00666398"/>
    <w:rsid w:val="00677115"/>
    <w:rsid w:val="00715283"/>
    <w:rsid w:val="007B3975"/>
    <w:rsid w:val="007F443F"/>
    <w:rsid w:val="00841A4F"/>
    <w:rsid w:val="00876329"/>
    <w:rsid w:val="00922E3B"/>
    <w:rsid w:val="009416ED"/>
    <w:rsid w:val="00975F94"/>
    <w:rsid w:val="00994E8D"/>
    <w:rsid w:val="009C787C"/>
    <w:rsid w:val="009E4B71"/>
    <w:rsid w:val="009E5D05"/>
    <w:rsid w:val="00A73892"/>
    <w:rsid w:val="00AB39BC"/>
    <w:rsid w:val="00AE1A70"/>
    <w:rsid w:val="00AF78B4"/>
    <w:rsid w:val="00BA6EFA"/>
    <w:rsid w:val="00BB4825"/>
    <w:rsid w:val="00BB647C"/>
    <w:rsid w:val="00BD4939"/>
    <w:rsid w:val="00BF06E3"/>
    <w:rsid w:val="00C32FB5"/>
    <w:rsid w:val="00C404C5"/>
    <w:rsid w:val="00C541D9"/>
    <w:rsid w:val="00C72F72"/>
    <w:rsid w:val="00C86890"/>
    <w:rsid w:val="00CB5174"/>
    <w:rsid w:val="00D11EA2"/>
    <w:rsid w:val="00DA7B95"/>
    <w:rsid w:val="00DB7537"/>
    <w:rsid w:val="00DF201A"/>
    <w:rsid w:val="00E05BD3"/>
    <w:rsid w:val="00E52B12"/>
    <w:rsid w:val="00E752B2"/>
    <w:rsid w:val="00E87094"/>
    <w:rsid w:val="00E9264A"/>
    <w:rsid w:val="00EB7093"/>
    <w:rsid w:val="00ED01E4"/>
    <w:rsid w:val="00ED1525"/>
    <w:rsid w:val="00ED5AD6"/>
    <w:rsid w:val="00EE36F6"/>
    <w:rsid w:val="00EF2AF1"/>
    <w:rsid w:val="00F15810"/>
    <w:rsid w:val="00F76B5E"/>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0E7996"/>
  <w15:docId w15:val="{083F84BD-0C97-410B-9B11-880A9441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FF8"/>
    <w:rPr>
      <w:rFonts w:ascii="Times New Roman" w:eastAsia="Times New Roman" w:hAnsi="Times New Roman" w:cs="Times New Roman"/>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01">
    <w:name w:val="text101"/>
    <w:basedOn w:val="DefaultParagraphFont"/>
    <w:rsid w:val="002340D6"/>
    <w:rPr>
      <w:rFonts w:ascii="Verdana" w:hAnsi="Verdana" w:hint="default"/>
      <w:color w:val="000000"/>
      <w:sz w:val="15"/>
      <w:szCs w:val="15"/>
    </w:rPr>
  </w:style>
  <w:style w:type="paragraph" w:styleId="ListParagraph">
    <w:name w:val="List Paragraph"/>
    <w:basedOn w:val="Normal"/>
    <w:uiPriority w:val="34"/>
    <w:qFormat/>
    <w:rsid w:val="00677115"/>
    <w:pPr>
      <w:ind w:left="720"/>
      <w:contextualSpacing/>
    </w:pPr>
  </w:style>
  <w:style w:type="character" w:styleId="Hyperlink">
    <w:name w:val="Hyperlink"/>
    <w:basedOn w:val="DefaultParagraphFont"/>
    <w:uiPriority w:val="99"/>
    <w:unhideWhenUsed/>
    <w:rsid w:val="0058117D"/>
    <w:rPr>
      <w:color w:val="0000FF" w:themeColor="hyperlink"/>
      <w:u w:val="single"/>
    </w:rPr>
  </w:style>
  <w:style w:type="character" w:styleId="FollowedHyperlink">
    <w:name w:val="FollowedHyperlink"/>
    <w:basedOn w:val="DefaultParagraphFont"/>
    <w:uiPriority w:val="99"/>
    <w:semiHidden/>
    <w:unhideWhenUsed/>
    <w:rsid w:val="00EB70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304470">
      <w:bodyDiv w:val="1"/>
      <w:marLeft w:val="0"/>
      <w:marRight w:val="0"/>
      <w:marTop w:val="0"/>
      <w:marBottom w:val="0"/>
      <w:divBdr>
        <w:top w:val="none" w:sz="0" w:space="0" w:color="auto"/>
        <w:left w:val="none" w:sz="0" w:space="0" w:color="auto"/>
        <w:bottom w:val="none" w:sz="0" w:space="0" w:color="auto"/>
        <w:right w:val="none" w:sz="0" w:space="0" w:color="auto"/>
      </w:divBdr>
    </w:div>
    <w:div w:id="1404065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talog.gatech.edu/rules/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F608E-9B86-4EEB-810E-F854C471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Rodriguez</dc:creator>
  <cp:lastModifiedBy>Shook, David J</cp:lastModifiedBy>
  <cp:revision>4</cp:revision>
  <dcterms:created xsi:type="dcterms:W3CDTF">2017-09-17T14:17:00Z</dcterms:created>
  <dcterms:modified xsi:type="dcterms:W3CDTF">2017-10-12T14:30:00Z</dcterms:modified>
</cp:coreProperties>
</file>