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97D"/>
          <w:sz w:val="30"/>
        </w:rPr>
        <w:t>Hotel Booking Cancellation Prediction &amp; Overbooking Decision Support</w:t>
      </w:r>
    </w:p>
    <w:p>
      <w:pPr>
        <w:spacing w:before="0" w:after="200"/>
        <w:jc w:val="center"/>
      </w:pPr>
      <w:r>
        <w:rPr>
          <w:i/>
          <w:sz w:val="20"/>
        </w:rPr>
        <w:t>Final Project — Artificial Intelligence II</w:t>
      </w:r>
    </w:p>
    <w:p>
      <w:pPr>
        <w:pStyle w:val="Heading1"/>
        <w:spacing w:before="160" w:after="60"/>
        <w:jc w:val="left"/>
      </w:pPr>
      <w:r>
        <w:rPr>
          <w:b/>
          <w:color w:val="1F497D"/>
          <w:sz w:val="26"/>
        </w:rPr>
        <w:t>1. Problem Definition</w:t>
      </w:r>
    </w:p>
    <w:p>
      <w:pPr>
        <w:spacing w:before="0" w:after="60" w:line="240" w:lineRule="exact"/>
      </w:pPr>
      <w:r>
        <w:rPr>
          <w:sz w:val="20"/>
        </w:rPr>
        <w:t>Hotel revenue management hinges on a fundamental tension: a fully booked hotel maximises revenue, yet cancellations routinely leave rooms empty on the night. The global average hotel cancellation rate has risen steadily, reaching roughly 40% in the post-pandemic period, representing a direct loss of potential revenue and compounding planning difficulties for staffing and procurement. Overbooking — deliberately accepting more reservations than physical capacity — is the standard industry counter-measure, but it carries its own cost: if too many guests show up, the hotel must 'walk' paying guests, incurring compensation costs, reputational damage, and potential contract penalties.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Business Decision Supported</w:t>
      </w:r>
    </w:p>
    <w:p>
      <w:pPr>
        <w:spacing w:before="0" w:after="60" w:line="240" w:lineRule="exact"/>
      </w:pPr>
      <w:r>
        <w:rPr>
          <w:sz w:val="20"/>
        </w:rPr>
        <w:t xml:space="preserve">This project supports a real-time accept / reject decision for each incoming booking request. When a new reservation arrives, the system answers: given current bookings and their individual cancellation likelihoods, does accepting this guest push the expected number of arrivals above a safe threshold for their room type? The target variable is therefore binary: </w:t>
      </w:r>
    </w:p>
    <w:p>
      <w:pPr>
        <w:pStyle w:val="ListBullet"/>
        <w:spacing w:before="0" w:after="40" w:line="220" w:lineRule="exact"/>
      </w:pPr>
      <w:r>
        <w:rPr>
          <w:sz w:val="20"/>
        </w:rPr>
        <w:t>is_canceled = 1  — the booking will be cancelled before arrival</w:t>
      </w:r>
    </w:p>
    <w:p>
      <w:pPr>
        <w:pStyle w:val="ListBullet"/>
        <w:spacing w:before="0" w:after="40" w:line="220" w:lineRule="exact"/>
      </w:pPr>
      <w:r>
        <w:rPr>
          <w:sz w:val="20"/>
        </w:rPr>
        <w:t>is_canceled = 0  — the guest will show up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Why Prediction Is Useful</w:t>
      </w:r>
    </w:p>
    <w:p>
      <w:pPr>
        <w:spacing w:before="0" w:after="60" w:line="240" w:lineRule="exact"/>
      </w:pPr>
      <w:r>
        <w:rPr>
          <w:sz w:val="20"/>
        </w:rPr>
        <w:t>A rule-based overbooking policy (e.g. 'always overbook by 10%') ignores heterogeneity: a non-refundable direct booking and a free-cancellation online-TA booking carry vastly different cancellation risks. By assigning each booking an individual cancellation probability, the hotel can compute expected arrivals with far greater precision. This per-booking probability feeds directly into a Monte Carlo simulation that models the full distribution of arrivals, enabling data-driven, room-type-specific overbooking decisions rather than blunt hotel-wide rules.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Operational Workflow</w:t>
      </w:r>
    </w:p>
    <w:p>
      <w:pPr>
        <w:spacing w:before="0" w:after="60" w:line="240" w:lineRule="exact"/>
      </w:pPr>
      <w:r>
        <w:rPr>
          <w:sz w:val="20"/>
        </w:rPr>
        <w:t>In day-to-day use the pipeline operates as follows: (1) a reservations agent enters a new booking's attributes into the Streamlit decision tool; (2) the trained Random Forest model scores the booking and returns a cancellation probability; (3) that probability is combined with all existing bookings for the same room type in a 10,000-run Monte Carlo simulation; (4) if expected arrivals after adding the new guest remain within effective capacity (room-type capacity plus upgrade buffer), the booking is accepted — otherwise it is rejected. The entire process runs in under one second, making it suitable for live front-desk or online-channel use.</w:t>
      </w:r>
    </w:p>
    <w:p>
      <w:pPr>
        <w:pStyle w:val="Heading1"/>
        <w:spacing w:before="160" w:after="60"/>
        <w:jc w:val="left"/>
      </w:pPr>
      <w:r>
        <w:rPr>
          <w:b/>
          <w:color w:val="1F497D"/>
          <w:sz w:val="26"/>
        </w:rPr>
        <w:t>2. Dataset, EDA &amp; Feature Engineering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Dataset Overview</w:t>
      </w:r>
    </w:p>
    <w:p>
      <w:pPr>
        <w:spacing w:before="0" w:after="60" w:line="240" w:lineRule="exact"/>
      </w:pPr>
      <w:r>
        <w:rPr>
          <w:sz w:val="20"/>
        </w:rPr>
        <w:t>The analysis uses the publicly available Hotel Booking Demand dataset (Mostipak, Kaggle), containing 119,390 reservations across a City Hotel and a Resort Hotel spanning 2015–2017. The raw dataset includes 32 columns covering booking origin, stay characteristics, guest history, room type, pricing, and the outcome label is_canceled. The overall cancellation rate is 37.0%, creating a moderate class imbalance (37% positive, 63% negative) that was preserved through stratified splitting.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Data Cleaning &amp; Leakage Removal</w:t>
      </w:r>
    </w:p>
    <w:p>
      <w:pPr>
        <w:spacing w:before="0" w:after="60" w:line="240" w:lineRule="exact"/>
      </w:pPr>
      <w:r>
        <w:rPr>
          <w:sz w:val="20"/>
        </w:rPr>
        <w:t>Three columns were removed as data-leakage risks — they are only populated after a booking resolves and therefore cannot exist at prediction time: reservation_status, reservation_status_date, and assigned_room_type. Four rows with null children values were dropped. Agent and company NaN values were imputed as 0 (interpretable as 'no agent / no company involvement'). Complimentary room type P was excluded to maintain a consistent room-type encoding. The cleaned dataset retains 119,386 rows.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Exploratory Data Analysis</w:t>
      </w:r>
    </w:p>
    <w:p>
      <w:pPr>
        <w:spacing w:before="0" w:after="60" w:line="240" w:lineRule="exact"/>
      </w:pPr>
      <w:r>
        <w:rPr>
          <w:sz w:val="20"/>
        </w:rPr>
        <w:t>Key EDA findings: (1) cancellation rates differ materially by deposit type — non-refundable deposits paradoxically show high cancellation in the raw data, likely reflecting channel-specific booking patterns; (2) lead time is strongly positively correlated with cancellation; (3) the City Hotel cancels at a higher rate than the Resort Hotel; (4) guests from certain origin countries (notably Portugal) cancel at rates above the global mean. These patterns informed both feature retention and encoding decisions.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Feature Engineering &amp; Selection</w:t>
      </w:r>
    </w:p>
    <w:p>
      <w:pPr>
        <w:spacing w:before="0" w:after="60" w:line="240" w:lineRule="exact"/>
      </w:pPr>
      <w:r>
        <w:rPr>
          <w:sz w:val="20"/>
        </w:rPr>
        <w:t>Categorical encoding followed two strategies: ordinal encoding for room type (A–L mapped to 1–9, reflecting an assumed quality hierarchy) and month (mapped to 1–12); one-hot encoding for eight nominal columns (hotel, meal, country, market_segment, distribution_channel, deposit_type, customer_type). Rare countries were grouped as 'Other' to reduce dimensionality and prevent sparse columns from inflating the feature space. After encoding the dataset expands to 78 candidate features.</w:t>
      </w:r>
    </w:p>
    <w:p>
      <w:pPr>
        <w:spacing w:before="0" w:after="60" w:line="240" w:lineRule="exact"/>
      </w:pPr>
      <w:r>
        <w:rPr>
          <w:sz w:val="20"/>
        </w:rPr>
        <w:t>Feature selection was driven by a preliminary Random Forest trained solely on the training partition. Features were ranked by mean impurity reduction (Gini importance) and a cumulative-importance threshold of 95% was applied: only features whose cumulative contribution reaches that threshold are retained. This yielded 40 features — roughly half the candidate set — with the importance curve visibly flattening beyond that point. The reduction cuts inference latency and prevents overfitting to noise features without sacrificing predictive power, an important scalability consideration for a live decision tool.</w:t>
      </w:r>
    </w:p>
    <w:p>
      <w:pPr>
        <w:spacing w:before="0" w:after="60" w:line="240" w:lineRule="exact"/>
      </w:pPr>
      <w:r>
        <w:rPr>
          <w:b/>
          <w:sz w:val="20"/>
        </w:rPr>
        <w:t xml:space="preserve">Top predictors — </w:t>
      </w:r>
      <w:r>
        <w:rPr>
          <w:sz w:val="20"/>
        </w:rPr>
        <w:t xml:space="preserve">The most informative features include: </w:t>
      </w:r>
    </w:p>
    <w:p>
      <w:pPr>
        <w:pStyle w:val="ListBullet"/>
        <w:spacing w:before="0" w:after="40" w:line="220" w:lineRule="exact"/>
      </w:pPr>
      <w:r>
        <w:rPr>
          <w:sz w:val="20"/>
        </w:rPr>
        <w:t>lead_time — longer lead times signal higher cancellation risk</w:t>
      </w:r>
    </w:p>
    <w:p>
      <w:pPr>
        <w:pStyle w:val="ListBullet"/>
        <w:spacing w:before="0" w:after="40" w:line="220" w:lineRule="exact"/>
      </w:pPr>
      <w:r>
        <w:rPr>
          <w:sz w:val="20"/>
        </w:rPr>
        <w:t>deposit_type_Non Refund — counterintuitively associated with cancellations</w:t>
      </w:r>
    </w:p>
    <w:p>
      <w:pPr>
        <w:pStyle w:val="ListBullet"/>
        <w:spacing w:before="0" w:after="40" w:line="220" w:lineRule="exact"/>
      </w:pPr>
      <w:r>
        <w:rPr>
          <w:sz w:val="20"/>
        </w:rPr>
        <w:t>adr (average daily rate) — pricing tier correlates with booking intent</w:t>
      </w:r>
    </w:p>
    <w:p>
      <w:pPr>
        <w:pStyle w:val="ListBullet"/>
        <w:spacing w:before="0" w:after="40" w:line="220" w:lineRule="exact"/>
      </w:pPr>
      <w:r>
        <w:rPr>
          <w:sz w:val="20"/>
        </w:rPr>
        <w:t>previous_cancellations — guest history is a strong behavioural signal</w:t>
      </w:r>
    </w:p>
    <w:p>
      <w:pPr>
        <w:pStyle w:val="ListBullet"/>
        <w:spacing w:before="0" w:after="40" w:line="220" w:lineRule="exact"/>
      </w:pPr>
      <w:r>
        <w:rPr>
          <w:sz w:val="20"/>
        </w:rPr>
        <w:t>total_of_special_requests — more requests correlate with genuine intent to stay</w:t>
      </w:r>
    </w:p>
    <w:p>
      <w:pPr>
        <w:pStyle w:val="ListBullet"/>
        <w:spacing w:before="0" w:after="40" w:line="220" w:lineRule="exact"/>
      </w:pPr>
      <w:r>
        <w:rPr>
          <w:sz w:val="20"/>
        </w:rPr>
        <w:t>country of origin, market_segment, distribution_channel</w:t>
      </w:r>
    </w:p>
    <w:p>
      <w:pPr>
        <w:pStyle w:val="Heading1"/>
        <w:spacing w:before="160" w:after="60"/>
        <w:jc w:val="left"/>
      </w:pPr>
      <w:r>
        <w:rPr>
          <w:b/>
          <w:color w:val="1F497D"/>
          <w:sz w:val="26"/>
        </w:rPr>
        <w:t>3. Model Implementation, Evaluation &amp; Decision System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Model Choice &amp; Justification</w:t>
      </w:r>
    </w:p>
    <w:p>
      <w:pPr>
        <w:spacing w:before="0" w:after="60" w:line="240" w:lineRule="exact"/>
      </w:pPr>
      <w:r>
        <w:rPr>
          <w:sz w:val="20"/>
        </w:rPr>
        <w:t>Six classifiers were trained on the same 75/25 stratified train/test split (random_state=42), allowing direct apples-to-apples comparison. Logistic Regression provides an interpretable linear baseline. Random Forest and XGBoost were included as the two dominant tree-ensemble paradigms in structured-data ML. LightGBM adds leaf-wise gradient boosting, which tends to outperform depth-wise methods on large tabular datasets. A two-layer MLP (128 → 64 ReLU units) tests whether a neural approach adds value over ensemble trees. Finally, a soft-voting ensemble combines all four strong learners to assess whether diversity improves calibration.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Training Procedure &amp; Validation</w:t>
      </w:r>
    </w:p>
    <w:p>
      <w:pPr>
        <w:spacing w:before="0" w:after="60" w:line="240" w:lineRule="exact"/>
      </w:pPr>
      <w:r>
        <w:rPr>
          <w:sz w:val="20"/>
        </w:rPr>
        <w:t>Tree-based models were trained on raw (unscaled) features; the MLP and the logistic regression component within the ensemble were wrapped in a StandardScaler pipeline to prevent gradient and distance distortion. Hyperparameter tuning was applied to Random Forest and XGBoost via RandomizedSearchCV (20 iterations, 3-fold CV, scoring=ROC-AUC). LightGBM used its high-quality defaults without further tuning. The MLP used early stopping (monitoring a held-out 10% validation subset) to prevent over-training. Model generalisation was validated with 5-fold stratified cross-validation (ROC-AUC) on the full dataset to confirm that test-set results were not artefacts of a single split.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Evaluation Metrics</w:t>
      </w:r>
    </w:p>
    <w:p>
      <w:pPr>
        <w:spacing w:before="0" w:after="60" w:line="240" w:lineRule="exact"/>
      </w:pPr>
      <w:r>
        <w:rPr>
          <w:sz w:val="20"/>
        </w:rPr>
        <w:t>ROC-AUC is the primary ranking metric because the downstream Monte Carlo system consumes calibrated probabilities, not hard class labels. A model that ranks cancellation risk correctly across the full probability range is more valuable than one optimised for a single threshold. Accuracy, Precision, Recall, and F1 are reported as secondary metrics; the F1-optimal decision threshold (rather than the default 0.5) is identified on a validation subset and applied at test time to reflect the asymmetric costs of false positives (walking a guest) versus false negatives (under-booking).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Model 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21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7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AUC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AUC (±SD)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0.805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0.803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0.628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0.705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0.885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18"/>
              </w:rPr>
              <w:t>0.886 ±0.001</w:t>
            </w:r>
          </w:p>
        </w:tc>
      </w:tr>
      <w:tr>
        <w:tc>
          <w:tcPr>
            <w:tcW w:type="dxa" w:w="2154"/>
            <w:shd w:val="clear" w:color="auto" w:fill="D6E4F0"/>
          </w:tcPr>
          <w:p>
            <w:pPr>
              <w:jc w:val="left"/>
            </w:pPr>
            <w:r>
              <w:rPr>
                <w:b/>
                <w:sz w:val="18"/>
              </w:rPr>
              <w:t>Random Forest (tuned)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0.889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0.879</w:t>
            </w:r>
          </w:p>
        </w:tc>
        <w:tc>
          <w:tcPr>
            <w:tcW w:type="dxa" w:w="907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0.811</w:t>
            </w:r>
          </w:p>
        </w:tc>
        <w:tc>
          <w:tcPr>
            <w:tcW w:type="dxa" w:w="794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0.844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0.958</w:t>
            </w:r>
          </w:p>
        </w:tc>
        <w:tc>
          <w:tcPr>
            <w:tcW w:type="dxa" w:w="1361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0.960 ±0.001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XGBoost (tuned)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0.879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0.857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0.807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0.831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0.952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18"/>
              </w:rPr>
              <w:t>0.944 ±0.001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0.877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0.859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0.798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0.827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0.951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18"/>
              </w:rPr>
              <w:t>0.947 ±0.001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MLP (Neural Network)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0.863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0.846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0.771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0.807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0.939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18"/>
              </w:rPr>
              <w:t>0.934 ±0.001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Soft-Voting Ensemble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0.878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0.876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  <w:t>0.780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0.826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0.951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>
      <w:pPr>
        <w:spacing w:before="0" w:after="80"/>
      </w:pPr>
    </w:p>
    <w:p>
      <w:pPr>
        <w:spacing w:before="0" w:after="60" w:line="240" w:lineRule="exact"/>
      </w:pPr>
      <w:r>
        <w:rPr>
          <w:b/>
          <w:sz w:val="20"/>
        </w:rPr>
        <w:t xml:space="preserve">Model selection — </w:t>
      </w:r>
      <w:r>
        <w:rPr>
          <w:sz w:val="20"/>
        </w:rPr>
        <w:t>Random Forest achieved the highest test AUC (0.958) and F1 (0.844) and was selected as the production model, serialised to best_model.pkl via joblib. The mild train–test AUC gap (0.039) is within acceptable bounds and confirmed by the tight 5-fold CV score (0.960 ± 0.001), indicating stable generalisation.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Stochastic Decision System</w:t>
      </w:r>
    </w:p>
    <w:p>
      <w:pPr>
        <w:spacing w:before="0" w:after="60" w:line="240" w:lineRule="exact"/>
      </w:pPr>
      <w:r>
        <w:rPr>
          <w:sz w:val="20"/>
        </w:rPr>
        <w:t>The trained model does not make binary accept/reject decisions on its own. Instead, its output — a per-booking cancellation probability — feeds a Monte Carlo simulation. For each new booking request, 10,000 independent scenarios are sampled: every existing booking for the same room type is treated as a Bernoulli trial (show-up probability = 1 − p_cancel). Summing the trials in each scenario yields a full empirical distribution of expected arrivals. The accept rule is: if the expected arrivals after adding the new guest remain below effective capacity (room-type inventory plus upgrade buffer — the sum of capacities for all higher-tier room types), the booking is accepted. This expected-value criterion is complemented by the Monte Carlo overbooking risk estimate P(arrivals &gt; base capacity), displayed as a histogram to the reservations manager for full transparency.</w:t>
      </w:r>
    </w:p>
    <w:p>
      <w:pPr>
        <w:pStyle w:val="Heading2"/>
        <w:spacing w:before="160" w:after="60"/>
        <w:jc w:val="left"/>
      </w:pPr>
      <w:r>
        <w:rPr>
          <w:b/>
          <w:color w:val="1F497D"/>
          <w:sz w:val="22"/>
        </w:rPr>
        <w:t>Critical Reflection</w:t>
      </w:r>
    </w:p>
    <w:p>
      <w:pPr>
        <w:spacing w:before="0" w:after="60" w:line="240" w:lineRule="exact"/>
      </w:pPr>
      <w:r>
        <w:rPr>
          <w:sz w:val="20"/>
        </w:rPr>
        <w:t>Several limitations warrant acknowledgment. First, construct validity: is_canceled is a necessary proxy for 'guest shows up,' but no-shows (guests who neither cancel nor arrive) are not captured. Second, distributional shift: the dataset spans 2015–2017; post-pandemic cancellation behaviour, dynamic pricing structures, and the growth of flexible-rate OTA bookings may render historical patterns less predictive. Third, fairness: using country of origin as a feature may encode demographic proxies and warrants audit before deployment. Fourth, the 20% cancellation rate assumed in the baseline hotel population is a configurable parameter — mis-specifying it biases the effective occupancy estimate and downstream accept/reject decisions. Finally, the upgrade buffer assumes perfect room-type substitutability within a tier hierarchy, which may not reflect actual guest preferences or contractual guarantees.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