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€-228k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 €9.99 or €24.99 a month, or €89 a year</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follow in </w:t>
      </w:r>
      <w:r>
        <w:rPr>
          <w:b/>
          <w:color w:val="1F2937"/>
          <w:sz w:val="20"/>
        </w:rPr>
        <w:t>§3.1.5</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pStyle w:val="Heading4"/>
        <w:keepNext/>
        <w:spacing w:before="200" w:after="100"/>
      </w:pPr>
      <w:r>
        <w:rPr>
          <w:b/>
          <w:color w:val="6B7280"/>
          <w:sz w:val="20"/>
        </w:rPr>
        <w:t>3.1.5.1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 where no agent layer exists, no route runs from audience to income — and the index is the evidence that this condition is set by a sport's economics rather than by its geography.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3.1.5.2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5.11</w:t>
      </w:r>
      <w:r>
        <w:rPr>
          <w:b w:val="0"/>
          <w:color w:val="1F2937"/>
          <w:sz w:val="20"/>
        </w:rPr>
        <w:t xml:space="preserve"> corrects the order; the demo has not caught up.</w:t>
      </w:r>
    </w:p>
    <w:p>
      <w:pPr>
        <w:pStyle w:val="Heading4"/>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8.3</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3.1.5.3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 is Spain.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3789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37898"/>
                    </a:xfrm>
                    <a:prstGeom prst="rect"/>
                  </pic:spPr>
                </pic:pic>
              </a:graphicData>
            </a:graphic>
          </wp:inline>
        </w:drawing>
      </w:r>
    </w:p>
    <w:p>
      <w:pPr>
        <w:spacing w:after="200"/>
        <w:jc w:val="center"/>
      </w:pPr>
      <w:r>
        <w:rPr>
          <w:b w:val="0"/>
          <w:color w:val="6B7280"/>
          <w:sz w:val="16"/>
        </w:rPr>
        <w:t>Figure 5 —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8 —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8</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€1.57M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w:t>
            </w:r>
          </w:p>
        </w:tc>
        <w:tc>
          <w:tcPr>
            <w:tcW w:type="dxa" w:w="1814"/>
            <w:shd w:val="clear" w:fill="EFF1F3"/>
          </w:tcPr>
          <w:p>
            <w:pPr>
              <w:spacing w:after="40" w:before="40"/>
            </w:pPr>
            <w:r/>
            <w:r>
              <w:rPr>
                <w:b/>
                <w:color w:val="1F2937"/>
                <w:sz w:val="17"/>
              </w:rPr>
              <w:t>Ex-VAT</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Processing cost</w:t>
            </w:r>
          </w:p>
        </w:tc>
        <w:tc>
          <w:tcPr>
            <w:tcW w:type="dxa" w:w="1814"/>
            <w:shd w:val="clear" w:fill="EFF1F3"/>
          </w:tcPr>
          <w:p>
            <w:pPr>
              <w:spacing w:after="40" w:before="40"/>
            </w:pPr>
            <w:r/>
            <w:r>
              <w:rPr>
                <w:b/>
                <w:color w:val="1F2937"/>
                <w:sz w:val="17"/>
              </w:rPr>
              <w:t>We retain</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€4.12</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€8.26</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€20.65</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77%</w:t>
            </w:r>
          </w:p>
        </w:tc>
      </w:tr>
    </w:tbl>
    <w:p>
      <w:pPr>
        <w:spacing w:after="160" w:before="0"/>
      </w:pPr>
    </w:p>
    <w:p>
      <w:pPr>
        <w:spacing w:after="140" w:line="276" w:lineRule="auto"/>
        <w:jc w:val="both"/>
      </w:pPr>
      <w:r>
        <w:rPr>
          <w:b w:val="0"/>
          <w:color w:val="1F2937"/>
          <w:sz w:val="20"/>
        </w:rPr>
        <w:t xml:space="preserve">The take is charged on the </w:t>
      </w:r>
      <w:r>
        <w:rPr>
          <w:b/>
          <w:color w:val="1F2937"/>
          <w:sz w:val="20"/>
        </w:rPr>
        <w:t>VAT-exclusive</w:t>
      </w:r>
      <w:r>
        <w:rPr>
          <w:b w:val="0"/>
          <w:color w:val="1F2937"/>
          <w:sz w:val="20"/>
        </w:rPr>
        <w:t xml:space="preserve"> price, because that is the base the model uses. At €4.99 we keep well under half of our own commission; at €9.99, about two thirds.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5</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8</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pool</w:t>
      </w:r>
      <w:r>
        <w:rPr>
          <w:b w:val="0"/>
          <w:color w:val="1F2937"/>
          <w:sz w:val="20"/>
        </w:rPr>
        <w:t xml:space="preserve"> is opened at the pre-seed, vesting over two years. It covers two grants: the anchor-athlete advisor, which </w:t>
      </w:r>
      <w:r>
        <w:rPr>
          <w:b w:val="0"/>
          <w:color w:val="1F2937"/>
          <w:sz w:val="20"/>
        </w:rPr>
        <w:t>04</w:t>
      </w:r>
      <w:r>
        <w:rPr>
          <w:b w:val="0"/>
          <w:color w:val="1F2937"/>
          <w:sz w:val="20"/>
        </w:rPr>
        <w:t xml:space="preserve"> sizes at </w:t>
      </w:r>
      <w:r>
        <w:rPr>
          <w:b/>
          <w:color w:val="1F2937"/>
          <w:sz w:val="20"/>
        </w:rPr>
        <w:t>1%</w:t>
      </w:r>
      <w:r>
        <w:rPr>
          <w:b w:val="0"/>
          <w:color w:val="1F2937"/>
          <w:sz w:val="20"/>
        </w:rPr>
        <w:t xml:space="preserve"> within a 0.5–1.5% range and against a performance trigger, and a sports-industry board advisor of similar size. The dilution table above models the </w:t>
      </w:r>
      <w:r>
        <w:rPr>
          <w:b/>
          <w:color w:val="1F2937"/>
          <w:sz w:val="20"/>
        </w:rPr>
        <w:t>full 2%</w:t>
      </w:r>
      <w:r>
        <w:rPr>
          <w:b w:val="0"/>
          <w:color w:val="1F2937"/>
          <w:sz w:val="20"/>
        </w:rPr>
        <w:t>, which is deliberately the expensive assumption —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€0.075 against €0.008 per GB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282 prose claims across 14 documents</w:t>
      </w:r>
      <w:r>
        <w:rPr>
          <w:b w:val="0"/>
          <w:color w:val="1F2937"/>
          <w:sz w:val="20"/>
        </w:rPr>
        <w:t xml:space="preserve"> against the model and fails the build if any figure drifts; a second guard evaluates all 2,520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9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€3.79M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−€462k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€3.33M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10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11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w:t>
            </w:r>
            <w:r>
              <w:rPr>
                <w:b w:val="0"/>
                <w:i/>
                <w:color w:val="1F2937"/>
                <w:sz w:val="17"/>
              </w:rPr>
              <w:t>Ley 18/2022, Crea y Crece</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and — a separate statute from the one that cut the capital floor — eligibility for the </w:t>
      </w:r>
      <w:r>
        <w:rPr>
          <w:b/>
          <w:color w:val="1F2937"/>
          <w:sz w:val="20"/>
        </w:rPr>
        <w:t>Ley 28/2022, 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3"/>
        <w:keepNext/>
        <w:spacing w:before="200" w:after="100"/>
      </w:pPr>
      <w:r>
        <w:rPr>
          <w:b/>
          <w:color w:val="6B7280"/>
          <w:sz w:val="22"/>
        </w:rPr>
        <w:t>8.3 Growth and business development strategy</w:t>
      </w:r>
    </w:p>
    <w:p>
      <w:pPr>
        <w:spacing w:after="140" w:line="276" w:lineRule="auto"/>
        <w:jc w:val="both"/>
      </w:pPr>
      <w:r>
        <w:rPr>
          <w:b w:val="0"/>
          <w:color w:val="1F2937"/>
          <w:sz w:val="20"/>
        </w:rPr>
        <w:t>Growth is sequenced along three axes, and only one moves at a time.</w:t>
      </w:r>
    </w:p>
    <w:p>
      <w:pPr>
        <w:pStyle w:val="Heading4"/>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(Italy first),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4"/>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5.11</w:t>
      </w:r>
      <w:r>
        <w:rPr>
          <w:b w:val="0"/>
          <w:color w:val="1F2937"/>
          <w:sz w:val="20"/>
        </w:rPr>
        <w:t>: tiers and billing, then one-off unlocks, then video, then events and the club revenue split.</w:t>
      </w:r>
    </w:p>
    <w:p>
      <w:pPr>
        <w:pStyle w:val="Heading4"/>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pStyle w:val="Heading4"/>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4"/>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12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2,520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44% of our take after payment costs; €9.99 retains 64%.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pStyle w:val="Heading2"/>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pStyle w:val="Heading1"/>
        <w:keepNext/>
        <w:spacing w:before="320" w:after="100"/>
        <w:pBdr>
          <w:bottom w:val="single" w:sz="6" w:space="8" w:color="D1D5DB"/>
        </w:pBdr>
      </w:pPr>
      <w:r>
        <w:rPr>
          <w:b/>
          <w:color w:val="1F2937"/>
          <w:sz w:val="32"/>
        </w:rPr>
        <w:t>Appendix C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pStyle w:val="Heading1"/>
        <w:keepNext/>
        <w:spacing w:before="320" w:after="100"/>
        <w:pBdr>
          <w:bottom w:val="single" w:sz="6" w:space="8" w:color="D1D5DB"/>
        </w:pBdr>
      </w:pPr>
      <w:r>
        <w:rPr>
          <w:b/>
          <w:color w:val="1F2937"/>
          <w:sz w:val="32"/>
        </w:rPr>
        <w:t>Appendix F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 Minimum tier price and annual billing</w:t>
      </w:r>
    </w:p>
    <w:p>
      <w:pPr>
        <w:spacing w:after="140" w:line="276" w:lineRule="auto"/>
        <w:jc w:val="both"/>
      </w:pPr>
      <w:r>
        <w:rPr>
          <w:b w:val="0"/>
          <w:color w:val="1F2937"/>
          <w:sz w:val="20"/>
        </w:rPr>
        <w:t>€4.99 retains 44% of our take after payment costs; €9.99 retains 64%; a €89 season pass retains 82%.</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pStyle w:val="Heading3"/>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xml:space="preserve"> —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 the same discipline already applied to marketability scores.</w:t>
      </w:r>
    </w:p>
    <w:p>
      <w:pPr>
        <w:pStyle w:val="Heading3"/>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pStyle w:val="Heading1"/>
        <w:keepNext/>
        <w:spacing w:before="320" w:after="100"/>
        <w:pBdr>
          <w:bottom w:val="single" w:sz="6" w:space="8" w:color="D1D5DB"/>
        </w:pBdr>
      </w:pPr>
      <w:r>
        <w:rPr>
          <w:b/>
          <w:color w:val="1F2937"/>
          <w:sz w:val="32"/>
        </w:rPr>
        <w:t>Appendix K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pStyle w:val="Heading3"/>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pStyle w:val="Heading3"/>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 plausible registration number, federation id, founding year, team count, roster URL, none of them opened —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