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 unlike lifestyle creators —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Connected platform analytics, versioned marketability scoring, an admission gate, campaign matching with explainable ranking, offers, deals and delivery measurement — deployed, with an audit log, a resilience drill, and a test suite that runs on two databases in continuous integration.</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 Net revenue and EBITDA, Y1 to Y7. The company is loss-making for four years, and the losses are small.</w:t>
      </w:r>
    </w:p>
    <w:p>
      <w:pPr>
        <w:spacing w:after="140" w:line="276" w:lineRule="auto"/>
        <w:jc w:val="both"/>
      </w:pPr>
      <w:r>
        <w:rPr>
          <w:b w:val="0"/>
          <w:color w:val="1F2937"/>
          <w:sz w:val="20"/>
        </w:rPr>
        <w:t>&lt;!-- MODEL:summary --&gt;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€535k</w:t>
            </w:r>
          </w:p>
        </w:tc>
        <w:tc>
          <w:tcPr>
            <w:tcW w:type="dxa" w:w="3024"/>
          </w:tcPr>
          <w:p>
            <w:pPr>
              <w:spacing w:after="40" w:before="40"/>
            </w:pPr>
            <w:r/>
            <w:r>
              <w:rPr>
                <w:b w:val="0"/>
                <w:color w:val="1F2937"/>
                <w:sz w:val="17"/>
              </w:rPr>
              <w:t>€10.70M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€-229k</w:t>
            </w:r>
          </w:p>
        </w:tc>
        <w:tc>
          <w:tcPr>
            <w:tcW w:type="dxa" w:w="3024"/>
          </w:tcPr>
          <w:p>
            <w:pPr>
              <w:spacing w:after="40" w:before="40"/>
            </w:pPr>
            <w:r/>
            <w:r>
              <w:rPr>
                <w:b w:val="0"/>
                <w:color w:val="1F2937"/>
                <w:sz w:val="17"/>
              </w:rPr>
              <w:t>€3.12M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70%</w:t>
            </w:r>
          </w:p>
        </w:tc>
      </w:tr>
    </w:tbl>
    <w:p>
      <w:pPr>
        <w:spacing w:after="160" w:before="0"/>
      </w:pPr>
    </w:p>
    <w:p>
      <w:pPr>
        <w:spacing w:after="140" w:line="276" w:lineRule="auto"/>
        <w:jc w:val="both"/>
      </w:pPr>
      <w:r>
        <w:rPr>
          <w:b w:val="0"/>
          <w:color w:val="1F2937"/>
          <w:sz w:val="20"/>
        </w:rPr>
        <w:t>&lt;!-- /MODEL:summary --&gt;</w:t>
      </w: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71%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€600k at €2.5M pre-money.</w:t>
      </w:r>
      <w:r>
        <w:rPr>
          <w:b w:val="0"/>
          <w:color w:val="1F2937"/>
          <w:sz w:val="20"/>
        </w:rPr>
        <w:t xml:space="preserve"> The plan needs €649k — a €464k cash trough in Y4 plus a 40% buffer — so the pre-seed clears the trough itself with €136k to spare. That is what asking for €600k rather than €400k buys: the seed becomes optional. It brings a second market forward; it is not the thing standing between the company and running out of cash.</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 not a feature — is the pre-seed gate.</w:t>
      </w:r>
    </w:p>
    <w:p>
      <w:pPr>
        <w:spacing w:after="120" w:before="0"/>
      </w:pPr>
    </w:p>
    <w:p>
      <w:pPr>
        <w:keepNext/>
        <w:spacing w:before="320" w:after="100"/>
        <w:pBdr>
          <w:bottom w:val="single" w:sz="6" w:space="8" w:color="D1D5DB"/>
        </w:pBdr>
      </w:pPr>
      <w:r>
        <w:rPr>
          <w:b/>
          <w:color w:val="1F2937"/>
          <w:sz w:val="32"/>
        </w:rPr>
        <w:t>2. The company</w:t>
      </w:r>
    </w:p>
    <w:p>
      <w:pPr>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39 sponsors paying SaaS,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€10.70M net revenue</w:t>
            </w:r>
          </w:p>
        </w:tc>
      </w:tr>
    </w:tbl>
    <w:p>
      <w:pPr>
        <w:spacing w:after="160" w:before="0"/>
      </w:pPr>
    </w:p>
    <w:p>
      <w:pPr>
        <w:keepNext/>
        <w:spacing w:before="320" w:after="100"/>
      </w:pPr>
      <w:r>
        <w:rPr>
          <w:b/>
          <w:color w:val="1F2937"/>
          <w:sz w:val="25"/>
        </w:rPr>
        <w:t>2.3 The entrepreneurial team</w:t>
      </w:r>
    </w:p>
    <w:p>
      <w:pPr>
        <w:spacing w:after="140" w:line="276" w:lineRule="auto"/>
        <w:jc w:val="both"/>
      </w:pPr>
      <w:r>
        <w:rPr>
          <w:b/>
          <w:color w:val="1F2937"/>
          <w:sz w:val="20"/>
        </w:rPr>
        <w:t>Jad Zoghaib —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w:t>
      </w:r>
    </w:p>
    <w:p>
      <w:pPr>
        <w:pStyle w:val="ListBullet"/>
        <w:spacing w:after="60" w:line="264" w:lineRule="auto"/>
        <w:ind w:left="624"/>
      </w:pPr>
      <w:r>
        <w:rPr>
          <w:b w:val="0"/>
          <w:color w:val="1F2937"/>
          <w:sz w:val="20"/>
        </w:rPr>
        <w:t>international tournament experience. He is not researching this market from</w:t>
      </w:r>
    </w:p>
    <w:p>
      <w:pPr>
        <w:pStyle w:val="ListBullet"/>
        <w:spacing w:after="60" w:line="264" w:lineRule="auto"/>
        <w:ind w:left="624"/>
      </w:pPr>
      <w:r>
        <w:rPr>
          <w:b w:val="0"/>
          <w:color w:val="1F2937"/>
          <w:sz w:val="20"/>
        </w:rPr>
        <w:t>the outside; he is in the segment the plan describes, and the athlete</w:t>
      </w:r>
    </w:p>
    <w:p>
      <w:pPr>
        <w:pStyle w:val="ListBullet"/>
        <w:spacing w:after="60" w:line="264" w:lineRule="auto"/>
        <w:ind w:left="624"/>
      </w:pPr>
      <w:r>
        <w:rPr>
          <w:b w:val="0"/>
          <w:color w:val="1F2937"/>
          <w:sz w:val="20"/>
        </w:rPr>
        <w:t>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 strategy at Alamiya</w:t>
      </w:r>
    </w:p>
    <w:p>
      <w:pPr>
        <w:pStyle w:val="ListBullet"/>
        <w:spacing w:after="60" w:line="264" w:lineRule="auto"/>
        <w:ind w:left="624"/>
      </w:pPr>
      <w:r>
        <w:rPr>
          <w:b w:val="0"/>
          <w:color w:val="1F2937"/>
          <w:sz w:val="20"/>
        </w:rPr>
        <w:t>Filmed Entertainment in Dubai, and consulting at Euromena and PFC-International</w:t>
      </w:r>
    </w:p>
    <w:p>
      <w:pPr>
        <w:pStyle w:val="ListBullet"/>
        <w:spacing w:after="60" w:line="264" w:lineRule="auto"/>
        <w:ind w:left="624"/>
      </w:pPr>
      <w:r>
        <w:rPr>
          <w:b w:val="0"/>
          <w:color w:val="1F2937"/>
          <w:sz w:val="20"/>
        </w:rPr>
        <w:t>in Beirut. The directly transferable work: feasibility studies for industrial</w:t>
      </w:r>
    </w:p>
    <w:p>
      <w:pPr>
        <w:pStyle w:val="ListBullet"/>
        <w:spacing w:after="60" w:line="264" w:lineRule="auto"/>
        <w:ind w:left="624"/>
      </w:pPr>
      <w:r>
        <w:rPr>
          <w:b w:val="0"/>
          <w:color w:val="1F2937"/>
          <w:sz w:val="20"/>
        </w:rPr>
        <w:t>ventures in the $5–15M range, DCF modelling with NPV, IRR and payback across</w:t>
      </w:r>
    </w:p>
    <w:p>
      <w:pPr>
        <w:pStyle w:val="ListBullet"/>
        <w:spacing w:after="60" w:line="264" w:lineRule="auto"/>
        <w:ind w:left="624"/>
      </w:pPr>
      <w:r>
        <w:rPr>
          <w:b w:val="0"/>
          <w:color w:val="1F2937"/>
          <w:sz w:val="20"/>
        </w:rPr>
        <w:t>scenarios, an OpEx reorganisation for a Saudi telecom that delivered SAR 650M</w:t>
      </w:r>
    </w:p>
    <w:p>
      <w:pPr>
        <w:pStyle w:val="ListBullet"/>
        <w:spacing w:after="60" w:line="264" w:lineRule="auto"/>
        <w:ind w:left="624"/>
      </w:pPr>
      <w:r>
        <w:rPr>
          <w:b w:val="0"/>
          <w:color w:val="1F2937"/>
          <w:sz w:val="20"/>
        </w:rPr>
        <w:t>of capital optimisation, and end-to-end process mapping of the filmmaking</w:t>
      </w:r>
    </w:p>
    <w:p>
      <w:pPr>
        <w:pStyle w:val="ListBullet"/>
        <w:spacing w:after="60" w:line="264" w:lineRule="auto"/>
        <w:ind w:left="624"/>
      </w:pPr>
      <w:r>
        <w:rPr>
          <w:b w:val="0"/>
          <w:color w:val="1F2937"/>
          <w:sz w:val="20"/>
        </w:rPr>
        <w:t>lifecycle as a process-mining initiative — the same discipline applied to the</w:t>
      </w:r>
    </w:p>
    <w:p>
      <w:pPr>
        <w:pStyle w:val="ListBullet"/>
        <w:spacing w:after="60" w:line="264" w:lineRule="auto"/>
        <w:ind w:left="624"/>
      </w:pPr>
      <w:r>
        <w:rPr>
          <w:b w:val="0"/>
          <w:color w:val="1F2937"/>
          <w:sz w:val="20"/>
        </w:rPr>
        <w:t>process map in §6.1.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w:t>
      </w:r>
    </w:p>
    <w:p>
      <w:pPr>
        <w:pStyle w:val="ListBullet"/>
        <w:spacing w:after="60" w:line="264" w:lineRule="auto"/>
        <w:ind w:left="624"/>
      </w:pPr>
      <w:r>
        <w:rPr>
          <w:b w:val="0"/>
          <w:color w:val="1F2937"/>
          <w:sz w:val="20"/>
        </w:rPr>
        <w:t>the Lebanese American University. Python, SQL, AWS and the modelling stack</w:t>
      </w:r>
    </w:p>
    <w:p>
      <w:pPr>
        <w:pStyle w:val="ListBullet"/>
        <w:spacing w:after="60" w:line="264" w:lineRule="auto"/>
        <w:ind w:left="624"/>
      </w:pPr>
      <w:r>
        <w:rPr>
          <w:b w:val="0"/>
          <w:color w:val="1F2937"/>
          <w:sz w:val="20"/>
        </w:rPr>
        <w:t>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w:t>
      </w:r>
    </w:p>
    <w:p>
      <w:pPr>
        <w:pStyle w:val="ListBullet"/>
        <w:spacing w:after="60" w:line="264" w:lineRule="auto"/>
        <w:ind w:left="624"/>
      </w:pPr>
      <w:r>
        <w:rPr>
          <w:b w:val="0"/>
          <w:color w:val="1F2937"/>
          <w:sz w:val="20"/>
        </w:rPr>
        <w:t>financial model are his own work, which is why the plan can make claims about</w:t>
      </w:r>
    </w:p>
    <w:p>
      <w:pPr>
        <w:pStyle w:val="ListBullet"/>
        <w:spacing w:after="60" w:line="264" w:lineRule="auto"/>
        <w:ind w:left="624"/>
      </w:pPr>
      <w:r>
        <w:rPr>
          <w:b w:val="0"/>
          <w:color w:val="1F2937"/>
          <w:sz w:val="20"/>
        </w:rPr>
        <w:t>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(§7.2), and the 2% advisory grant at the pre-seed is reserved for a sports-industry profile rather than a technical one, because the code is not the weak point.</w:t>
      </w:r>
    </w:p>
    <w:p>
      <w:pPr>
        <w:spacing w:after="120" w:before="0"/>
      </w:pPr>
    </w:p>
    <w:p>
      <w:pPr>
        <w:keepNext/>
        <w:spacing w:before="320" w:after="100"/>
        <w:pBdr>
          <w:bottom w:val="single" w:sz="6" w:space="8" w:color="D1D5DB"/>
        </w:pBdr>
      </w:pPr>
      <w:r>
        <w:rPr>
          <w:b/>
          <w:color w:val="1F2937"/>
          <w:sz w:val="32"/>
        </w:rPr>
        <w:t>3. Opportunity and business model</w:t>
      </w:r>
    </w:p>
    <w:p>
      <w:pPr>
        <w:keepNext/>
        <w:spacing w:before="320" w:after="100"/>
      </w:pPr>
      <w:r>
        <w:rPr>
          <w:b/>
          <w:color w:val="1F2937"/>
          <w:sz w:val="25"/>
        </w:rPr>
        <w:t>3.1 Client and market</w:t>
      </w:r>
    </w:p>
    <w:p>
      <w:pPr>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€4.99–€14.99 a month</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 it is unserved.</w:t>
      </w:r>
    </w:p>
    <w:p>
      <w:pPr>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2986518"/>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2986518"/>
                    </a:xfrm>
                    <a:prstGeom prst="rect"/>
                  </pic:spPr>
                </pic:pic>
              </a:graphicData>
            </a:graphic>
          </wp:inline>
        </w:drawing>
      </w:r>
    </w:p>
    <w:p>
      <w:pPr>
        <w:spacing w:after="200"/>
        <w:jc w:val="center"/>
      </w:pPr>
      <w:r>
        <w:rPr>
          <w:b w:val="0"/>
          <w:color w:val="6B7280"/>
          <w:sz w:val="16"/>
        </w:rPr>
        <w:t>Figure 2 —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xml:space="preserve"> —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 10%, matched on evidence</w:t>
            </w:r>
          </w:p>
        </w:tc>
        <w:tc>
          <w:tcPr>
            <w:tcW w:type="dxa" w:w="3024"/>
          </w:tcPr>
          <w:p>
            <w:pPr>
              <w:spacing w:after="40" w:before="40"/>
            </w:pPr>
            <w:r/>
            <w:r>
              <w:rPr>
                <w:b w:val="0"/>
                <w:color w:val="1F2937"/>
                <w:sz w:val="17"/>
              </w:rPr>
              <w:t>Market creation —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in </w:t>
      </w:r>
      <w:r>
        <w:rPr>
          <w:b/>
          <w:color w:val="1F2937"/>
          <w:sz w:val="20"/>
        </w:rPr>
        <w:t>Appendix O</w:t>
      </w:r>
      <w:r>
        <w:rPr>
          <w:b w:val="0"/>
          <w:color w:val="1F2937"/>
          <w:sz w:val="20"/>
        </w:rPr>
        <w:t>.</w:t>
      </w:r>
    </w:p>
    <w:p>
      <w:pPr>
        <w:spacing w:after="140" w:line="276" w:lineRule="auto"/>
        <w:jc w:val="both"/>
      </w:pPr>
      <w:r>
        <w:rPr>
          <w:b/>
          <w:color w:val="1F2937"/>
          <w:sz w:val="20"/>
        </w:rPr>
        <w:t>Expert —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 and is live in the demo —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 rugby league players in Lebanon and one competing at Asian level in CrossFit —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w:t>
      </w:r>
    </w:p>
    <w:p>
      <w:pPr>
        <w:pStyle w:val="ListBullet"/>
        <w:spacing w:after="60" w:line="264" w:lineRule="auto"/>
        <w:ind w:left="624"/>
      </w:pPr>
      <w:r>
        <w:rPr>
          <w:b w:val="0"/>
          <w:color w:val="1F2937"/>
          <w:sz w:val="20"/>
        </w:rPr>
        <w:t>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w:t>
      </w:r>
    </w:p>
    <w:p>
      <w:pPr>
        <w:pStyle w:val="ListBullet"/>
        <w:spacing w:after="60" w:line="264" w:lineRule="auto"/>
        <w:ind w:left="624"/>
      </w:pPr>
      <w:r>
        <w:rPr>
          <w:b w:val="0"/>
          <w:color w:val="1F2937"/>
          <w:sz w:val="20"/>
        </w:rPr>
        <w:t>who does have a sponsor did not get it as a rugby league player, because no</w:t>
      </w:r>
    </w:p>
    <w:p>
      <w:pPr>
        <w:pStyle w:val="ListBullet"/>
        <w:spacing w:after="60" w:line="264" w:lineRule="auto"/>
        <w:ind w:left="624"/>
      </w:pPr>
      <w:r>
        <w:rPr>
          <w:b w:val="0"/>
          <w:color w:val="1F2937"/>
          <w:sz w:val="20"/>
        </w:rPr>
        <w:t>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w:t>
      </w:r>
    </w:p>
    <w:p>
      <w:pPr>
        <w:pStyle w:val="ListBullet"/>
        <w:spacing w:after="60" w:line="264" w:lineRule="auto"/>
        <w:ind w:left="624"/>
      </w:pPr>
      <w:r>
        <w:rPr>
          <w:b w:val="0"/>
          <w:color w:val="1F2937"/>
          <w:sz w:val="20"/>
        </w:rPr>
        <w:t>because there is no return on doing so. *The absence of monetisation</w:t>
      </w:r>
    </w:p>
    <w:p>
      <w:pPr>
        <w:pStyle w:val="ListBullet"/>
        <w:spacing w:after="60" w:line="264" w:lineRule="auto"/>
        <w:ind w:left="624"/>
      </w:pPr>
      <w:r>
        <w:rPr>
          <w:b w:val="0"/>
          <w:color w:val="1F2937"/>
          <w:sz w:val="20"/>
        </w:rPr>
        <w:t>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keepNext/>
        <w:spacing w:before="200" w:after="100"/>
      </w:pPr>
      <w:r>
        <w:rPr>
          <w:b/>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keepNext/>
        <w:spacing w:before="160" w:after="20"/>
        <w:ind w:left="227"/>
        <w:shd w:val="clear" w:fill="F6F7F9"/>
        <w:pBdr>
          <w:left w:val="single" w:sz="18" w:space="8" w:color="9CA3AF"/>
        </w:pBdr>
      </w:pPr>
      <w:r>
        <w:rPr>
          <w:b/>
          <w:color w:val="1F2937"/>
          <w:sz w:val="19"/>
        </w:rPr>
        <w:t>Two details to confirm before submission</w:t>
      </w:r>
    </w:p>
    <w:p>
      <w:pPr>
        <w:spacing w:before="0" w:after="160" w:line="264" w:lineRule="auto"/>
        <w:ind w:left="227"/>
        <w:shd w:val="clear" w:fill="F6F7F9"/>
        <w:pBdr>
          <w:left w:val="single" w:sz="18" w:space="8" w:color="9CA3AF"/>
        </w:pBdr>
      </w:pPr>
      <w:r>
        <w:rPr>
          <w:b w:val="0"/>
          <w:color w:val="1F2937"/>
          <w:sz w:val="19"/>
        </w:rPr>
        <w:t>The number of athletes spoken to is written below as "several"; replace it with the exact count. The Íñigo interview date should also be stated. Both are the kind of specific an examiner will ask for.</w:t>
      </w:r>
    </w:p>
    <w:p>
      <w:pPr>
        <w:spacing w:after="120" w:before="0"/>
      </w:pPr>
    </w:p>
    <w:p>
      <w:pPr>
        <w:keepNext/>
        <w:spacing w:before="200" w:after="100"/>
      </w:pPr>
      <w:r>
        <w:rPr>
          <w:b/>
          <w:color w:val="6B7280"/>
          <w:sz w:val="20"/>
        </w:rPr>
        <w:t>15.1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Lebanon; one athlete competing at Asian level in CrossFit</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Several</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athletes interviewed compete in Lebanon. The plan launches in </w:t>
      </w:r>
      <w:r>
        <w:rPr>
          <w:b/>
          <w:color w:val="1F2937"/>
          <w:sz w:val="19"/>
        </w:rPr>
        <w:t>Spain</w:t>
      </w:r>
      <w:r>
        <w:rPr>
          <w:b w:val="0"/>
          <w:color w:val="1F2937"/>
          <w:sz w:val="19"/>
        </w:rPr>
        <w:t xml:space="preserve">. That gap is real and worth confronting directly.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not of any one country. Lebanese rugby league and Spanish trail running sit in the same cell of that matrix. What the Lebanese sample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keepNext/>
        <w:spacing w:before="200" w:after="100"/>
      </w:pPr>
      <w:r>
        <w:rPr>
          <w:b/>
          <w:color w:val="6B7280"/>
          <w:sz w:val="20"/>
        </w:rPr>
        <w:t>15.2 Expert interview —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keepNext/>
        <w:spacing w:before="200" w:after="100"/>
      </w:pPr>
      <w:r>
        <w:rPr>
          <w:b/>
          <w:color w:val="6B7280"/>
          <w:sz w:val="20"/>
        </w:rPr>
        <w:t>Finding 1 —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12.11</w:t>
      </w:r>
      <w:r>
        <w:rPr>
          <w:b w:val="0"/>
          <w:color w:val="1F2937"/>
          <w:sz w:val="20"/>
        </w:rPr>
        <w:t xml:space="preserve"> corrects the order; the demo has not caught up.</w:t>
      </w:r>
    </w:p>
    <w:p>
      <w:pPr>
        <w:keepNext/>
        <w:spacing w:before="200" w:after="100"/>
      </w:pPr>
      <w:r>
        <w:rPr>
          <w:b/>
          <w:color w:val="6B7280"/>
          <w:sz w:val="20"/>
        </w:rPr>
        <w:t>Finding 2 —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keepNext/>
        <w:spacing w:before="200" w:after="100"/>
      </w:pPr>
      <w:r>
        <w:rPr>
          <w:b/>
          <w:color w:val="6B7280"/>
          <w:sz w:val="20"/>
        </w:rPr>
        <w:t>Finding 3 —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14.3</w:t>
      </w:r>
      <w:r>
        <w:rPr>
          <w:b w:val="0"/>
          <w:color w:val="1F2937"/>
          <w:sz w:val="20"/>
        </w:rPr>
        <w:t xml:space="preserve"> plans to open at Y3. It is listed as an opportunity, not as a dependency.</w:t>
      </w:r>
    </w:p>
    <w:p>
      <w:pPr>
        <w:spacing w:after="120" w:before="0"/>
      </w:pPr>
    </w:p>
    <w:p>
      <w:pPr>
        <w:keepNext/>
        <w:spacing w:before="200" w:after="100"/>
      </w:pPr>
      <w:r>
        <w:rPr>
          <w:b/>
          <w:color w:val="6B7280"/>
          <w:sz w:val="20"/>
        </w:rPr>
        <w:t>15.3 Athlete interviews — the segment itself</w:t>
      </w:r>
    </w:p>
    <w:p>
      <w:pPr>
        <w:spacing w:after="140" w:line="276" w:lineRule="auto"/>
        <w:jc w:val="both"/>
      </w:pPr>
      <w:r>
        <w:rPr>
          <w:b w:val="0"/>
          <w:color w:val="1F2937"/>
          <w:sz w:val="20"/>
        </w:rPr>
        <w:t>Conversations with rugby league players in Lebanon and with an athlete competing at Asian level in CrossFit. The founder is capped by the Lebanese national rugby team, which is how this access exists and why the conversations were candid rather than performative.</w:t>
      </w:r>
    </w:p>
    <w:p>
      <w:pPr>
        <w:keepNext/>
        <w:spacing w:before="200" w:after="100"/>
      </w:pPr>
      <w:r>
        <w:rPr>
          <w:b/>
          <w:color w:val="6B7280"/>
          <w:sz w:val="20"/>
        </w:rPr>
        <w:t>Finding 1 —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keepNext/>
        <w:spacing w:before="200" w:after="100"/>
      </w:pPr>
      <w:r>
        <w:rPr>
          <w:b/>
          <w:color w:val="6B7280"/>
          <w:sz w:val="20"/>
        </w:rPr>
        <w:t>Finding 2 —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keepNext/>
        <w:spacing w:before="200" w:after="100"/>
      </w:pPr>
      <w:r>
        <w:rPr>
          <w:b/>
          <w:color w:val="6B7280"/>
          <w:sz w:val="20"/>
        </w:rPr>
        <w:t>Finding 3 —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keepNext/>
        <w:spacing w:before="200" w:after="100"/>
      </w:pPr>
      <w:r>
        <w:rPr>
          <w:b/>
          <w:color w:val="6B7280"/>
          <w:sz w:val="20"/>
        </w:rPr>
        <w:t>Finding 4 —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keepNext/>
        <w:spacing w:before="200" w:after="100"/>
      </w:pPr>
      <w:r>
        <w:rPr>
          <w:b/>
          <w:color w:val="6B7280"/>
          <w:sz w:val="20"/>
        </w:rPr>
        <w:t>15.4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w:t>
      </w:r>
    </w:p>
    <w:p>
      <w:pPr>
        <w:pStyle w:val="ListBullet"/>
        <w:spacing w:after="60" w:line="264" w:lineRule="auto"/>
        <w:ind w:left="624"/>
      </w:pPr>
      <w:r>
        <w:rPr>
          <w:b w:val="0"/>
          <w:color w:val="1F2937"/>
          <w:sz w:val="20"/>
        </w:rPr>
        <w:t>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w:t>
      </w:r>
    </w:p>
    <w:p>
      <w:pPr>
        <w:pStyle w:val="ListBullet"/>
        <w:spacing w:after="60" w:line="264" w:lineRule="auto"/>
        <w:ind w:left="624"/>
      </w:pPr>
      <w:r>
        <w:rPr>
          <w:b w:val="0"/>
          <w:color w:val="1F2937"/>
          <w:sz w:val="20"/>
        </w:rPr>
        <w:t>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w:t>
      </w:r>
    </w:p>
    <w:p>
      <w:pPr>
        <w:pStyle w:val="ListBullet"/>
        <w:spacing w:after="60" w:line="264" w:lineRule="auto"/>
        <w:ind w:left="624"/>
      </w:pPr>
      <w:r>
        <w:rPr>
          <w:b w:val="0"/>
          <w:color w:val="1F2937"/>
          <w:sz w:val="20"/>
        </w:rPr>
        <w:t xml:space="preserve">the whole plan rests on, it is named as such in </w:t>
      </w:r>
      <w:r>
        <w:rPr>
          <w:b w:val="0"/>
          <w:color w:val="1F2937"/>
          <w:sz w:val="20"/>
        </w:rPr>
        <w:t>07</w:t>
      </w:r>
      <w:r>
        <w:rPr>
          <w:b w:val="0"/>
          <w:color w:val="1F2937"/>
          <w:sz w:val="20"/>
        </w:rPr>
        <w:t xml:space="preserve"> as</w:t>
      </w:r>
    </w:p>
    <w:p>
      <w:pPr>
        <w:pStyle w:val="ListBullet"/>
        <w:spacing w:after="60" w:line="264" w:lineRule="auto"/>
        <w:ind w:left="624"/>
      </w:pPr>
      <w:r>
        <w:rPr>
          <w:b w:val="0"/>
          <w:color w:val="1F2937"/>
          <w:sz w:val="20"/>
        </w:rPr>
        <w:t>risk R1, and only three months of real subscription data from one anchor</w:t>
      </w:r>
    </w:p>
    <w:p>
      <w:pPr>
        <w:pStyle w:val="ListBullet"/>
        <w:spacing w:after="60" w:line="264" w:lineRule="auto"/>
        <w:ind w:left="624"/>
      </w:pPr>
      <w:r>
        <w:rPr>
          <w:b w:val="0"/>
          <w:color w:val="1F2937"/>
          <w:sz w:val="20"/>
        </w:rPr>
        <w:t>athlete resolves it. That is the pre-seed gate, and it is a gate precisely</w:t>
      </w:r>
    </w:p>
    <w:p>
      <w:pPr>
        <w:pStyle w:val="ListBullet"/>
        <w:spacing w:after="60" w:line="264" w:lineRule="auto"/>
        <w:ind w:left="624"/>
      </w:pPr>
      <w:r>
        <w:rPr>
          <w:b w:val="0"/>
          <w:color w:val="1F2937"/>
          <w:sz w:val="20"/>
        </w:rPr>
        <w:t>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w:t>
      </w:r>
    </w:p>
    <w:p>
      <w:pPr>
        <w:pStyle w:val="ListBullet"/>
        <w:spacing w:after="60" w:line="264" w:lineRule="auto"/>
        <w:ind w:left="624"/>
      </w:pPr>
      <w:r>
        <w:rPr>
          <w:b w:val="0"/>
          <w:color w:val="1F2937"/>
          <w:sz w:val="20"/>
        </w:rPr>
        <w:t>been conducted. This is the largest hole in the research and is acknowledged</w:t>
      </w:r>
    </w:p>
    <w:p>
      <w:pPr>
        <w:pStyle w:val="ListBullet"/>
        <w:spacing w:after="60" w:line="264" w:lineRule="auto"/>
        <w:ind w:left="624"/>
      </w:pPr>
      <w:r>
        <w:rPr>
          <w:b w:val="0"/>
          <w:color w:val="1F2937"/>
          <w:sz w:val="20"/>
        </w:rPr>
        <w:t>rather than papered over.</w:t>
      </w:r>
    </w:p>
    <w:p>
      <w:pPr>
        <w:pStyle w:val="ListBullet"/>
        <w:spacing w:after="60" w:line="264" w:lineRule="auto"/>
        <w:ind w:left="340"/>
      </w:pPr>
      <w:r>
        <w:rPr>
          <w:b/>
          <w:color w:val="1F2937"/>
          <w:sz w:val="20"/>
        </w:rPr>
        <w:t>Spanish market specifics.</w:t>
      </w:r>
      <w:r>
        <w:rPr>
          <w:b w:val="0"/>
          <w:color w:val="1F2937"/>
          <w:sz w:val="20"/>
        </w:rPr>
        <w:t xml:space="preserve"> The interviews are Lebanese; the launch market</w:t>
      </w:r>
    </w:p>
    <w:p>
      <w:pPr>
        <w:pStyle w:val="ListBullet"/>
        <w:spacing w:after="60" w:line="264" w:lineRule="auto"/>
        <w:ind w:left="624"/>
      </w:pPr>
      <w:r>
        <w:rPr>
          <w:b w:val="0"/>
          <w:color w:val="1F2937"/>
          <w:sz w:val="20"/>
        </w:rPr>
        <w:t>is Spain. The structural finding transfers (§15.1); the pricing and budget</w:t>
      </w:r>
    </w:p>
    <w:p>
      <w:pPr>
        <w:pStyle w:val="ListBullet"/>
        <w:spacing w:after="60" w:line="264" w:lineRule="auto"/>
        <w:ind w:left="624"/>
      </w:pPr>
      <w:r>
        <w:rPr>
          <w:b w:val="0"/>
          <w:color w:val="1F2937"/>
          <w:sz w:val="20"/>
        </w:rPr>
        <w:t>figures do not, and none of them rests on this research.</w:t>
      </w:r>
    </w:p>
    <w:p>
      <w:pPr>
        <w:spacing w:after="120" w:before="0"/>
      </w:pPr>
    </w:p>
    <w:p>
      <w:pPr>
        <w:keepNext/>
        <w:spacing w:before="200" w:after="100"/>
      </w:pPr>
      <w:r>
        <w:rPr>
          <w:b/>
          <w:color w:val="6B7280"/>
          <w:sz w:val="20"/>
        </w:rPr>
        <w:t>15.5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xml:space="preserve"> —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keepNext/>
        <w:spacing w:before="320" w:after="100"/>
      </w:pPr>
      <w:r>
        <w:rPr>
          <w:b/>
          <w:color w:val="1F2937"/>
          <w:sz w:val="25"/>
        </w:rPr>
        <w:t>3.2 Value proposition</w:t>
      </w:r>
    </w:p>
    <w:p>
      <w:pPr>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33609"/>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33609"/>
                    </a:xfrm>
                    <a:prstGeom prst="rect"/>
                  </pic:spPr>
                </pic:pic>
              </a:graphicData>
            </a:graphic>
          </wp:inline>
        </w:drawing>
      </w:r>
    </w:p>
    <w:p>
      <w:pPr>
        <w:spacing w:after="200"/>
        <w:jc w:val="center"/>
      </w:pPr>
      <w:r>
        <w:rPr>
          <w:b w:val="0"/>
          <w:color w:val="6B7280"/>
          <w:sz w:val="16"/>
        </w:rPr>
        <w:t>Figure 4 —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3575338"/>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5 — The empty corner. Everyone else serves the head, and nobody monetises the fan.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(§6.10).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 it is the accumulated scoring history and the athlete relationships, which take time nobody can buy.</w:t>
      </w:r>
    </w:p>
    <w:p>
      <w:pPr>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w:t>
      </w:r>
    </w:p>
    <w:p>
      <w:pPr>
        <w:pStyle w:val="ListBullet"/>
        <w:spacing w:after="60" w:line="264" w:lineRule="auto"/>
        <w:ind w:left="624"/>
      </w:pPr>
      <w:r>
        <w:rPr>
          <w:b w:val="0"/>
          <w:color w:val="1F2937"/>
          <w:sz w:val="20"/>
        </w:rPr>
        <w:t xml:space="preserve">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w:t>
      </w:r>
    </w:p>
    <w:p>
      <w:pPr>
        <w:pStyle w:val="ListBullet"/>
        <w:spacing w:after="60" w:line="264" w:lineRule="auto"/>
        <w:ind w:left="624"/>
      </w:pPr>
      <w:r>
        <w:rPr>
          <w:b w:val="0"/>
          <w:color w:val="1F2937"/>
          <w:sz w:val="20"/>
        </w:rPr>
        <w:t>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w:t>
      </w:r>
    </w:p>
    <w:p>
      <w:pPr>
        <w:pStyle w:val="ListBullet"/>
        <w:spacing w:after="60" w:line="264" w:lineRule="auto"/>
        <w:ind w:left="624"/>
      </w:pPr>
      <w:r>
        <w:rPr>
          <w:b w:val="0"/>
          <w:color w:val="1F2937"/>
          <w:sz w:val="20"/>
        </w:rPr>
        <w:t>human. A rejected proof cannot be cleared by re-submitting the form.</w:t>
      </w:r>
    </w:p>
    <w:p>
      <w:pPr>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w:t>
      </w:r>
    </w:p>
    <w:p>
      <w:pPr>
        <w:pStyle w:val="ListBullet"/>
        <w:spacing w:after="60" w:line="264" w:lineRule="auto"/>
        <w:ind w:left="624"/>
      </w:pPr>
      <w:r>
        <w:rPr>
          <w:b w:val="0"/>
          <w:color w:val="1F2937"/>
          <w:sz w:val="20"/>
        </w:rPr>
        <w:t>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w:t>
      </w:r>
    </w:p>
    <w:p>
      <w:pPr>
        <w:pStyle w:val="ListBullet"/>
        <w:spacing w:after="60" w:line="264" w:lineRule="auto"/>
        <w:ind w:left="624"/>
      </w:pPr>
      <w:r>
        <w:rPr>
          <w:b w:val="0"/>
          <w:color w:val="1F2937"/>
          <w:sz w:val="20"/>
        </w:rPr>
        <w:t>decomposable score shortens the sales cycle in a market that runs on</w:t>
      </w:r>
    </w:p>
    <w:p>
      <w:pPr>
        <w:pStyle w:val="ListBullet"/>
        <w:spacing w:after="60" w:line="264" w:lineRule="auto"/>
        <w:ind w:left="624"/>
      </w:pPr>
      <w:r>
        <w:rPr>
          <w:b w:val="0"/>
          <w:color w:val="1F2937"/>
          <w:sz w:val="20"/>
        </w:rPr>
        <w:t>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w:t>
      </w:r>
    </w:p>
    <w:p>
      <w:pPr>
        <w:pStyle w:val="ListBullet"/>
        <w:spacing w:after="60" w:line="264" w:lineRule="auto"/>
        <w:ind w:left="624"/>
      </w:pPr>
      <w:r>
        <w:rPr>
          <w:b w:val="0"/>
          <w:color w:val="1F2937"/>
          <w:sz w:val="20"/>
        </w:rPr>
        <w:t>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w:t>
      </w:r>
    </w:p>
    <w:p>
      <w:pPr>
        <w:pStyle w:val="ListBullet"/>
        <w:spacing w:after="60" w:line="264" w:lineRule="auto"/>
        <w:ind w:left="624"/>
      </w:pPr>
      <w:r>
        <w:rPr>
          <w:b w:val="0"/>
          <w:color w:val="1F2937"/>
          <w:sz w:val="20"/>
        </w:rPr>
        <w:t>are built in, not retrofitted.</w:t>
      </w:r>
    </w:p>
    <w:p>
      <w:pPr>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€649k</w:t>
      </w:r>
      <w:r>
        <w:rPr>
          <w:b w:val="0"/>
          <w:color w:val="1F2937"/>
          <w:sz w:val="20"/>
        </w:rPr>
        <w:t xml:space="preserve">: a €464k cash trough in Y4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 there is no payment, tier-price or payout entity of any kind, and the €9.99 on the membership card is a label rendered by the client, not a price.</w:t>
      </w:r>
    </w:p>
    <w:p>
      <w:pPr>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keepNext/>
        <w:spacing w:before="320" w:after="100"/>
        <w:pBdr>
          <w:bottom w:val="single" w:sz="6" w:space="8" w:color="D1D5DB"/>
        </w:pBdr>
      </w:pPr>
      <w:r>
        <w:rPr>
          <w:b/>
          <w:color w:val="1F2937"/>
          <w:sz w:val="32"/>
        </w:rPr>
        <w:t>4. Marketing plan</w:t>
      </w:r>
    </w:p>
    <w:p>
      <w:pPr>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 already built — compounds behind it.</w:t>
      </w:r>
    </w:p>
    <w:p>
      <w:pPr>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Sponsors on the platform</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val="0"/>
                <w:color w:val="1F2937"/>
                <w:sz w:val="17"/>
              </w:rPr>
              <w:t>of which paying SaaS</w:t>
            </w:r>
          </w:p>
        </w:tc>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39</w:t>
            </w:r>
          </w:p>
        </w:tc>
        <w:tc>
          <w:tcPr>
            <w:tcW w:type="dxa" w:w="1512"/>
          </w:tcPr>
          <w:p>
            <w:pPr>
              <w:spacing w:after="40" w:before="40"/>
            </w:pPr>
            <w:r/>
            <w:r>
              <w:rPr>
                <w:b w:val="0"/>
                <w:color w:val="1F2937"/>
                <w:sz w:val="17"/>
              </w:rPr>
              <w:t>180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720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€3.43M</w:t>
            </w:r>
          </w:p>
        </w:tc>
        <w:tc>
          <w:tcPr>
            <w:tcW w:type="dxa" w:w="1512"/>
          </w:tcPr>
          <w:p>
            <w:pPr>
              <w:spacing w:after="40" w:before="40"/>
            </w:pPr>
            <w:r/>
            <w:r>
              <w:rPr>
                <w:b/>
                <w:color w:val="1F2937"/>
                <w:sz w:val="17"/>
              </w:rPr>
              <w:t>€10.70M</w:t>
            </w:r>
          </w:p>
        </w:tc>
        <w:tc>
          <w:tcPr>
            <w:tcW w:type="dxa" w:w="1512"/>
          </w:tcPr>
          <w:p>
            <w:pPr>
              <w:spacing w:after="40" w:before="40"/>
            </w:pPr>
            <w:r/>
            <w:r>
              <w:rPr>
                <w:b/>
                <w:color w:val="1F2937"/>
                <w:sz w:val="17"/>
              </w:rPr>
              <w:t>€25.38M</w:t>
            </w:r>
          </w:p>
        </w:tc>
      </w:tr>
    </w:tbl>
    <w:p>
      <w:pPr>
        <w:spacing w:after="160" w:before="0"/>
      </w:pPr>
    </w:p>
    <w:p>
      <w:pPr>
        <w:spacing w:after="120" w:before="0"/>
      </w:pPr>
    </w:p>
    <w:p>
      <w:pPr>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 there is no warehouse, no bill of materials and no delivery fleet —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keepNext/>
        <w:spacing w:before="200" w:after="100"/>
      </w:pPr>
      <w:r>
        <w:rPr>
          <w:b/>
          <w:color w:val="6B7280"/>
          <w:sz w:val="22"/>
        </w:rPr>
        <w:t>12.1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 connected social accounts, engagement refresh</w:t>
        <w:br/>
        <w:t xml:space="preserve">  S2  Payments and payouts — collection, float, athlete settlement, reconciliation</w:t>
        <w:br/>
        <w:t xml:space="preserve">  S3  Support and dispute handling —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(§12.2).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 against 22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keepNext/>
        <w:spacing w:before="200" w:after="100"/>
      </w:pPr>
      <w:r>
        <w:rPr>
          <w:b/>
          <w:color w:val="6B7280"/>
          <w:sz w:val="22"/>
        </w:rPr>
        <w:t>12.2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§12.10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14</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keepNext/>
        <w:spacing w:before="200" w:after="100"/>
      </w:pPr>
      <w:r>
        <w:rPr>
          <w:b/>
          <w:color w:val="6B7280"/>
          <w:sz w:val="22"/>
        </w:rPr>
        <w:t>12.3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w:t>
      </w:r>
    </w:p>
    <w:p>
      <w:pPr>
        <w:pStyle w:val="ListBullet"/>
        <w:spacing w:after="60" w:line="264" w:lineRule="auto"/>
        <w:ind w:left="624"/>
      </w:pPr>
      <w:r>
        <w:rPr>
          <w:b w:val="0"/>
          <w:color w:val="1F2937"/>
          <w:sz w:val="20"/>
        </w:rPr>
        <w:t xml:space="preserve">taxable years against the standard 25%, worth </w:t>
      </w:r>
      <w:r>
        <w:rPr>
          <w:b/>
          <w:color w:val="1F2937"/>
          <w:sz w:val="20"/>
        </w:rPr>
        <w:t>€1.57M across Y6–Y9</w:t>
      </w:r>
      <w:r>
        <w:rPr>
          <w:b w:val="0"/>
          <w:color w:val="1F2937"/>
          <w:sz w:val="20"/>
        </w:rPr>
        <w:t xml:space="preserve"> in the</w:t>
      </w:r>
    </w:p>
    <w:p>
      <w:pPr>
        <w:pStyle w:val="ListBullet"/>
        <w:spacing w:after="60" w:line="264" w:lineRule="auto"/>
        <w:ind w:left="624"/>
      </w:pPr>
      <w:r>
        <w:rPr>
          <w:b w:val="0"/>
          <w:color w:val="1F2937"/>
          <w:sz w:val="20"/>
        </w:rPr>
        <w:t>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w:t>
      </w:r>
    </w:p>
    <w:p>
      <w:pPr>
        <w:pStyle w:val="ListBullet"/>
        <w:spacing w:after="60" w:line="264" w:lineRule="auto"/>
        <w:ind w:left="624"/>
      </w:pPr>
      <w:r>
        <w:rPr>
          <w:b w:val="0"/>
          <w:color w:val="1F2937"/>
          <w:sz w:val="20"/>
        </w:rPr>
        <w:t>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w:t>
      </w:r>
    </w:p>
    <w:p>
      <w:pPr>
        <w:pStyle w:val="ListBullet"/>
        <w:spacing w:after="60" w:line="264" w:lineRule="auto"/>
        <w:ind w:left="624"/>
      </w:pPr>
      <w:r>
        <w:rPr>
          <w:b w:val="0"/>
          <w:color w:val="1F2937"/>
          <w:sz w:val="20"/>
        </w:rPr>
        <w:t>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w:t>
      </w:r>
    </w:p>
    <w:p>
      <w:pPr>
        <w:pStyle w:val="ListBullet"/>
        <w:spacing w:after="60" w:line="264" w:lineRule="auto"/>
        <w:ind w:left="624"/>
      </w:pPr>
      <w:r>
        <w:rPr>
          <w:b w:val="0"/>
          <w:color w:val="1F2937"/>
          <w:sz w:val="20"/>
        </w:rPr>
        <w:t>club channel and the anchor athlete relationship, both of which are</w:t>
      </w:r>
    </w:p>
    <w:p>
      <w:pPr>
        <w:pStyle w:val="ListBullet"/>
        <w:spacing w:after="60" w:line="264" w:lineRule="auto"/>
        <w:ind w:left="624"/>
      </w:pPr>
      <w:r>
        <w:rPr>
          <w:b w:val="0"/>
          <w:color w:val="1F2937"/>
          <w:sz w:val="20"/>
        </w:rPr>
        <w:t>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keepNext/>
        <w:spacing w:before="200" w:after="100"/>
      </w:pPr>
      <w:r>
        <w:rPr>
          <w:b/>
          <w:color w:val="6B7280"/>
          <w:sz w:val="22"/>
        </w:rPr>
        <w:t>12.4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keepNext/>
        <w:spacing w:before="200" w:after="100"/>
      </w:pPr>
      <w:r>
        <w:rPr>
          <w:b/>
          <w:color w:val="6B7280"/>
          <w:sz w:val="22"/>
        </w:rPr>
        <w:t>12.5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§12.10</w:t>
            </w:r>
          </w:p>
        </w:tc>
        <w:tc>
          <w:tcPr>
            <w:tcW w:type="dxa" w:w="2268"/>
          </w:tcPr>
          <w:p>
            <w:pPr>
              <w:spacing w:after="40" w:before="40"/>
            </w:pPr>
            <w:r/>
            <w:r>
              <w:rPr>
                <w:b w:val="0"/>
                <w:color w:val="1F2937"/>
                <w:sz w:val="17"/>
              </w:rPr>
              <w:t>€2.55M</w:t>
            </w:r>
          </w:p>
        </w:tc>
      </w:tr>
    </w:tbl>
    <w:p>
      <w:pPr>
        <w:spacing w:after="160" w:before="0"/>
      </w:pPr>
    </w:p>
    <w:p>
      <w:pPr>
        <w:spacing w:after="120" w:before="0"/>
      </w:pPr>
    </w:p>
    <w:p>
      <w:pPr>
        <w:keepNext/>
        <w:spacing w:before="200" w:after="100"/>
      </w:pPr>
      <w:r>
        <w:rPr>
          <w:b/>
          <w:color w:val="6B7280"/>
          <w:sz w:val="22"/>
        </w:rPr>
        <w:t>12.6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(§12.7), and automated proof-checking exists specifically to keep the human queue short rather than to make it cheap.</w:t>
      </w:r>
    </w:p>
    <w:p>
      <w:pPr>
        <w:spacing w:after="120" w:before="0"/>
      </w:pPr>
    </w:p>
    <w:p>
      <w:pPr>
        <w:keepNext/>
        <w:spacing w:before="200" w:after="100"/>
      </w:pPr>
      <w:r>
        <w:rPr>
          <w:b/>
          <w:color w:val="6B7280"/>
          <w:sz w:val="22"/>
        </w:rPr>
        <w:t>12.7 Delivery times and service levels</w:t>
      </w:r>
    </w:p>
    <w:p>
      <w:pPr>
        <w:spacing w:after="140" w:line="276" w:lineRule="auto"/>
        <w:jc w:val="both"/>
      </w:pPr>
      <w:r>
        <w:rPr>
          <w:b w:val="0"/>
          <w:color w:val="1F2937"/>
          <w:sz w:val="20"/>
        </w:rPr>
        <w:t>These are commitments, not observations —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keepNext/>
        <w:spacing w:before="200" w:after="100"/>
      </w:pPr>
      <w:r>
        <w:rPr>
          <w:b/>
          <w:color w:val="6B7280"/>
          <w:sz w:val="22"/>
        </w:rPr>
        <w:t>12.8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keepNext/>
        <w:spacing w:before="200" w:after="100"/>
      </w:pPr>
      <w:r>
        <w:rPr>
          <w:b/>
          <w:color w:val="6B7280"/>
          <w:sz w:val="22"/>
        </w:rPr>
        <w:t>12.9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pPr>
        <w:spacing w:after="120" w:before="0"/>
      </w:pPr>
    </w:p>
    <w:p>
      <w:pPr>
        <w:keepNext/>
        <w:spacing w:before="200" w:after="100"/>
      </w:pPr>
      <w:r>
        <w:rPr>
          <w:b/>
          <w:color w:val="6B7280"/>
          <w:sz w:val="22"/>
        </w:rPr>
        <w:t>12.10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Fan pays</w:t>
            </w:r>
          </w:p>
        </w:tc>
        <w:tc>
          <w:tcPr>
            <w:tcW w:type="dxa" w:w="2268"/>
            <w:shd w:val="clear" w:fill="EFF1F3"/>
          </w:tcPr>
          <w:p>
            <w:pPr>
              <w:spacing w:after="40" w:before="40"/>
            </w:pPr>
            <w:r/>
            <w:r>
              <w:rPr>
                <w:b/>
                <w:color w:val="1F2937"/>
                <w:sz w:val="17"/>
              </w:rPr>
              <w:t>Our take (15%)</w:t>
            </w:r>
          </w:p>
        </w:tc>
        <w:tc>
          <w:tcPr>
            <w:tcW w:type="dxa" w:w="2268"/>
            <w:shd w:val="clear" w:fill="EFF1F3"/>
          </w:tcPr>
          <w:p>
            <w:pPr>
              <w:spacing w:after="40" w:before="40"/>
            </w:pPr>
            <w:r/>
            <w:r>
              <w:rPr>
                <w:b/>
                <w:color w:val="1F2937"/>
                <w:sz w:val="17"/>
              </w:rPr>
              <w:t>Processing cost</w:t>
            </w:r>
          </w:p>
        </w:tc>
        <w:tc>
          <w:tcPr>
            <w:tcW w:type="dxa" w:w="2268"/>
            <w:shd w:val="clear" w:fill="EFF1F3"/>
          </w:tcPr>
          <w:p>
            <w:pPr>
              <w:spacing w:after="40" w:before="40"/>
            </w:pPr>
            <w:r/>
            <w:r>
              <w:rPr>
                <w:b/>
                <w:color w:val="1F2937"/>
                <w:sz w:val="17"/>
              </w:rPr>
              <w:t>We retain</w:t>
            </w:r>
          </w:p>
        </w:tc>
      </w:tr>
      <w:tr>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€0.75</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54%</w:t>
            </w:r>
          </w:p>
        </w:tc>
      </w:tr>
      <w:tr>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€1.50</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71%</w:t>
            </w:r>
          </w:p>
        </w:tc>
      </w:tr>
    </w:tbl>
    <w:p>
      <w:pPr>
        <w:spacing w:after="160" w:before="0"/>
      </w:pPr>
    </w:p>
    <w:p>
      <w:pPr>
        <w:spacing w:after="140" w:line="276" w:lineRule="auto"/>
        <w:jc w:val="both"/>
      </w:pPr>
      <w:r>
        <w:rPr>
          <w:b w:val="0"/>
          <w:color w:val="1F2937"/>
          <w:sz w:val="20"/>
        </w:rPr>
        <w:t xml:space="preserve">At a €4.99 tier we keep just over half of our own commission. At €9.99 we keep just over seven tenths of it.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xml:space="preserve"> —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val="0"/>
                <w:color w:val="1F2937"/>
                <w:sz w:val="17"/>
              </w:rPr>
              <w:t>~€1.49 (4 min at €22.35/hr loaded)</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keepNext/>
        <w:spacing w:before="200" w:after="100"/>
      </w:pPr>
      <w:r>
        <w:rPr>
          <w:b/>
          <w:color w:val="6B7280"/>
          <w:sz w:val="22"/>
        </w:rPr>
        <w:t>12.11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 not a feature — is what unlocks the next stage.</w:t>
      </w:r>
    </w:p>
    <w:p>
      <w:pPr>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€10.7M of revenue at Y7 with 22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12</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keepNext/>
        <w:spacing w:before="200" w:after="100"/>
      </w:pPr>
      <w:r>
        <w:rPr>
          <w:b/>
          <w:color w:val="6B7280"/>
          <w:sz w:val="22"/>
        </w:rPr>
        <w:t>13.1 Organizational structure</w:t>
      </w:r>
    </w:p>
    <w:p>
      <w:pPr>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val="0"/>
          <w:color w:val="1F2937"/>
          <w:sz w:val="20"/>
        </w:rPr>
        <w:t xml:space="preserve">Growth to 38 FTE by Y10. The shape is deliberate: </w:t>
      </w:r>
      <w:r>
        <w:rPr>
          <w:b/>
          <w:color w:val="1F2937"/>
          <w:sz w:val="20"/>
        </w:rPr>
        <w:t>the team stays below five people until fan revenue is proven</w:t>
      </w:r>
      <w:r>
        <w:rPr>
          <w:b w:val="0"/>
          <w:color w:val="1F2937"/>
          <w:sz w:val="20"/>
        </w:rPr>
        <w:t>, because the pre-seed gate tests an assumption, and testing an assumption does not need an organisation.</w:t>
      </w:r>
    </w:p>
    <w:p>
      <w:pPr>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Y1–Y2  ── FOUNDER / CEO ──┬── Full-stack engineer</w:t>
        <w:br/>
        <w:t xml:space="preserve">  (2 FTE)                   └── Community / athlete lead</w:t>
        <w:br/>
        <w:br/>
        <w:t xml:space="preserve">  Y3–Y5  ── FOUNDER / CEO ──┬── ENGINEERING ── senior eng · full-stack</w:t>
        <w:br/>
        <w:t xml:space="preserve">  (3.5→10)                  ├── GROWTH ────── BD/partnerships · athlete success</w:t>
        <w:br/>
        <w:t xml:space="preserve">                            ├── OPERATIONS ── moderation lead · review</w:t>
        <w:br/>
        <w:t xml:space="preserve">                            └── FINANCE &amp; COMPLIANCE ── finance/ops · DPO (frac.)</w:t>
        <w:br/>
        <w:br/>
        <w:t xml:space="preserve">  Y6+    ── FOUNDER / CEO ──┬── VP ENGINEERING ── platform · data · mobile</w:t>
        <w:br/>
        <w:t xml:space="preserve">  (15→38)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Y4 and a function only from Y5. There is no separate marketing team before Y6 —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keepNext/>
        <w:spacing w:before="200" w:after="100"/>
      </w:pPr>
      <w:r>
        <w:rPr>
          <w:b/>
          <w:color w:val="6B7280"/>
          <w:sz w:val="22"/>
        </w:rPr>
        <w:t>13.2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keepNext/>
        <w:spacing w:before="200" w:after="100"/>
      </w:pPr>
      <w:r>
        <w:rPr>
          <w:b/>
          <w:color w:val="6B7280"/>
          <w:sz w:val="20"/>
        </w:rPr>
        <w:t>Founder / CEO —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keepNext/>
        <w:spacing w:before="200" w:after="100"/>
      </w:pPr>
      <w:r>
        <w:rPr>
          <w:b/>
          <w:color w:val="6B7280"/>
          <w:sz w:val="20"/>
        </w:rPr>
        <w:t>Senior engineer — Y2</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keepNext/>
        <w:spacing w:before="200" w:after="100"/>
      </w:pPr>
      <w:r>
        <w:rPr>
          <w:b/>
          <w:color w:val="6B7280"/>
          <w:sz w:val="20"/>
        </w:rPr>
        <w:t>BD / partnerships — Y2</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keepNext/>
        <w:spacing w:before="200" w:after="100"/>
      </w:pPr>
      <w:r>
        <w:rPr>
          <w:b/>
          <w:color w:val="6B7280"/>
          <w:sz w:val="20"/>
        </w:rPr>
        <w:t>Athlete success — Y3</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keepNext/>
        <w:spacing w:before="200" w:after="100"/>
      </w:pPr>
      <w:r>
        <w:rPr>
          <w:b/>
          <w:color w:val="6B7280"/>
          <w:sz w:val="20"/>
        </w:rPr>
        <w:t>Content moderation lead — Y3</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keepNext/>
        <w:spacing w:before="200" w:after="100"/>
      </w:pPr>
      <w:r>
        <w:rPr>
          <w:b/>
          <w:color w:val="6B7280"/>
          <w:sz w:val="20"/>
        </w:rPr>
        <w:t>Finance / operations — Y4</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keepNext/>
        <w:spacing w:before="200" w:after="100"/>
      </w:pPr>
      <w:r>
        <w:rPr>
          <w:b/>
          <w:color w:val="6B7280"/>
          <w:sz w:val="20"/>
        </w:rPr>
        <w:t>Data protection officer — Y3 fractional → Y5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keepNext/>
        <w:spacing w:before="200" w:after="100"/>
      </w:pPr>
      <w:r>
        <w:rPr>
          <w:b/>
          <w:color w:val="6B7280"/>
          <w:sz w:val="22"/>
        </w:rPr>
        <w:t>13.3 HR policies</w:t>
      </w:r>
    </w:p>
    <w:p>
      <w:pPr>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w:t>
      </w:r>
    </w:p>
    <w:p>
      <w:pPr>
        <w:pStyle w:val="ListBullet"/>
        <w:spacing w:after="60" w:line="264" w:lineRule="auto"/>
        <w:ind w:left="624"/>
      </w:pPr>
      <w:r>
        <w:rPr>
          <w:b w:val="0"/>
          <w:color w:val="1F2937"/>
          <w:sz w:val="20"/>
        </w:rPr>
        <w:t>role: a real pull request against a scoped issue, paid at market rate.</w:t>
      </w:r>
    </w:p>
    <w:p>
      <w:pPr>
        <w:pStyle w:val="ListBullet"/>
        <w:spacing w:after="60" w:line="264" w:lineRule="auto"/>
        <w:ind w:left="624"/>
      </w:pPr>
      <w:r>
        <w:rPr>
          <w:b w:val="0"/>
          <w:color w:val="1F2937"/>
          <w:sz w:val="20"/>
        </w:rPr>
        <w:t>Consistent with a product whose own admission gate refuses to accept</w:t>
      </w:r>
    </w:p>
    <w:p>
      <w:pPr>
        <w:pStyle w:val="ListBullet"/>
        <w:spacing w:after="60" w:line="264" w:lineRule="auto"/>
        <w:ind w:left="624"/>
      </w:pPr>
      <w:r>
        <w:rPr>
          <w:b w:val="0"/>
          <w:color w:val="1F2937"/>
          <w:sz w:val="20"/>
        </w:rPr>
        <w:t>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w:t>
      </w:r>
    </w:p>
    <w:p>
      <w:pPr>
        <w:pStyle w:val="ListBullet"/>
        <w:spacing w:after="60" w:line="264" w:lineRule="auto"/>
        <w:ind w:left="624"/>
      </w:pPr>
      <w:r>
        <w:rPr>
          <w:b w:val="0"/>
          <w:color w:val="1F2937"/>
          <w:sz w:val="20"/>
        </w:rPr>
        <w:t>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w:t>
      </w:r>
    </w:p>
    <w:p>
      <w:pPr>
        <w:pStyle w:val="ListBullet"/>
        <w:spacing w:after="60" w:line="264" w:lineRule="auto"/>
        <w:ind w:left="624"/>
      </w:pPr>
      <w:r>
        <w:rPr>
          <w:b w:val="0"/>
          <w:color w:val="1F2937"/>
          <w:sz w:val="20"/>
        </w:rPr>
        <w:t>seen and applied identically. This is both a legal requirement in Spain and a</w:t>
      </w:r>
    </w:p>
    <w:p>
      <w:pPr>
        <w:pStyle w:val="ListBullet"/>
        <w:spacing w:after="60" w:line="264" w:lineRule="auto"/>
        <w:ind w:left="624"/>
      </w:pPr>
      <w:r>
        <w:rPr>
          <w:b w:val="0"/>
          <w:color w:val="1F2937"/>
          <w:sz w:val="20"/>
        </w:rPr>
        <w:t>stated commitment (§13.5).</w:t>
      </w:r>
    </w:p>
    <w:p>
      <w:pPr>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w:t>
      </w:r>
    </w:p>
    <w:p>
      <w:pPr>
        <w:pStyle w:val="ListBullet"/>
        <w:spacing w:after="60" w:line="264" w:lineRule="auto"/>
        <w:ind w:left="624"/>
      </w:pPr>
      <w:r>
        <w:rPr>
          <w:b w:val="0"/>
          <w:color w:val="1F2937"/>
          <w:sz w:val="20"/>
        </w:rPr>
        <w:t>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not to the calendar. The pre-seed,</w:t>
      </w:r>
    </w:p>
    <w:p>
      <w:pPr>
        <w:pStyle w:val="ListBullet"/>
        <w:spacing w:after="60" w:line="264" w:lineRule="auto"/>
        <w:ind w:left="624"/>
      </w:pPr>
      <w:r>
        <w:rPr>
          <w:b w:val="0"/>
          <w:color w:val="1F2937"/>
          <w:sz w:val="20"/>
        </w:rPr>
        <w:t xml:space="preserve">seed and Series A gates in </w:t>
      </w:r>
      <w:r>
        <w:rPr>
          <w:b w:val="0"/>
          <w:color w:val="1F2937"/>
          <w:sz w:val="20"/>
        </w:rPr>
        <w:t>04</w:t>
      </w:r>
      <w:r>
        <w:rPr>
          <w:b w:val="0"/>
          <w:color w:val="1F2937"/>
          <w:sz w:val="20"/>
        </w:rPr>
        <w:t xml:space="preserve"> are evidence</w:t>
      </w:r>
    </w:p>
    <w:p>
      <w:pPr>
        <w:pStyle w:val="ListBullet"/>
        <w:spacing w:after="60" w:line="264" w:lineRule="auto"/>
        <w:ind w:left="624"/>
      </w:pPr>
      <w:r>
        <w:rPr>
          <w:b w:val="0"/>
          <w:color w:val="1F2937"/>
          <w:sz w:val="20"/>
        </w:rPr>
        <w:t>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w:t>
      </w:r>
    </w:p>
    <w:p>
      <w:pPr>
        <w:pStyle w:val="ListBullet"/>
        <w:spacing w:after="60" w:line="264" w:lineRule="auto"/>
        <w:ind w:left="624"/>
      </w:pPr>
      <w:r>
        <w:rPr>
          <w:b w:val="0"/>
          <w:color w:val="1F2937"/>
          <w:sz w:val="20"/>
        </w:rPr>
        <w:t>they lose alignment.</w:t>
      </w:r>
    </w:p>
    <w:p>
      <w:pPr>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€10.7M of revenue. If that is true, equity is worth more than the salary gap — and if a candidate does not believe it, they are the wrong hire for a company whose central claim is exactly that.</w:t>
      </w:r>
    </w:p>
    <w:p>
      <w:pPr>
        <w:spacing w:after="120" w:before="0"/>
      </w:pPr>
    </w:p>
    <w:p>
      <w:pPr>
        <w:keepNext/>
        <w:spacing w:before="200" w:after="100"/>
      </w:pPr>
      <w:r>
        <w:rPr>
          <w:b/>
          <w:color w:val="6B7280"/>
          <w:sz w:val="22"/>
        </w:rPr>
        <w:t>13.4 Governance structure</w:t>
      </w:r>
    </w:p>
    <w:p>
      <w:pPr>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14</w:t>
      </w:r>
      <w:r>
        <w:rPr>
          <w:b w:val="0"/>
          <w:color w:val="1F2937"/>
          <w:sz w:val="20"/>
        </w:rPr>
        <w:t>.</w:t>
      </w:r>
    </w:p>
    <w:p>
      <w:pPr>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(€600k)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79%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66%</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55%</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~49%</w:t>
            </w:r>
          </w:p>
        </w:tc>
      </w:tr>
    </w:tbl>
    <w:p>
      <w:pPr>
        <w:spacing w:after="160" w:before="0"/>
      </w:pPr>
    </w:p>
    <w:p>
      <w:pPr>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xml:space="preserve"> — it is the decision most likely to be pressured commercially and least reversible reputationally.</w:t>
      </w:r>
    </w:p>
    <w:p>
      <w:pPr>
        <w:keepNext/>
        <w:spacing w:before="200" w:after="100"/>
      </w:pPr>
      <w:r>
        <w:rPr>
          <w:b/>
          <w:color w:val="6B7280"/>
          <w:sz w:val="20"/>
        </w:rPr>
        <w:t>Advisory</w:t>
      </w:r>
    </w:p>
    <w:p>
      <w:pPr>
        <w:spacing w:after="140" w:line="276" w:lineRule="auto"/>
        <w:jc w:val="both"/>
      </w:pPr>
      <w:r>
        <w:rPr>
          <w:b w:val="0"/>
          <w:color w:val="1F2937"/>
          <w:sz w:val="20"/>
        </w:rPr>
        <w:t xml:space="preserve">A </w:t>
      </w:r>
      <w:r>
        <w:rPr>
          <w:b/>
          <w:color w:val="1F2937"/>
          <w:sz w:val="20"/>
        </w:rPr>
        <w:t>2% advisory grant</w:t>
      </w:r>
      <w:r>
        <w:rPr>
          <w:b w:val="0"/>
          <w:color w:val="1F2937"/>
          <w:sz w:val="20"/>
        </w:rPr>
        <w:t xml:space="preserve"> is made at the pre-seed, vesting over two years. The intended profile is sports-industry rather than technology: the plan's weakest external dependency is the anchor athlete and the club channel, not the code.</w:t>
      </w:r>
    </w:p>
    <w:p>
      <w:pPr>
        <w:spacing w:after="120" w:before="0"/>
      </w:pPr>
    </w:p>
    <w:p>
      <w:pPr>
        <w:keepNext/>
        <w:spacing w:before="200" w:after="100"/>
      </w:pPr>
      <w:r>
        <w:rPr>
          <w:b/>
          <w:color w:val="6B7280"/>
          <w:sz w:val="22"/>
        </w:rPr>
        <w:t>13.5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 Responsible Consumption</w:t>
            </w:r>
          </w:p>
        </w:tc>
        <w:tc>
          <w:tcPr>
            <w:tcW w:type="dxa" w:w="3024"/>
          </w:tcPr>
          <w:p>
            <w:pPr>
              <w:spacing w:after="40" w:before="40"/>
            </w:pPr>
            <w:r/>
            <w:r>
              <w:rPr>
                <w:b w:val="0"/>
                <w:color w:val="1F2937"/>
                <w:sz w:val="17"/>
              </w:rPr>
              <w:t>The zero-egress architecture is chosen on cost, but it also cuts the energy intensity of media delivery by roughly a factor of nine per GB served</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w:t>
      </w:r>
    </w:p>
    <w:p>
      <w:pPr>
        <w:pStyle w:val="ListBullet"/>
        <w:spacing w:after="60" w:line="264" w:lineRule="auto"/>
        <w:ind w:left="624"/>
      </w:pPr>
      <w:r>
        <w:rPr>
          <w:b w:val="0"/>
          <w:color w:val="1F2937"/>
          <w:sz w:val="20"/>
        </w:rPr>
        <w:t>for a year or two. Adults paying for private access to a minor is a</w:t>
      </w:r>
    </w:p>
    <w:p>
      <w:pPr>
        <w:pStyle w:val="ListBullet"/>
        <w:spacing w:after="60" w:line="264" w:lineRule="auto"/>
        <w:ind w:left="624"/>
      </w:pPr>
      <w:r>
        <w:rPr>
          <w:b w:val="0"/>
          <w:color w:val="1F2937"/>
          <w:sz w:val="20"/>
        </w:rPr>
        <w:t>categorically different risk from a sponsor paying for a post, and we treat</w:t>
      </w:r>
    </w:p>
    <w:p>
      <w:pPr>
        <w:pStyle w:val="ListBullet"/>
        <w:spacing w:after="60" w:line="264" w:lineRule="auto"/>
        <w:ind w:left="624"/>
      </w:pPr>
      <w:r>
        <w:rPr>
          <w:b w:val="0"/>
          <w:color w:val="1F2937"/>
          <w:sz w:val="20"/>
        </w:rPr>
        <w:t>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w:t>
      </w:r>
    </w:p>
    <w:p>
      <w:pPr>
        <w:pStyle w:val="ListBullet"/>
        <w:spacing w:after="60" w:line="264" w:lineRule="auto"/>
        <w:ind w:left="624"/>
      </w:pPr>
      <w:r>
        <w:rPr>
          <w:b w:val="0"/>
          <w:color w:val="1F2937"/>
          <w:sz w:val="20"/>
        </w:rPr>
        <w:t>20% take. It buys a pricing argument that survives contact with the exact</w:t>
      </w:r>
    </w:p>
    <w:p>
      <w:pPr>
        <w:pStyle w:val="ListBullet"/>
        <w:spacing w:after="60" w:line="264" w:lineRule="auto"/>
        <w:ind w:left="624"/>
      </w:pPr>
      <w:r>
        <w:rPr>
          <w:b w:val="0"/>
          <w:color w:val="1F2937"/>
          <w:sz w:val="20"/>
        </w:rPr>
        <w:t>athlete we target.</w:t>
      </w:r>
    </w:p>
    <w:p>
      <w:pPr>
        <w:spacing w:after="140" w:line="276" w:lineRule="auto"/>
        <w:jc w:val="both"/>
      </w:pPr>
      <w:r>
        <w:rPr>
          <w:b w:val="0"/>
          <w:color w:val="1F2937"/>
          <w:sz w:val="20"/>
        </w:rPr>
        <w:t>Each of these is a decision we would rather explain than have found.</w:t>
      </w:r>
    </w:p>
    <w:p>
      <w:pPr>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277 prose claims across 14 documents</w:t>
      </w:r>
      <w:r>
        <w:rPr>
          <w:b w:val="0"/>
          <w:color w:val="1F2937"/>
          <w:sz w:val="20"/>
        </w:rPr>
        <w:t xml:space="preserve"> against the model and fails the build if any figure drifts; a second guard evaluates all 2,500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Standard for stage</w:t>
            </w:r>
          </w:p>
        </w:tc>
      </w:tr>
    </w:tbl>
    <w:p>
      <w:pPr>
        <w:spacing w:after="160" w:before="0"/>
      </w:pPr>
    </w:p>
    <w:p>
      <w:pPr>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134</w:t>
            </w:r>
          </w:p>
        </w:tc>
        <w:tc>
          <w:tcPr>
            <w:tcW w:type="dxa" w:w="1134"/>
          </w:tcPr>
          <w:p>
            <w:pPr>
              <w:spacing w:after="40" w:before="40"/>
            </w:pPr>
            <w:r/>
            <w:r>
              <w:rPr>
                <w:b w:val="0"/>
                <w:color w:val="1F2937"/>
                <w:sz w:val="17"/>
              </w:rPr>
              <w:t>535</w:t>
            </w:r>
          </w:p>
        </w:tc>
        <w:tc>
          <w:tcPr>
            <w:tcW w:type="dxa" w:w="1134"/>
          </w:tcPr>
          <w:p>
            <w:pPr>
              <w:spacing w:after="40" w:before="40"/>
            </w:pPr>
            <w:r/>
            <w:r>
              <w:rPr>
                <w:b w:val="0"/>
                <w:color w:val="1F2937"/>
                <w:sz w:val="17"/>
              </w:rPr>
              <w:t>1,504</w:t>
            </w:r>
          </w:p>
        </w:tc>
        <w:tc>
          <w:tcPr>
            <w:tcW w:type="dxa" w:w="1134"/>
          </w:tcPr>
          <w:p>
            <w:pPr>
              <w:spacing w:after="40" w:before="40"/>
            </w:pPr>
            <w:r/>
            <w:r>
              <w:rPr>
                <w:b w:val="0"/>
                <w:color w:val="1F2937"/>
                <w:sz w:val="17"/>
              </w:rPr>
              <w:t>3,426</w:t>
            </w:r>
          </w:p>
        </w:tc>
        <w:tc>
          <w:tcPr>
            <w:tcW w:type="dxa" w:w="1134"/>
          </w:tcPr>
          <w:p>
            <w:pPr>
              <w:spacing w:after="40" w:before="40"/>
            </w:pPr>
            <w:r/>
            <w:r>
              <w:rPr>
                <w:b w:val="0"/>
                <w:color w:val="1F2937"/>
                <w:sz w:val="17"/>
              </w:rPr>
              <w:t>6,527</w:t>
            </w:r>
          </w:p>
        </w:tc>
        <w:tc>
          <w:tcPr>
            <w:tcW w:type="dxa" w:w="1134"/>
          </w:tcPr>
          <w:p>
            <w:pPr>
              <w:spacing w:after="40" w:before="40"/>
            </w:pPr>
            <w:r/>
            <w:r>
              <w:rPr>
                <w:b w:val="0"/>
                <w:color w:val="1F2937"/>
                <w:sz w:val="17"/>
              </w:rPr>
              <w:t>10,702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−169</w:t>
            </w:r>
          </w:p>
        </w:tc>
        <w:tc>
          <w:tcPr>
            <w:tcW w:type="dxa" w:w="1134"/>
          </w:tcPr>
          <w:p>
            <w:pPr>
              <w:spacing w:after="40" w:before="40"/>
            </w:pPr>
            <w:r/>
            <w:r>
              <w:rPr>
                <w:b/>
                <w:color w:val="1F2937"/>
                <w:sz w:val="17"/>
              </w:rPr>
              <w:t>−228</w:t>
            </w:r>
          </w:p>
        </w:tc>
        <w:tc>
          <w:tcPr>
            <w:tcW w:type="dxa" w:w="1134"/>
          </w:tcPr>
          <w:p>
            <w:pPr>
              <w:spacing w:after="40" w:before="40"/>
            </w:pPr>
            <w:r/>
            <w:r>
              <w:rPr>
                <w:b/>
                <w:color w:val="1F2937"/>
                <w:sz w:val="17"/>
              </w:rPr>
              <w:t>−173</w:t>
            </w:r>
          </w:p>
        </w:tc>
        <w:tc>
          <w:tcPr>
            <w:tcW w:type="dxa" w:w="1134"/>
          </w:tcPr>
          <w:p>
            <w:pPr>
              <w:spacing w:after="40" w:before="40"/>
            </w:pPr>
            <w:r/>
            <w:r>
              <w:rPr>
                <w:b/>
                <w:color w:val="1F2937"/>
                <w:sz w:val="17"/>
              </w:rPr>
              <w:t>278</w:t>
            </w:r>
          </w:p>
        </w:tc>
        <w:tc>
          <w:tcPr>
            <w:tcW w:type="dxa" w:w="1134"/>
          </w:tcPr>
          <w:p>
            <w:pPr>
              <w:spacing w:after="40" w:before="40"/>
            </w:pPr>
            <w:r/>
            <w:r>
              <w:rPr>
                <w:b/>
                <w:color w:val="1F2937"/>
                <w:sz w:val="17"/>
              </w:rPr>
              <w:t>1,439</w:t>
            </w:r>
          </w:p>
        </w:tc>
        <w:tc>
          <w:tcPr>
            <w:tcW w:type="dxa" w:w="1134"/>
          </w:tcPr>
          <w:p>
            <w:pPr>
              <w:spacing w:after="40" w:before="40"/>
            </w:pPr>
            <w:r/>
            <w:r>
              <w:rPr>
                <w:b/>
                <w:color w:val="1F2937"/>
                <w:sz w:val="17"/>
              </w:rPr>
              <w:t>3,119</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8" name="Picture 8"/>
            <wp:cNvGraphicFramePr>
              <a:graphicFrameLocks noChangeAspect="1"/>
            </wp:cNvGraphicFramePr>
            <a:graphic>
              <a:graphicData uri="http://schemas.openxmlformats.org/drawingml/2006/picture">
                <pic:pic>
                  <pic:nvPicPr>
                    <pic:cNvPr id="0" name="g11-cogs-composition.png"/>
                    <pic:cNvPicPr/>
                  </pic:nvPicPr>
                  <pic:blipFill>
                    <a:blip r:embed="rId17"/>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8 — What cost of revenue is made of. The dashed line is the infrastructure we chose not to buy.</w:t>
      </w:r>
    </w:p>
    <w:p>
      <w:pPr>
        <w:spacing w:after="140" w:line="276" w:lineRule="auto"/>
        <w:jc w:val="both"/>
      </w:pPr>
      <w:r>
        <w:rPr>
          <w:b/>
          <w:color w:val="1F2937"/>
          <w:sz w:val="20"/>
        </w:rPr>
        <w:t>Payment processing is 24% of Y7 revenue and nearly eight times infrastructure.</w:t>
      </w:r>
      <w:r>
        <w:rPr>
          <w:b w:val="0"/>
          <w:color w:val="1F2937"/>
          <w:sz w:val="20"/>
        </w:rPr>
        <w:t xml:space="preserve"> Any optimisation effort belongs in tier pricing, annual billing and processor negotiation, not in the AWS bill.</w:t>
      </w:r>
    </w:p>
    <w:p>
      <w:pPr>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€504k</w:t>
            </w:r>
          </w:p>
        </w:tc>
        <w:tc>
          <w:tcPr>
            <w:tcW w:type="dxa" w:w="1814"/>
          </w:tcPr>
          <w:p>
            <w:pPr>
              <w:spacing w:after="40" w:before="40"/>
            </w:pPr>
            <w:r/>
            <w:r>
              <w:rPr>
                <w:b w:val="0"/>
                <w:color w:val="1F2937"/>
                <w:sz w:val="17"/>
              </w:rPr>
              <w:t>€161k</w:t>
            </w:r>
          </w:p>
        </w:tc>
        <w:tc>
          <w:tcPr>
            <w:tcW w:type="dxa" w:w="1814"/>
          </w:tcPr>
          <w:p>
            <w:pPr>
              <w:spacing w:after="40" w:before="40"/>
            </w:pPr>
            <w:r/>
            <w:r>
              <w:rPr>
                <w:b w:val="0"/>
                <w:color w:val="1F2937"/>
                <w:sz w:val="17"/>
              </w:rPr>
              <w:t>€2.73M</w:t>
            </w:r>
          </w:p>
        </w:tc>
        <w:tc>
          <w:tcPr>
            <w:tcW w:type="dxa" w:w="1814"/>
          </w:tcPr>
          <w:p>
            <w:pPr>
              <w:spacing w:after="40" w:before="40"/>
            </w:pPr>
            <w:r/>
            <w:r>
              <w:rPr>
                <w:b w:val="0"/>
                <w:color w:val="1F2937"/>
                <w:sz w:val="17"/>
              </w:rPr>
              <w:t>€15.93M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€26k</w:t>
            </w:r>
          </w:p>
        </w:tc>
        <w:tc>
          <w:tcPr>
            <w:tcW w:type="dxa" w:w="1814"/>
          </w:tcPr>
          <w:p>
            <w:pPr>
              <w:spacing w:after="40" w:before="40"/>
            </w:pPr>
            <w:r/>
            <w:r>
              <w:rPr>
                <w:b w:val="0"/>
                <w:color w:val="1F2937"/>
                <w:sz w:val="17"/>
              </w:rPr>
              <w:t>€213k</w:t>
            </w:r>
          </w:p>
        </w:tc>
        <w:tc>
          <w:tcPr>
            <w:tcW w:type="dxa" w:w="1814"/>
          </w:tcPr>
          <w:p>
            <w:pPr>
              <w:spacing w:after="40" w:before="40"/>
            </w:pPr>
            <w:r/>
            <w:r>
              <w:rPr>
                <w:b w:val="0"/>
                <w:color w:val="1F2937"/>
                <w:sz w:val="17"/>
              </w:rPr>
              <w:t>€726k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€11k</w:t>
            </w:r>
          </w:p>
        </w:tc>
        <w:tc>
          <w:tcPr>
            <w:tcW w:type="dxa" w:w="1814"/>
          </w:tcPr>
          <w:p>
            <w:pPr>
              <w:spacing w:after="40" w:before="40"/>
            </w:pPr>
            <w:r/>
            <w:r>
              <w:rPr>
                <w:b w:val="0"/>
                <w:color w:val="1F2937"/>
                <w:sz w:val="17"/>
              </w:rPr>
              <w:t>€52k</w:t>
            </w:r>
          </w:p>
        </w:tc>
        <w:tc>
          <w:tcPr>
            <w:tcW w:type="dxa" w:w="1814"/>
          </w:tcPr>
          <w:p>
            <w:pPr>
              <w:spacing w:after="40" w:before="40"/>
            </w:pPr>
            <w:r/>
            <w:r>
              <w:rPr>
                <w:b w:val="0"/>
                <w:color w:val="1F2937"/>
                <w:sz w:val="17"/>
              </w:rPr>
              <w:t>€170k</w:t>
            </w:r>
          </w:p>
        </w:tc>
        <w:tc>
          <w:tcPr>
            <w:tcW w:type="dxa" w:w="1814"/>
          </w:tcPr>
          <w:p>
            <w:pPr>
              <w:spacing w:after="40" w:before="40"/>
            </w:pPr>
            <w:r/>
            <w:r>
              <w:rPr>
                <w:b w:val="0"/>
                <w:color w:val="1F2937"/>
                <w:sz w:val="17"/>
              </w:rPr>
              <w:t>€410k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€516k</w:t>
            </w:r>
          </w:p>
        </w:tc>
        <w:tc>
          <w:tcPr>
            <w:tcW w:type="dxa" w:w="1814"/>
          </w:tcPr>
          <w:p>
            <w:pPr>
              <w:spacing w:after="40" w:before="40"/>
            </w:pPr>
            <w:r/>
            <w:r>
              <w:rPr>
                <w:b/>
                <w:color w:val="1F2937"/>
                <w:sz w:val="17"/>
              </w:rPr>
              <w:t>€239k</w:t>
            </w:r>
          </w:p>
        </w:tc>
        <w:tc>
          <w:tcPr>
            <w:tcW w:type="dxa" w:w="1814"/>
          </w:tcPr>
          <w:p>
            <w:pPr>
              <w:spacing w:after="40" w:before="40"/>
            </w:pPr>
            <w:r/>
            <w:r>
              <w:rPr>
                <w:b/>
                <w:color w:val="1F2937"/>
                <w:sz w:val="17"/>
              </w:rPr>
              <w:t>€3.12M</w:t>
            </w:r>
          </w:p>
        </w:tc>
        <w:tc>
          <w:tcPr>
            <w:tcW w:type="dxa" w:w="1814"/>
          </w:tcPr>
          <w:p>
            <w:pPr>
              <w:spacing w:after="40" w:before="40"/>
            </w:pPr>
            <w:r/>
            <w:r>
              <w:rPr>
                <w:b/>
                <w:color w:val="1F2937"/>
                <w:sz w:val="17"/>
              </w:rPr>
              <w:t>€17.06M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€47k</w:t>
            </w:r>
          </w:p>
        </w:tc>
        <w:tc>
          <w:tcPr>
            <w:tcW w:type="dxa" w:w="1814"/>
          </w:tcPr>
          <w:p>
            <w:pPr>
              <w:spacing w:after="40" w:before="40"/>
            </w:pPr>
            <w:r/>
            <w:r>
              <w:rPr>
                <w:b w:val="0"/>
                <w:color w:val="1F2937"/>
                <w:sz w:val="17"/>
              </w:rPr>
              <w:t>€168k</w:t>
            </w:r>
          </w:p>
        </w:tc>
        <w:tc>
          <w:tcPr>
            <w:tcW w:type="dxa" w:w="1814"/>
          </w:tcPr>
          <w:p>
            <w:pPr>
              <w:spacing w:after="40" w:before="40"/>
            </w:pPr>
            <w:r/>
            <w:r>
              <w:rPr>
                <w:b w:val="0"/>
                <w:color w:val="1F2937"/>
                <w:sz w:val="17"/>
              </w:rPr>
              <w:t>€359k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€17k</w:t>
            </w:r>
          </w:p>
        </w:tc>
        <w:tc>
          <w:tcPr>
            <w:tcW w:type="dxa" w:w="1814"/>
          </w:tcPr>
          <w:p>
            <w:pPr>
              <w:spacing w:after="40" w:before="40"/>
            </w:pPr>
            <w:r/>
            <w:r>
              <w:rPr>
                <w:b/>
                <w:color w:val="1F2937"/>
                <w:sz w:val="17"/>
              </w:rPr>
              <w:t>€191k</w:t>
            </w:r>
          </w:p>
        </w:tc>
        <w:tc>
          <w:tcPr>
            <w:tcW w:type="dxa" w:w="1814"/>
          </w:tcPr>
          <w:p>
            <w:pPr>
              <w:spacing w:after="40" w:before="40"/>
            </w:pPr>
            <w:r/>
            <w:r>
              <w:rPr>
                <w:b/>
                <w:color w:val="1F2937"/>
                <w:sz w:val="17"/>
              </w:rPr>
              <w:t>€1.16M</w:t>
            </w:r>
          </w:p>
        </w:tc>
        <w:tc>
          <w:tcPr>
            <w:tcW w:type="dxa" w:w="1814"/>
          </w:tcPr>
          <w:p>
            <w:pPr>
              <w:spacing w:after="40" w:before="40"/>
            </w:pPr>
            <w:r/>
            <w:r>
              <w:rPr>
                <w:b/>
                <w:color w:val="1F2937"/>
                <w:sz w:val="17"/>
              </w:rPr>
              <w:t>€3.59M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€2.60M</w:t>
            </w:r>
          </w:p>
        </w:tc>
        <w:tc>
          <w:tcPr>
            <w:tcW w:type="dxa" w:w="1814"/>
          </w:tcPr>
          <w:p>
            <w:pPr>
              <w:spacing w:after="40" w:before="40"/>
            </w:pPr>
            <w:r/>
            <w:r>
              <w:rPr>
                <w:b w:val="0"/>
                <w:color w:val="1F2937"/>
                <w:sz w:val="17"/>
              </w:rPr>
              <w:t>€10.60M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€-552k</w:t>
            </w:r>
          </w:p>
        </w:tc>
        <w:tc>
          <w:tcPr>
            <w:tcW w:type="dxa" w:w="1814"/>
          </w:tcPr>
          <w:p>
            <w:pPr>
              <w:spacing w:after="40" w:before="40"/>
            </w:pPr>
            <w:r/>
            <w:r>
              <w:rPr>
                <w:b w:val="0"/>
                <w:color w:val="1F2937"/>
                <w:sz w:val="17"/>
              </w:rPr>
              <w:t>€-642k</w:t>
            </w:r>
          </w:p>
        </w:tc>
        <w:tc>
          <w:tcPr>
            <w:tcW w:type="dxa" w:w="1814"/>
          </w:tcPr>
          <w:p>
            <w:pPr>
              <w:spacing w:after="40" w:before="40"/>
            </w:pPr>
            <w:r/>
            <w:r>
              <w:rPr>
                <w:b w:val="0"/>
                <w:color w:val="1F2937"/>
                <w:sz w:val="17"/>
              </w:rPr>
              <w:t>€2.88M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€499k</w:t>
            </w:r>
          </w:p>
        </w:tc>
        <w:tc>
          <w:tcPr>
            <w:tcW w:type="dxa" w:w="1814"/>
          </w:tcPr>
          <w:p>
            <w:pPr>
              <w:spacing w:after="40" w:before="40"/>
            </w:pPr>
            <w:r/>
            <w:r>
              <w:rPr>
                <w:b/>
                <w:color w:val="1F2937"/>
                <w:sz w:val="17"/>
              </w:rPr>
              <w:t>€48k</w:t>
            </w:r>
          </w:p>
        </w:tc>
        <w:tc>
          <w:tcPr>
            <w:tcW w:type="dxa" w:w="1814"/>
          </w:tcPr>
          <w:p>
            <w:pPr>
              <w:spacing w:after="40" w:before="40"/>
            </w:pPr>
            <w:r/>
            <w:r>
              <w:rPr>
                <w:b/>
                <w:color w:val="1F2937"/>
                <w:sz w:val="17"/>
              </w:rPr>
              <w:t>€1.96M</w:t>
            </w:r>
          </w:p>
        </w:tc>
        <w:tc>
          <w:tcPr>
            <w:tcW w:type="dxa" w:w="1814"/>
          </w:tcPr>
          <w:p>
            <w:pPr>
              <w:spacing w:after="40" w:before="40"/>
            </w:pPr>
            <w:r/>
            <w:r>
              <w:rPr>
                <w:b/>
                <w:color w:val="1F2937"/>
                <w:sz w:val="17"/>
              </w:rPr>
              <w:t>€13.48M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 30% of people cost, amortised over three years —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keepNext/>
        <w:spacing w:before="320" w:after="100"/>
      </w:pPr>
      <w:r>
        <w:rPr>
          <w:b/>
          <w:color w:val="1F2937"/>
          <w:sz w:val="25"/>
        </w:rPr>
        <w:t>7.4 Pro forma cash flow</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indirect method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Net profit</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−€265k</w:t>
            </w:r>
          </w:p>
        </w:tc>
        <w:tc>
          <w:tcPr>
            <w:tcW w:type="dxa" w:w="1814"/>
          </w:tcPr>
          <w:p>
            <w:pPr>
              <w:spacing w:after="40" w:before="40"/>
            </w:pPr>
            <w:r/>
            <w:r>
              <w:rPr>
                <w:b w:val="0"/>
                <w:color w:val="1F2937"/>
                <w:sz w:val="17"/>
              </w:rPr>
              <w:t>€153k</w:t>
            </w:r>
          </w:p>
        </w:tc>
        <w:tc>
          <w:tcPr>
            <w:tcW w:type="dxa" w:w="1814"/>
          </w:tcPr>
          <w:p>
            <w:pPr>
              <w:spacing w:after="40" w:before="40"/>
            </w:pPr>
            <w:r/>
            <w:r>
              <w:rPr>
                <w:b w:val="0"/>
                <w:color w:val="1F2937"/>
                <w:sz w:val="17"/>
              </w:rPr>
              <w:t>€2.38M</w:t>
            </w:r>
          </w:p>
        </w:tc>
      </w:tr>
      <w:tr>
        <w:tc>
          <w:tcPr>
            <w:tcW w:type="dxa" w:w="1814"/>
          </w:tcPr>
          <w:p>
            <w:pPr>
              <w:spacing w:after="40" w:before="40"/>
            </w:pPr>
            <w:r/>
            <w:r>
              <w:rPr>
                <w:b w:val="0"/>
                <w:color w:val="1F2937"/>
                <w:sz w:val="17"/>
              </w:rPr>
              <w:t>Add back amortisation</w:t>
            </w:r>
          </w:p>
        </w:tc>
        <w:tc>
          <w:tcPr>
            <w:tcW w:type="dxa" w:w="1814"/>
          </w:tcPr>
          <w:p>
            <w:pPr>
              <w:spacing w:after="40" w:before="40"/>
            </w:pPr>
            <w:r/>
            <w:r>
              <w:rPr>
                <w:b w:val="0"/>
                <w:color w:val="1F2937"/>
                <w:sz w:val="17"/>
              </w:rPr>
              <w:t>€6k</w:t>
            </w:r>
          </w:p>
        </w:tc>
        <w:tc>
          <w:tcPr>
            <w:tcW w:type="dxa" w:w="1814"/>
          </w:tcPr>
          <w:p>
            <w:pPr>
              <w:spacing w:after="40" w:before="40"/>
            </w:pPr>
            <w:r/>
            <w:r>
              <w:rPr>
                <w:b w:val="0"/>
                <w:color w:val="1F2937"/>
                <w:sz w:val="17"/>
              </w:rPr>
              <w:t>€37k</w:t>
            </w:r>
          </w:p>
        </w:tc>
        <w:tc>
          <w:tcPr>
            <w:tcW w:type="dxa" w:w="1814"/>
          </w:tcPr>
          <w:p>
            <w:pPr>
              <w:spacing w:after="40" w:before="40"/>
            </w:pPr>
            <w:r/>
            <w:r>
              <w:rPr>
                <w:b w:val="0"/>
                <w:color w:val="1F2937"/>
                <w:sz w:val="17"/>
              </w:rPr>
              <w:t>€125k</w:t>
            </w:r>
          </w:p>
        </w:tc>
        <w:tc>
          <w:tcPr>
            <w:tcW w:type="dxa" w:w="1814"/>
          </w:tcPr>
          <w:p>
            <w:pPr>
              <w:spacing w:after="40" w:before="40"/>
            </w:pPr>
            <w:r/>
            <w:r>
              <w:rPr>
                <w:b w:val="0"/>
                <w:color w:val="1F2937"/>
                <w:sz w:val="17"/>
              </w:rPr>
              <w:t>€322k</w:t>
            </w:r>
          </w:p>
        </w:tc>
      </w:tr>
      <w:tr>
        <w:tc>
          <w:tcPr>
            <w:tcW w:type="dxa" w:w="1814"/>
          </w:tcPr>
          <w:p>
            <w:pPr>
              <w:spacing w:after="40" w:before="40"/>
            </w:pPr>
            <w:r/>
            <w:r>
              <w:rPr>
                <w:b w:val="0"/>
                <w:color w:val="1F2937"/>
                <w:sz w:val="17"/>
              </w:rPr>
              <w:t>Change in working capital</w:t>
            </w:r>
          </w:p>
        </w:tc>
        <w:tc>
          <w:tcPr>
            <w:tcW w:type="dxa" w:w="1814"/>
          </w:tcPr>
          <w:p>
            <w:pPr>
              <w:spacing w:after="40" w:before="40"/>
            </w:pPr>
            <w:r/>
            <w:r>
              <w:rPr>
                <w:b w:val="0"/>
                <w:color w:val="1F2937"/>
                <w:sz w:val="17"/>
              </w:rPr>
              <w:t>€16k</w:t>
            </w:r>
          </w:p>
        </w:tc>
        <w:tc>
          <w:tcPr>
            <w:tcW w:type="dxa" w:w="1814"/>
          </w:tcPr>
          <w:p>
            <w:pPr>
              <w:spacing w:after="40" w:before="40"/>
            </w:pPr>
            <w:r/>
            <w:r>
              <w:rPr>
                <w:b w:val="0"/>
                <w:color w:val="1F2937"/>
                <w:sz w:val="17"/>
              </w:rPr>
              <w:t>€110k</w:t>
            </w:r>
          </w:p>
        </w:tc>
        <w:tc>
          <w:tcPr>
            <w:tcW w:type="dxa" w:w="1814"/>
          </w:tcPr>
          <w:p>
            <w:pPr>
              <w:spacing w:after="40" w:before="40"/>
            </w:pPr>
            <w:r/>
            <w:r>
              <w:rPr>
                <w:b w:val="0"/>
                <w:color w:val="1F2937"/>
                <w:sz w:val="17"/>
              </w:rPr>
              <w:t>€516k</w:t>
            </w:r>
          </w:p>
        </w:tc>
        <w:tc>
          <w:tcPr>
            <w:tcW w:type="dxa" w:w="1814"/>
          </w:tcPr>
          <w:p>
            <w:pPr>
              <w:spacing w:after="40" w:before="40"/>
            </w:pPr>
            <w:r/>
            <w:r>
              <w:rPr>
                <w:b w:val="0"/>
                <w:color w:val="1F2937"/>
                <w:sz w:val="17"/>
              </w:rPr>
              <w:t>€1.09M</w:t>
            </w:r>
          </w:p>
        </w:tc>
      </w:tr>
      <w:tr>
        <w:tc>
          <w:tcPr>
            <w:tcW w:type="dxa" w:w="1814"/>
          </w:tcPr>
          <w:p>
            <w:pPr>
              <w:spacing w:after="40" w:before="40"/>
            </w:pPr>
            <w:r/>
            <w:r>
              <w:rPr>
                <w:b/>
                <w:color w:val="1F2937"/>
                <w:sz w:val="17"/>
              </w:rPr>
              <w:t>Operating Cash Flow</w:t>
            </w:r>
          </w:p>
        </w:tc>
        <w:tc>
          <w:tcPr>
            <w:tcW w:type="dxa" w:w="1814"/>
          </w:tcPr>
          <w:p>
            <w:pPr>
              <w:spacing w:after="40" w:before="40"/>
            </w:pPr>
            <w:r/>
            <w:r>
              <w:rPr>
                <w:b/>
                <w:color w:val="1F2937"/>
                <w:sz w:val="17"/>
              </w:rPr>
              <w:t>−€79k</w:t>
            </w:r>
          </w:p>
        </w:tc>
        <w:tc>
          <w:tcPr>
            <w:tcW w:type="dxa" w:w="1814"/>
          </w:tcPr>
          <w:p>
            <w:pPr>
              <w:spacing w:after="40" w:before="40"/>
            </w:pPr>
            <w:r/>
            <w:r>
              <w:rPr>
                <w:b/>
                <w:color w:val="1F2937"/>
                <w:sz w:val="17"/>
              </w:rPr>
              <w:t>−€118k</w:t>
            </w:r>
          </w:p>
        </w:tc>
        <w:tc>
          <w:tcPr>
            <w:tcW w:type="dxa" w:w="1814"/>
          </w:tcPr>
          <w:p>
            <w:pPr>
              <w:spacing w:after="40" w:before="40"/>
            </w:pPr>
            <w:r/>
            <w:r>
              <w:rPr>
                <w:b/>
                <w:color w:val="1F2937"/>
                <w:sz w:val="17"/>
              </w:rPr>
              <w:t>€794k</w:t>
            </w:r>
          </w:p>
        </w:tc>
        <w:tc>
          <w:tcPr>
            <w:tcW w:type="dxa" w:w="1814"/>
          </w:tcPr>
          <w:p>
            <w:pPr>
              <w:spacing w:after="40" w:before="40"/>
            </w:pPr>
            <w:r/>
            <w:r>
              <w:rPr>
                <w:b/>
                <w:color w:val="1F2937"/>
                <w:sz w:val="17"/>
              </w:rPr>
              <w:t>€3.79M</w:t>
            </w:r>
          </w:p>
        </w:tc>
      </w:tr>
      <w:tr>
        <w:tc>
          <w:tcPr>
            <w:tcW w:type="dxa" w:w="1814"/>
          </w:tcPr>
          <w:p>
            <w:pPr>
              <w:spacing w:after="40" w:before="40"/>
            </w:pPr>
            <w:r/>
            <w:r>
              <w:rPr>
                <w:b w:val="0"/>
                <w:color w:val="1F2937"/>
                <w:sz w:val="17"/>
              </w:rPr>
              <w:t>Capital expenditure</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−€63k</w:t>
            </w:r>
          </w:p>
        </w:tc>
        <w:tc>
          <w:tcPr>
            <w:tcW w:type="dxa" w:w="1814"/>
          </w:tcPr>
          <w:p>
            <w:pPr>
              <w:spacing w:after="40" w:before="40"/>
            </w:pPr>
            <w:r/>
            <w:r>
              <w:rPr>
                <w:b w:val="0"/>
                <w:color w:val="1F2937"/>
                <w:sz w:val="17"/>
              </w:rPr>
              <w:t>−€198k</w:t>
            </w:r>
          </w:p>
        </w:tc>
        <w:tc>
          <w:tcPr>
            <w:tcW w:type="dxa" w:w="1814"/>
          </w:tcPr>
          <w:p>
            <w:pPr>
              <w:spacing w:after="40" w:before="40"/>
            </w:pPr>
            <w:r/>
            <w:r>
              <w:rPr>
                <w:b w:val="0"/>
                <w:color w:val="1F2937"/>
                <w:sz w:val="17"/>
              </w:rPr>
              <w:t>−€462k</w:t>
            </w:r>
          </w:p>
        </w:tc>
      </w:tr>
      <w:tr>
        <w:tc>
          <w:tcPr>
            <w:tcW w:type="dxa" w:w="1814"/>
          </w:tcPr>
          <w:p>
            <w:pPr>
              <w:spacing w:after="40" w:before="40"/>
            </w:pPr>
            <w:r/>
            <w:r>
              <w:rPr>
                <w:b/>
                <w:color w:val="1F2937"/>
                <w:sz w:val="17"/>
              </w:rPr>
              <w:t>Free Cash Flow</w:t>
            </w:r>
          </w:p>
        </w:tc>
        <w:tc>
          <w:tcPr>
            <w:tcW w:type="dxa" w:w="1814"/>
          </w:tcPr>
          <w:p>
            <w:pPr>
              <w:spacing w:after="40" w:before="40"/>
            </w:pPr>
            <w:r/>
            <w:r>
              <w:rPr>
                <w:b/>
                <w:color w:val="1F2937"/>
                <w:sz w:val="17"/>
              </w:rPr>
              <w:t>−€96k</w:t>
            </w:r>
          </w:p>
        </w:tc>
        <w:tc>
          <w:tcPr>
            <w:tcW w:type="dxa" w:w="1814"/>
          </w:tcPr>
          <w:p>
            <w:pPr>
              <w:spacing w:after="40" w:before="40"/>
            </w:pPr>
            <w:r/>
            <w:r>
              <w:rPr>
                <w:b/>
                <w:color w:val="1F2937"/>
                <w:sz w:val="17"/>
              </w:rPr>
              <w:t>−€181k</w:t>
            </w:r>
          </w:p>
        </w:tc>
        <w:tc>
          <w:tcPr>
            <w:tcW w:type="dxa" w:w="1814"/>
          </w:tcPr>
          <w:p>
            <w:pPr>
              <w:spacing w:after="40" w:before="40"/>
            </w:pPr>
            <w:r/>
            <w:r>
              <w:rPr>
                <w:b/>
                <w:color w:val="1F2937"/>
                <w:sz w:val="17"/>
              </w:rPr>
              <w:t>€596k</w:t>
            </w:r>
          </w:p>
        </w:tc>
        <w:tc>
          <w:tcPr>
            <w:tcW w:type="dxa" w:w="1814"/>
          </w:tcPr>
          <w:p>
            <w:pPr>
              <w:spacing w:after="40" w:before="40"/>
            </w:pPr>
            <w:r/>
            <w:r>
              <w:rPr>
                <w:b/>
                <w:color w:val="1F2937"/>
                <w:sz w:val="17"/>
              </w:rPr>
              <w:t>€3.33M</w:t>
            </w:r>
          </w:p>
        </w:tc>
      </w:tr>
      <w:tr>
        <w:tc>
          <w:tcPr>
            <w:tcW w:type="dxa" w:w="1814"/>
          </w:tcPr>
          <w:p>
            <w:pPr>
              <w:spacing w:after="40" w:before="40"/>
            </w:pPr>
            <w:r/>
            <w:r>
              <w:rPr>
                <w:b w:val="0"/>
                <w:color w:val="1F2937"/>
                <w:sz w:val="17"/>
              </w:rPr>
              <w:t>Equity raised</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r>
      <w:tr>
        <w:tc>
          <w:tcPr>
            <w:tcW w:type="dxa" w:w="1814"/>
          </w:tcPr>
          <w:p>
            <w:pPr>
              <w:spacing w:after="40" w:before="40"/>
            </w:pPr>
            <w:r/>
            <w:r>
              <w:rPr>
                <w:b/>
                <w:color w:val="1F2937"/>
                <w:sz w:val="17"/>
              </w:rPr>
              <w:t>Closing Cash</w:t>
            </w:r>
          </w:p>
        </w:tc>
        <w:tc>
          <w:tcPr>
            <w:tcW w:type="dxa" w:w="1814"/>
          </w:tcPr>
          <w:p>
            <w:pPr>
              <w:spacing w:after="40" w:before="40"/>
            </w:pPr>
            <w:r/>
            <w:r>
              <w:rPr>
                <w:b/>
                <w:color w:val="1F2937"/>
                <w:sz w:val="17"/>
              </w:rPr>
              <w:t>€504k</w:t>
            </w:r>
          </w:p>
        </w:tc>
        <w:tc>
          <w:tcPr>
            <w:tcW w:type="dxa" w:w="1814"/>
          </w:tcPr>
          <w:p>
            <w:pPr>
              <w:spacing w:after="40" w:before="40"/>
            </w:pPr>
            <w:r/>
            <w:r>
              <w:rPr>
                <w:b/>
                <w:color w:val="1F2937"/>
                <w:sz w:val="17"/>
              </w:rPr>
              <w:t>€161k</w:t>
            </w:r>
          </w:p>
        </w:tc>
        <w:tc>
          <w:tcPr>
            <w:tcW w:type="dxa" w:w="1814"/>
          </w:tcPr>
          <w:p>
            <w:pPr>
              <w:spacing w:after="40" w:before="40"/>
            </w:pPr>
            <w:r/>
            <w:r>
              <w:rPr>
                <w:b/>
                <w:color w:val="1F2937"/>
                <w:sz w:val="17"/>
              </w:rPr>
              <w:t>€2.73M</w:t>
            </w:r>
          </w:p>
        </w:tc>
        <w:tc>
          <w:tcPr>
            <w:tcW w:type="dxa" w:w="1814"/>
          </w:tcPr>
          <w:p>
            <w:pPr>
              <w:spacing w:after="40" w:before="40"/>
            </w:pPr>
            <w:r/>
            <w:r>
              <w:rPr>
                <w:b/>
                <w:color w:val="1F2937"/>
                <w:sz w:val="17"/>
              </w:rPr>
              <w:t>€15.93M</w:t>
            </w:r>
          </w:p>
        </w:tc>
      </w:tr>
    </w:tbl>
    <w:p>
      <w:pPr>
        <w:spacing w:after="160" w:before="0"/>
      </w:pPr>
    </w:p>
    <w:p>
      <w:pPr>
        <w:spacing w:after="140" w:line="276" w:lineRule="auto"/>
        <w:jc w:val="both"/>
      </w:pPr>
      <w:r>
        <w:rPr>
          <w:b w:val="0"/>
          <w:color w:val="1F2937"/>
          <w:sz w:val="20"/>
        </w:rPr>
        <w:t xml:space="preserve">Free cash flow turns positive in </w:t>
      </w:r>
      <w:r>
        <w:rPr>
          <w:b/>
          <w:color w:val="1F2937"/>
          <w:sz w:val="20"/>
        </w:rPr>
        <w:t>Y5</w:t>
      </w:r>
      <w:r>
        <w:rPr>
          <w:b w:val="0"/>
          <w:color w:val="1F2937"/>
          <w:sz w:val="20"/>
        </w:rP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5.3 treats it as both.</w:t>
      </w:r>
    </w:p>
    <w:p>
      <w:pPr>
        <w:keepNext/>
        <w:spacing w:before="320" w:after="100"/>
      </w:pPr>
      <w:r>
        <w:rPr>
          <w:b/>
          <w:color w:val="1F2937"/>
          <w:sz w:val="25"/>
        </w:rPr>
        <w:t>7.5 Cash position and financing</w:t>
      </w:r>
    </w:p>
    <w:p>
      <w:pPr>
        <w:spacing w:before="120" w:after="40"/>
        <w:jc w:val="center"/>
      </w:pPr>
      <w:r>
        <w:drawing>
          <wp:inline xmlns:a="http://schemas.openxmlformats.org/drawingml/2006/main" xmlns:pic="http://schemas.openxmlformats.org/drawingml/2006/picture">
            <wp:extent cx="5760000" cy="2934026"/>
            <wp:docPr id="9" name="Picture 9"/>
            <wp:cNvGraphicFramePr>
              <a:graphicFrameLocks noChangeAspect="1"/>
            </wp:cNvGraphicFramePr>
            <a:graphic>
              <a:graphicData uri="http://schemas.openxmlformats.org/drawingml/2006/picture">
                <pic:pic>
                  <pic:nvPicPr>
                    <pic:cNvPr id="0" name="g8-cash-and-capital.png"/>
                    <pic:cNvPicPr/>
                  </pic:nvPicPr>
                  <pic:blipFill>
                    <a:blip r:embed="rId18"/>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9 —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€464k, in Y4</w:t>
      </w:r>
      <w:r>
        <w:rPr>
          <w:b w:val="0"/>
          <w:color w:val="1F2937"/>
          <w:sz w:val="20"/>
        </w:rPr>
        <w:t xml:space="preserve">. A </w:t>
      </w:r>
      <w:r>
        <w:rPr>
          <w:b/>
          <w:color w:val="1F2937"/>
          <w:sz w:val="20"/>
        </w:rPr>
        <w:t>€600k pre-seed covers that with €136k to spare</w:t>
      </w:r>
      <w:r>
        <w:rPr>
          <w:b w:val="0"/>
          <w:color w:val="1F2937"/>
          <w:sz w:val="20"/>
        </w:rPr>
        <w:t>, and free cash flow turns positive in Y5.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€600k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€464k trough on its own. The </w:t>
      </w:r>
      <w:r>
        <w:rPr>
          <w:b w:val="0"/>
          <w:i/>
          <w:color w:val="1F2937"/>
          <w:sz w:val="20"/>
        </w:rPr>
        <w:t>Ley de Startups</w:t>
      </w:r>
      <w:r>
        <w:rPr>
          <w:b w:val="0"/>
          <w:color w:val="1F2937"/>
          <w:sz w:val="20"/>
        </w:rPr>
        <w:t xml:space="preserve"> 15% rate is already in the model and is worth €1.57M across Y6–Y9.</w:t>
      </w:r>
    </w:p>
    <w:p>
      <w:pPr>
        <w:spacing w:after="140" w:line="276" w:lineRule="auto"/>
        <w:jc w:val="both"/>
      </w:pPr>
      <w:r>
        <w:rPr>
          <w:b/>
          <w:color w:val="1F2937"/>
          <w:sz w:val="20"/>
        </w:rPr>
        <w:t>Dilution.</w:t>
      </w:r>
      <w:r>
        <w:rPr>
          <w:b w:val="0"/>
          <w:color w:val="1F2937"/>
          <w:sz w:val="20"/>
        </w:rPr>
        <w:t xml:space="preserve"> The founder holds 79% after the pre-seed and 2% advisory grant, 66% after the seed, 55% after the Series A, and </w:t>
      </w:r>
      <w:r>
        <w:rPr>
          <w:b/>
          <w:color w:val="1F2937"/>
          <w:sz w:val="20"/>
        </w:rPr>
        <w:t>~49%</w:t>
      </w:r>
      <w:r>
        <w:rPr>
          <w:b w:val="0"/>
          <w:color w:val="1F2937"/>
          <w:sz w:val="20"/>
        </w:rPr>
        <w:t xml:space="preserve"> after the 10% ESOP.</w:t>
      </w:r>
    </w:p>
    <w:p>
      <w:pPr>
        <w:keepNext/>
        <w:spacing w:before="320" w:after="100"/>
      </w:pPr>
      <w:r>
        <w:rPr>
          <w:b/>
          <w:color w:val="1F2937"/>
          <w:sz w:val="25"/>
        </w:rPr>
        <w:t>7.6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keepNext/>
        <w:spacing w:before="160" w:after="20"/>
        <w:ind w:left="227"/>
        <w:shd w:val="clear" w:fill="F6F7F9"/>
        <w:pBdr>
          <w:left w:val="single" w:sz="18" w:space="8" w:color="D97706"/>
        </w:pBdr>
      </w:pPr>
      <w:r>
        <w:rPr>
          <w:b/>
          <w:color w:val="D97706"/>
          <w:sz w:val="19"/>
        </w:rPr>
        <w:t>The model understates its own central risk, by construction</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w:t>
      </w:r>
      <w:r>
        <w:rPr>
          <w:b/>
          <w:color w:val="1F2937"/>
          <w:sz w:val="19"/>
        </w:rPr>
        <w:t>At benchmark churn, holding the same Y10 fan base needs 0.79M gross adds a year instead of 0.64M</w:t>
      </w:r>
      <w:r>
        <w:rPr>
          <w:b w:val="0"/>
          <w:color w:val="1F2937"/>
          <w:sz w:val="19"/>
        </w:rPr>
        <w:t xml:space="preserve"> — a quarter more acquisition, every year, forever. Because the model charges nothing for fan acquisition, that burden does not appear as a cost. Being wrong about churn changes how hard the plan is to hold, not the destination, and that is a weaker claim than it first appears.</w:t>
      </w:r>
    </w:p>
    <w:p>
      <w:pPr>
        <w:keepNext/>
        <w:spacing w:before="320" w:after="100"/>
      </w:pPr>
      <w:r>
        <w:rPr>
          <w:b/>
          <w:color w:val="1F2937"/>
          <w:sz w:val="25"/>
        </w:rPr>
        <w:t>7.7 Valuation</w:t>
      </w:r>
    </w:p>
    <w:p>
      <w:pPr>
        <w:spacing w:before="120" w:after="40"/>
        <w:jc w:val="center"/>
      </w:pPr>
      <w:r>
        <w:drawing>
          <wp:inline xmlns:a="http://schemas.openxmlformats.org/drawingml/2006/main" xmlns:pic="http://schemas.openxmlformats.org/drawingml/2006/picture">
            <wp:extent cx="5760000" cy="3114419"/>
            <wp:docPr id="10" name="Picture 10"/>
            <wp:cNvGraphicFramePr>
              <a:graphicFrameLocks noChangeAspect="1"/>
            </wp:cNvGraphicFramePr>
            <a:graphic>
              <a:graphicData uri="http://schemas.openxmlformats.org/drawingml/2006/picture">
                <pic:pic>
                  <pic:nvPicPr>
                    <pic:cNvPr id="0" name="g10-valuation.png"/>
                    <pic:cNvPicPr/>
                  </pic:nvPicPr>
                  <pic:blipFill>
                    <a:blip r:embed="rId19"/>
                    <a:stretch>
                      <a:fillRect/>
                    </a:stretch>
                  </pic:blipFill>
                  <pic:spPr>
                    <a:xfrm>
                      <a:off x="0" y="0"/>
                      <a:ext cx="5760000" cy="3114419"/>
                    </a:xfrm>
                    <a:prstGeom prst="rect"/>
                  </pic:spPr>
                </pic:pic>
              </a:graphicData>
            </a:graphic>
          </wp:inline>
        </w:drawing>
      </w:r>
    </w:p>
    <w:p>
      <w:pPr>
        <w:spacing w:after="200"/>
        <w:jc w:val="center"/>
      </w:pPr>
      <w:r>
        <w:rPr>
          <w:b w:val="0"/>
          <w:color w:val="6B7280"/>
          <w:sz w:val="16"/>
        </w:rPr>
        <w:t>Figure 10 — Two methods that disagree, for a reason.</w:t>
      </w:r>
    </w:p>
    <w:p>
      <w:pPr>
        <w:spacing w:after="140" w:line="276" w:lineRule="auto"/>
        <w:jc w:val="both"/>
      </w:pPr>
      <w:r>
        <w:rPr>
          <w:b w:val="0"/>
          <w:color w:val="1F2937"/>
          <w:sz w:val="20"/>
        </w:rPr>
        <w:t xml:space="preserve">The DCF says </w:t>
      </w:r>
      <w:r>
        <w:rPr>
          <w:b/>
          <w:color w:val="1F2937"/>
          <w:sz w:val="20"/>
        </w:rPr>
        <w:t>€8.37M</w:t>
      </w:r>
      <w:r>
        <w:rPr>
          <w:b w:val="0"/>
          <w:color w:val="1F2937"/>
          <w:sz w:val="20"/>
        </w:rPr>
        <w:t xml:space="preserve"> today; the blended exit multiple says €165.0M at Y10. This is not an error in either —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(Legal aspects) and §12 (Company growth and business development strategy). The regulatory analysis — VAT, GDPR, the age model and sponsorship rules — is in [§8 of the full plan](stride-business-plan-draft.md) and is not repeated here; this section covers the corporate and IP questions that document does not, and then the growth path.</w:t>
      </w:r>
    </w:p>
    <w:p>
      <w:pPr>
        <w:spacing w:after="120" w:before="0"/>
      </w:pPr>
    </w:p>
    <w:p>
      <w:pPr>
        <w:keepNext/>
        <w:spacing w:before="200" w:after="100"/>
      </w:pPr>
      <w:r>
        <w:rPr>
          <w:b/>
          <w:color w:val="6B7280"/>
          <w:sz w:val="22"/>
        </w:rPr>
        <w:t>14.1 Legal form and structure</w:t>
      </w:r>
    </w:p>
    <w:p>
      <w:pPr>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the Ley de Startups (2022)</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eligibility for the </w:t>
      </w:r>
      <w:r>
        <w:rPr>
          <w:b/>
          <w:color w:val="1F2937"/>
          <w:sz w:val="20"/>
        </w:rPr>
        <w:t>Ley de Startups</w:t>
      </w:r>
      <w:r>
        <w:rPr>
          <w:b w:val="0"/>
          <w:color w:val="1F2937"/>
          <w:sz w:val="20"/>
        </w:rPr>
        <w:t xml:space="preserve"> regime (15% corporate tax for the first four taxable years, worth €1.57M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w:t>
      </w:r>
    </w:p>
    <w:p>
      <w:pPr>
        <w:pStyle w:val="ListBullet"/>
        <w:spacing w:after="60" w:line="264" w:lineRule="auto"/>
        <w:ind w:left="624"/>
      </w:pPr>
      <w:r>
        <w:rPr>
          <w:b w:val="0"/>
          <w:color w:val="1F2937"/>
          <w:sz w:val="20"/>
        </w:rPr>
        <w:t>no convertible notes, no SAFEs — an S.L. handles them badly under Spanish law</w:t>
      </w:r>
    </w:p>
    <w:p>
      <w:pPr>
        <w:pStyle w:val="ListBullet"/>
        <w:spacing w:after="60" w:line="264" w:lineRule="auto"/>
        <w:ind w:left="624"/>
      </w:pPr>
      <w:r>
        <w:rPr>
          <w:b w:val="0"/>
          <w:color w:val="1F2937"/>
          <w:sz w:val="20"/>
        </w:rPr>
        <w:t>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w:t>
      </w:r>
    </w:p>
    <w:p>
      <w:pPr>
        <w:pStyle w:val="ListBullet"/>
        <w:spacing w:after="60" w:line="264" w:lineRule="auto"/>
        <w:ind w:left="624"/>
      </w:pPr>
      <w:r>
        <w:rPr>
          <w:b w:val="0"/>
          <w:color w:val="1F2937"/>
          <w:sz w:val="20"/>
        </w:rPr>
        <w:t>shares. Unusual to self-impose, and exactly what a pre-seed investor will ask</w:t>
      </w:r>
    </w:p>
    <w:p>
      <w:pPr>
        <w:pStyle w:val="ListBullet"/>
        <w:spacing w:after="60" w:line="264" w:lineRule="auto"/>
        <w:ind w:left="624"/>
      </w:pPr>
      <w:r>
        <w:rPr>
          <w:b w:val="0"/>
          <w:color w:val="1F2937"/>
          <w:sz w:val="20"/>
        </w:rPr>
        <w:t>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w:t>
      </w:r>
    </w:p>
    <w:p>
      <w:pPr>
        <w:pStyle w:val="ListBullet"/>
        <w:spacing w:after="60" w:line="264" w:lineRule="auto"/>
        <w:ind w:left="624"/>
      </w:pPr>
      <w:r>
        <w:rPr>
          <w:b w:val="0"/>
          <w:color w:val="1F2937"/>
          <w:sz w:val="20"/>
        </w:rPr>
        <w:t>friction honestly: Spain has no equivalent of a US-style option pool held at</w:t>
      </w:r>
    </w:p>
    <w:p>
      <w:pPr>
        <w:pStyle w:val="ListBullet"/>
        <w:spacing w:after="60" w:line="264" w:lineRule="auto"/>
        <w:ind w:left="624"/>
      </w:pPr>
      <w:r>
        <w:rPr>
          <w:b w:val="0"/>
          <w:color w:val="1F2937"/>
          <w:sz w:val="20"/>
        </w:rPr>
        <w:t>the company, so the pool is contractual and its tax treatment for employees is</w:t>
      </w:r>
    </w:p>
    <w:p>
      <w:pPr>
        <w:pStyle w:val="ListBullet"/>
        <w:spacing w:after="60" w:line="264" w:lineRule="auto"/>
        <w:ind w:left="624"/>
      </w:pPr>
      <w:r>
        <w:rPr>
          <w:b w:val="0"/>
          <w:color w:val="1F2937"/>
          <w:sz w:val="20"/>
        </w:rPr>
        <w:t>less favourable than in the UK or US. The Ley de Startups improved this</w:t>
      </w:r>
    </w:p>
    <w:p>
      <w:pPr>
        <w:pStyle w:val="ListBullet"/>
        <w:spacing w:after="60" w:line="264" w:lineRule="auto"/>
        <w:ind w:left="624"/>
      </w:pPr>
      <w:r>
        <w:rPr>
          <w:b w:val="0"/>
          <w:color w:val="1F2937"/>
          <w:sz w:val="20"/>
        </w:rPr>
        <w:t>(deferred taxation and a €50,000 annual exemption) but did not eliminate it.</w:t>
      </w:r>
    </w:p>
    <w:p>
      <w:pPr>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keepNext/>
        <w:spacing w:before="200" w:after="100"/>
      </w:pPr>
      <w:r>
        <w:rPr>
          <w:b/>
          <w:color w:val="6B7280"/>
          <w:sz w:val="22"/>
        </w:rPr>
        <w:t>14.2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one class, €50 per additional</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w:t>
      </w:r>
    </w:p>
    <w:p>
      <w:pPr>
        <w:pStyle w:val="ListBullet"/>
        <w:spacing w:after="60" w:line="264" w:lineRule="auto"/>
        <w:ind w:left="624"/>
      </w:pPr>
      <w:r>
        <w:rPr>
          <w:b w:val="0"/>
          <w:color w:val="1F2937"/>
          <w:sz w:val="20"/>
        </w:rPr>
        <w:t>Spanish law, employee-created works generally vest in the employer, but</w:t>
      </w:r>
    </w:p>
    <w:p>
      <w:pPr>
        <w:pStyle w:val="ListBullet"/>
        <w:spacing w:after="60" w:line="264" w:lineRule="auto"/>
        <w:ind w:left="624"/>
      </w:pPr>
      <w:r>
        <w:rPr>
          <w:b w:val="0"/>
          <w:color w:val="1F2937"/>
          <w:sz w:val="20"/>
        </w:rPr>
        <w:t>contractor-created works do not by default. Every contractor agreement</w:t>
      </w:r>
    </w:p>
    <w:p>
      <w:pPr>
        <w:pStyle w:val="ListBullet"/>
        <w:spacing w:after="60" w:line="264" w:lineRule="auto"/>
        <w:ind w:left="624"/>
      </w:pPr>
      <w:r>
        <w:rPr>
          <w:b w:val="0"/>
          <w:color w:val="1F2937"/>
          <w:sz w:val="20"/>
        </w:rPr>
        <w:t>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w:t>
      </w:r>
    </w:p>
    <w:p>
      <w:pPr>
        <w:pStyle w:val="ListBullet"/>
        <w:spacing w:after="60" w:line="264" w:lineRule="auto"/>
        <w:ind w:left="624"/>
      </w:pPr>
      <w:r>
        <w:rPr>
          <w:b w:val="0"/>
          <w:color w:val="1F2937"/>
          <w:sz w:val="20"/>
        </w:rPr>
        <w:t>No copyleft dependency ships in the served product. This is checked, not</w:t>
      </w:r>
    </w:p>
    <w:p>
      <w:pPr>
        <w:pStyle w:val="ListBullet"/>
        <w:spacing w:after="60" w:line="264" w:lineRule="auto"/>
        <w:ind w:left="624"/>
      </w:pPr>
      <w:r>
        <w:rPr>
          <w:b w:val="0"/>
          <w:color w:val="1F2937"/>
          <w:sz w:val="20"/>
        </w:rPr>
        <w:t>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w:t>
      </w:r>
    </w:p>
    <w:p>
      <w:pPr>
        <w:pStyle w:val="ListBullet"/>
        <w:spacing w:after="60" w:line="264" w:lineRule="auto"/>
        <w:ind w:left="624"/>
      </w:pPr>
      <w:r>
        <w:rPr>
          <w:b w:val="0"/>
          <w:color w:val="1F2937"/>
          <w:sz w:val="20"/>
        </w:rPr>
        <w:t>authenticated, athlete-consented API connections. That is a product decision</w:t>
      </w:r>
    </w:p>
    <w:p>
      <w:pPr>
        <w:pStyle w:val="ListBullet"/>
        <w:spacing w:after="60" w:line="264" w:lineRule="auto"/>
        <w:ind w:left="624"/>
      </w:pPr>
      <w:r>
        <w:rPr>
          <w:b w:val="0"/>
          <w:color w:val="1F2937"/>
          <w:sz w:val="20"/>
        </w:rPr>
        <w:t>with a legal dividend: there is no scraping exposure and no terms-of-service</w:t>
      </w:r>
    </w:p>
    <w:p>
      <w:pPr>
        <w:pStyle w:val="ListBullet"/>
        <w:spacing w:after="60" w:line="264" w:lineRule="auto"/>
        <w:ind w:left="624"/>
      </w:pPr>
      <w:r>
        <w:rPr>
          <w:b w:val="0"/>
          <w:color w:val="1F2937"/>
          <w:sz w:val="20"/>
        </w:rPr>
        <w:t>breach in the data position.</w:t>
      </w:r>
    </w:p>
    <w:p>
      <w:pPr>
        <w:spacing w:after="120" w:before="0"/>
      </w:pPr>
    </w:p>
    <w:p>
      <w:pPr>
        <w:keepNext/>
        <w:spacing w:before="200" w:after="100"/>
      </w:pPr>
      <w:r>
        <w:rPr>
          <w:b/>
          <w:color w:val="6B7280"/>
          <w:sz w:val="22"/>
        </w:rPr>
        <w:t>14.3 Growth and business development strategy</w:t>
      </w:r>
    </w:p>
    <w:p>
      <w:pPr>
        <w:spacing w:after="140" w:line="276" w:lineRule="auto"/>
        <w:jc w:val="both"/>
      </w:pPr>
      <w:r>
        <w:rPr>
          <w:b w:val="0"/>
          <w:color w:val="1F2937"/>
          <w:sz w:val="20"/>
        </w:rPr>
        <w:t>Growth is sequenced along three axes, and only one moves at a time.</w:t>
      </w:r>
    </w:p>
    <w:p>
      <w:pPr>
        <w:keepNext/>
        <w:spacing w:before="200" w:after="100"/>
      </w:pPr>
      <w:r>
        <w:rPr>
          <w:b/>
          <w:color w:val="6B7280"/>
          <w:sz w:val="20"/>
        </w:rPr>
        <w:t>Axis 1 —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r>
              <w:rPr>
                <w:b w:val="0"/>
                <w:color w:val="1F2937"/>
                <w:sz w:val="17"/>
              </w:rPr>
              <w:t>—</w:t>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+1 market (Portugal or Italy)</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keepNext/>
        <w:spacing w:before="200" w:after="100"/>
      </w:pPr>
      <w:r>
        <w:rPr>
          <w:b/>
          <w:color w:val="6B7280"/>
          <w:sz w:val="20"/>
        </w:rPr>
        <w:t>Axis 2 —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12.11</w:t>
      </w:r>
      <w:r>
        <w:rPr>
          <w:b w:val="0"/>
          <w:color w:val="1F2937"/>
          <w:sz w:val="20"/>
        </w:rPr>
        <w:t>: tiers and billing, then one-off unlocks, then video, then events and the club revenue split.</w:t>
      </w:r>
    </w:p>
    <w:p>
      <w:pPr>
        <w:keepNext/>
        <w:spacing w:before="200" w:after="100"/>
      </w:pPr>
      <w:r>
        <w:rPr>
          <w:b/>
          <w:color w:val="6B7280"/>
          <w:sz w:val="20"/>
        </w:rPr>
        <w:t>Axis 3 —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 the club vouches for its own roster. That is why club nomination exists in the admission model, and why the B2B2C motion is where the plan expects operating leverage to come from after Y3.</w:t>
      </w:r>
    </w:p>
    <w:p>
      <w:pPr>
        <w:keepNext/>
        <w:spacing w:before="200" w:after="100"/>
      </w:pPr>
      <w:r>
        <w:rPr>
          <w:b/>
          <w:color w:val="6B7280"/>
          <w:sz w:val="20"/>
        </w:rPr>
        <w:t>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w:t>
      </w:r>
    </w:p>
    <w:p>
      <w:pPr>
        <w:pStyle w:val="ListBullet"/>
        <w:spacing w:after="60" w:line="264" w:lineRule="auto"/>
        <w:ind w:left="624"/>
      </w:pPr>
      <w:r>
        <w:rPr>
          <w:b w:val="0"/>
          <w:color w:val="1F2937"/>
          <w:sz w:val="20"/>
        </w:rPr>
        <w:t>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w:t>
      </w:r>
    </w:p>
    <w:p>
      <w:pPr>
        <w:pStyle w:val="ListBullet"/>
        <w:spacing w:after="60" w:line="264" w:lineRule="auto"/>
        <w:ind w:left="624"/>
      </w:pPr>
      <w:r>
        <w:rPr>
          <w:b w:val="0"/>
          <w:color w:val="1F2937"/>
          <w:sz w:val="20"/>
        </w:rPr>
        <w:t>us. The model does not spend on fan acquisition, which is disclosed as</w:t>
      </w:r>
    </w:p>
    <w:p>
      <w:pPr>
        <w:pStyle w:val="ListBullet"/>
        <w:spacing w:after="60" w:line="264" w:lineRule="auto"/>
        <w:ind w:left="624"/>
      </w:pPr>
      <w:r>
        <w:rPr>
          <w:b w:val="0"/>
          <w:color w:val="1F2937"/>
          <w:sz w:val="20"/>
        </w:rPr>
        <w:t>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w:t>
      </w:r>
    </w:p>
    <w:p>
      <w:pPr>
        <w:pStyle w:val="ListBullet"/>
        <w:spacing w:after="60" w:line="264" w:lineRule="auto"/>
        <w:ind w:left="624"/>
      </w:pPr>
      <w:r>
        <w:rPr>
          <w:b w:val="0"/>
          <w:color w:val="1F2937"/>
          <w:sz w:val="20"/>
        </w:rPr>
        <w:t>federation or an agency would rent out the one thing that is hard to copy.</w:t>
      </w:r>
    </w:p>
    <w:p>
      <w:pPr>
        <w:keepNext/>
        <w:spacing w:before="200" w:after="100"/>
      </w:pPr>
      <w:r>
        <w:rPr>
          <w:b/>
          <w:color w:val="6B7280"/>
          <w:sz w:val="20"/>
        </w:rPr>
        <w:t>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€10.8M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w:t>
      </w:r>
    </w:p>
    <w:p>
      <w:pPr>
        <w:pStyle w:val="ListBullet"/>
        <w:spacing w:after="60" w:line="264" w:lineRule="auto"/>
        <w:ind w:left="624"/>
      </w:pPr>
      <w:r>
        <w:rPr>
          <w:b w:val="0"/>
          <w:color w:val="1F2937"/>
          <w:sz w:val="20"/>
        </w:rPr>
        <w:t>a vertical, sports-data companies buying a consumer surface, or a sponsorship</w:t>
      </w:r>
    </w:p>
    <w:p>
      <w:pPr>
        <w:pStyle w:val="ListBullet"/>
        <w:spacing w:after="60" w:line="264" w:lineRule="auto"/>
        <w:ind w:left="624"/>
      </w:pPr>
      <w:r>
        <w:rPr>
          <w:b w:val="0"/>
          <w:color w:val="1F2937"/>
          <w:sz w:val="20"/>
        </w:rPr>
        <w:t>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w:t>
      </w:r>
    </w:p>
    <w:p>
      <w:pPr>
        <w:pStyle w:val="ListBullet"/>
        <w:spacing w:after="60" w:line="264" w:lineRule="auto"/>
        <w:ind w:left="624"/>
      </w:pP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1" name="Picture 11"/>
            <wp:cNvGraphicFramePr>
              <a:graphicFrameLocks noChangeAspect="1"/>
            </wp:cNvGraphicFramePr>
            <a:graphic>
              <a:graphicData uri="http://schemas.openxmlformats.org/drawingml/2006/picture">
                <pic:pic>
                  <pic:nvPicPr>
                    <pic:cNvPr id="0" name="g12-risk-map.png"/>
                    <pic:cNvPicPr/>
                  </pic:nvPicPr>
                  <pic:blipFill>
                    <a:blip r:embed="rId20"/>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11 —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color w:val="1F2937"/>
          <w:sz w:val="20"/>
        </w:rPr>
        <w:t xml:space="preserve">The growth strategy is set out in full at </w:t>
      </w:r>
      <w:r>
        <w:rPr>
          <w:b/>
          <w:color w:val="1F2937"/>
          <w:sz w:val="20"/>
        </w:rPr>
        <w:t>§8.3</w:t>
      </w:r>
      <w:r>
        <w:rPr>
          <w:b w:val="0"/>
          <w:color w:val="1F2937"/>
          <w:sz w:val="20"/>
        </w:rPr>
        <w:t xml:space="preserve"> above, where it sits directly beneath the corporate and intellectual property decisions that constrain it. In summary, growth moves along three axes and only one moves at a time: </w:t>
      </w:r>
      <w:r>
        <w:rPr>
          <w:b/>
          <w:color w:val="1F2937"/>
          <w:sz w:val="20"/>
        </w:rPr>
        <w:t>market</w:t>
      </w:r>
      <w:r>
        <w:rPr>
          <w:b w:val="0"/>
          <w:color w:val="1F2937"/>
          <w:sz w:val="20"/>
        </w:rPr>
        <w:t xml:space="preserve"> (Spain through the pre-seed gate, a second market chosen for sport-mix similarity rather than size, EU-wide from the Series A); </w:t>
      </w:r>
      <w:r>
        <w:rPr>
          <w:b/>
          <w:color w:val="1F2937"/>
          <w:sz w:val="20"/>
        </w:rPr>
        <w:t>product</w:t>
      </w:r>
      <w:r>
        <w:rPr>
          <w:b w:val="0"/>
          <w:color w:val="1F2937"/>
          <w:sz w:val="20"/>
        </w:rPr>
        <w:t xml:space="preserve"> (fan monetisation deepens before sponsorship widens); and </w:t>
      </w:r>
      <w:r>
        <w:rPr>
          <w:b/>
          <w:color w:val="1F2937"/>
          <w:sz w:val="20"/>
        </w:rPr>
        <w:t>channel</w:t>
      </w:r>
      <w:r>
        <w:rPr>
          <w:b w:val="0"/>
          <w:color w:val="1F2937"/>
          <w:sz w:val="20"/>
        </w:rPr>
        <w:t xml:space="preserve"> (the club channel is the growth strategy rather than a channel within it, because one club conversation brings a roster of 20 to 40 athletes with the verification problem already solved).</w:t>
      </w:r>
    </w:p>
    <w:p>
      <w:pPr>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 that fans of semi-professional athletes will pay —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w:t>
      </w:r>
    </w:p>
    <w:p>
      <w:pPr>
        <w:pStyle w:val="ListBullet"/>
        <w:spacing w:after="60" w:line="264" w:lineRule="auto"/>
        <w:ind w:left="624"/>
      </w:pPr>
      <w:r>
        <w:rPr>
          <w:b w:val="0"/>
          <w:color w:val="1F2937"/>
          <w:sz w:val="20"/>
        </w:rPr>
        <w:t>documentation and blog.</w:t>
      </w:r>
    </w:p>
    <w:p>
      <w:pPr>
        <w:pStyle w:val="ListBullet"/>
        <w:spacing w:after="60" w:line="264" w:lineRule="auto"/>
        <w:ind w:left="340"/>
      </w:pPr>
      <w:r>
        <w:rPr>
          <w:b w:val="0"/>
          <w:color w:val="1F2937"/>
          <w:sz w:val="20"/>
        </w:rPr>
        <w:t>OnlyFans / Fenix International Ltd. *Annual accounts filed at Companies</w:t>
      </w:r>
    </w:p>
    <w:p>
      <w:pPr>
        <w:pStyle w:val="ListBullet"/>
        <w:spacing w:after="60" w:line="264" w:lineRule="auto"/>
        <w:ind w:left="624"/>
      </w:pPr>
      <w:r>
        <w:rPr>
          <w:b w:val="0"/>
          <w:color w:val="1F2937"/>
          <w:sz w:val="20"/>
        </w:rPr>
        <w:t>House*,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p>
    <w:p>
      <w:pPr>
        <w:pStyle w:val="ListBullet"/>
        <w:spacing w:after="60" w:line="264" w:lineRule="auto"/>
        <w:ind w:left="624"/>
      </w:pPr>
      <w:r>
        <w:rPr>
          <w:b w:val="0"/>
          <w:color w:val="1F2937"/>
          <w:sz w:val="20"/>
        </w:rPr>
        <w:t>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 deemed supplier.</w:t>
      </w:r>
    </w:p>
    <w:p>
      <w:pPr>
        <w:pStyle w:val="ListBullet"/>
        <w:spacing w:after="60" w:line="264" w:lineRule="auto"/>
        <w:ind w:left="340"/>
      </w:pPr>
      <w:r>
        <w:rPr>
          <w:b w:val="0"/>
          <w:color w:val="1F2937"/>
          <w:sz w:val="20"/>
        </w:rPr>
        <w:t xml:space="preserve">Directive 96/9/EC —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w:t>
      </w:r>
    </w:p>
    <w:p>
      <w:pPr>
        <w:pStyle w:val="ListBullet"/>
        <w:spacing w:after="60" w:line="264" w:lineRule="auto"/>
        <w:ind w:left="624"/>
      </w:pPr>
      <w:r>
        <w:rPr>
          <w:b w:val="0"/>
          <w:color w:val="1F2937"/>
          <w:sz w:val="20"/>
        </w:rPr>
        <w:t>(</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rugby league (Lebanon) and CrossFit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2,010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keepNext/>
        <w:spacing w:before="320" w:after="100"/>
        <w:pBdr>
          <w:bottom w:val="single" w:sz="6" w:space="8" w:color="D1D5DB"/>
        </w:pBdr>
      </w:pPr>
      <w:r>
        <w:rPr>
          <w:b/>
          <w:color w:val="1F2937"/>
          <w:sz w:val="32"/>
        </w:rPr>
        <w:t>Appendix A — 01 — Revenue Model</w:t>
      </w:r>
    </w:p>
    <w:p>
      <w:pPr>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xml:space="preserve"> —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54% of our take after payment costs; €9.99 retains 71%.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 worth ~€2.75/fan/year, against €13.35 of total take. Pushing 30% of subscribers annual is roughly equivalent to raising the take rate by a point, without asking athletes for anything.</w:t>
      </w:r>
    </w:p>
    <w:p>
      <w:pPr>
        <w:spacing w:after="120" w:before="0"/>
      </w:pPr>
    </w:p>
    <w:p>
      <w:pPr>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€10.70M — 18% of revenue at close to 100% gross margin, which is roughly 26% of gross profit.</w:t>
      </w:r>
    </w:p>
    <w:p>
      <w:pPr>
        <w:spacing w:after="120" w:before="0"/>
      </w:pPr>
    </w:p>
    <w:p>
      <w:pPr>
        <w:keepNext/>
        <w:spacing w:before="320" w:after="100"/>
      </w:pPr>
      <w:r>
        <w:rPr>
          <w:b/>
          <w:color w:val="1F2937"/>
          <w:sz w:val="25"/>
        </w:rPr>
        <w:t>Take rate —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xml:space="preserve"> —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 both say 10% —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 and endorsement is exactly the work Stride's 15% replaces.</w:t>
      </w:r>
    </w:p>
    <w:p>
      <w:pPr>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xml:space="preserve"> —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 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€12.31M</w:t>
            </w:r>
          </w:p>
        </w:tc>
        <w:tc>
          <w:tcPr>
            <w:tcW w:type="dxa" w:w="2268"/>
          </w:tcPr>
          <w:p>
            <w:pPr>
              <w:spacing w:after="40" w:before="40"/>
            </w:pPr>
            <w:r/>
            <w:r>
              <w:rPr>
                <w:b w:val="0"/>
                <w:color w:val="1F2937"/>
                <w:sz w:val="17"/>
              </w:rPr>
              <w:t>€4.59M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€10.70M</w:t>
            </w:r>
          </w:p>
        </w:tc>
        <w:tc>
          <w:tcPr>
            <w:tcW w:type="dxa" w:w="2268"/>
          </w:tcPr>
          <w:p>
            <w:pPr>
              <w:spacing w:after="40" w:before="40"/>
            </w:pPr>
            <w:r/>
            <w:r>
              <w:rPr>
                <w:b/>
                <w:color w:val="1F2937"/>
                <w:sz w:val="17"/>
              </w:rPr>
              <w:t>€3.11M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€9.10M</w:t>
            </w:r>
          </w:p>
        </w:tc>
        <w:tc>
          <w:tcPr>
            <w:tcW w:type="dxa" w:w="2268"/>
          </w:tcPr>
          <w:p>
            <w:pPr>
              <w:spacing w:after="40" w:before="40"/>
            </w:pPr>
            <w:r/>
            <w:r>
              <w:rPr>
                <w:b w:val="0"/>
                <w:color w:val="1F2937"/>
                <w:sz w:val="17"/>
              </w:rPr>
              <w:t>€1.64M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 EBITDA falls 47%, from €3.11M to €1.64M.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 that 10% plus $0.30 a transaction plus $29 a month is worse than a flat 15% for any athlete earning under €1,380 a month —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 Sacra plus the rebrand release, both live and both primary — and on the crossover arithmetic, which is computed from the model rather than cited.*</w:t>
      </w:r>
    </w:p>
    <w:p>
      <w:pPr>
        <w:spacing w:after="120" w:before="0"/>
      </w:pPr>
    </w:p>
    <w:p>
      <w:pPr>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(11%)</w:t>
            </w:r>
          </w:p>
        </w:tc>
        <w:tc>
          <w:tcPr>
            <w:tcW w:type="dxa" w:w="1814"/>
          </w:tcPr>
          <w:p>
            <w:pPr>
              <w:spacing w:after="40" w:before="40"/>
            </w:pPr>
            <w:r/>
            <w:r>
              <w:rPr>
                <w:b w:val="0"/>
                <w:color w:val="1F2937"/>
                <w:sz w:val="17"/>
              </w:rPr>
              <w:t>€91k (17%)</w:t>
            </w:r>
          </w:p>
        </w:tc>
        <w:tc>
          <w:tcPr>
            <w:tcW w:type="dxa" w:w="1814"/>
          </w:tcPr>
          <w:p>
            <w:pPr>
              <w:spacing w:after="40" w:before="40"/>
            </w:pPr>
            <w:r/>
            <w:r>
              <w:rPr>
                <w:b w:val="0"/>
                <w:color w:val="1F2937"/>
                <w:sz w:val="17"/>
              </w:rPr>
              <w:t>€1.04M (30%)</w:t>
            </w:r>
          </w:p>
        </w:tc>
        <w:tc>
          <w:tcPr>
            <w:tcW w:type="dxa" w:w="1814"/>
          </w:tcPr>
          <w:p>
            <w:pPr>
              <w:spacing w:after="40" w:before="40"/>
            </w:pPr>
            <w:r/>
            <w:r>
              <w:rPr>
                <w:b w:val="0"/>
                <w:color w:val="1F2937"/>
                <w:sz w:val="17"/>
              </w:rPr>
              <w:t>€3.97M (37%)</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€3.43M</w:t>
            </w:r>
          </w:p>
        </w:tc>
        <w:tc>
          <w:tcPr>
            <w:tcW w:type="dxa" w:w="1814"/>
          </w:tcPr>
          <w:p>
            <w:pPr>
              <w:spacing w:after="40" w:before="40"/>
            </w:pPr>
            <w:r/>
            <w:r>
              <w:rPr>
                <w:b/>
                <w:color w:val="1F2937"/>
                <w:sz w:val="17"/>
              </w:rPr>
              <w:t>€10.70M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 ten to thirty athletes without ten to thirty</w:t>
      </w:r>
    </w:p>
    <w:p>
      <w:pPr>
        <w:pStyle w:val="ListBullet"/>
        <w:spacing w:after="60" w:line="264" w:lineRule="auto"/>
        <w:ind w:left="624"/>
      </w:pPr>
      <w:r>
        <w:rPr>
          <w:b w:val="0"/>
          <w:color w:val="1F2937"/>
          <w:sz w:val="20"/>
        </w:rPr>
        <w:t>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w:t>
      </w:r>
    </w:p>
    <w:p>
      <w:pPr>
        <w:pStyle w:val="ListBullet"/>
        <w:spacing w:after="60" w:line="264" w:lineRule="auto"/>
        <w:ind w:left="624"/>
      </w:pPr>
      <w:r>
        <w:rPr>
          <w:b w:val="0"/>
          <w:color w:val="1F2937"/>
          <w:sz w:val="20"/>
        </w:rPr>
        <w:t>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keepNext/>
        <w:spacing w:before="320" w:after="100"/>
        <w:pBdr>
          <w:bottom w:val="single" w:sz="6" w:space="8" w:color="D1D5DB"/>
        </w:pBdr>
      </w:pPr>
      <w:r>
        <w:rPr>
          <w:b/>
          <w:color w:val="1F2937"/>
          <w:sz w:val="32"/>
        </w:rPr>
        <w:t>Appendix B — 02 — Cost Model</w:t>
      </w:r>
    </w:p>
    <w:p>
      <w:pPr>
        <w:spacing w:after="140" w:line="276" w:lineRule="auto"/>
        <w:jc w:val="both"/>
      </w:pPr>
      <w:r>
        <w:rPr>
          <w:b w:val="0"/>
          <w:color w:val="1F2937"/>
          <w:sz w:val="20"/>
        </w:rPr>
        <w:t>Two costs decide whether this business works. Neither is engineering salary.</w:t>
      </w:r>
    </w:p>
    <w:p>
      <w:pPr>
        <w:spacing w:after="120" w:before="0"/>
      </w:pPr>
    </w:p>
    <w:p>
      <w:pPr>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p>
      <w:pPr>
        <w:spacing w:after="140" w:line="276" w:lineRule="auto"/>
        <w:jc w:val="both"/>
      </w:pPr>
      <w:r>
        <w:rPr>
          <w:b w:val="0"/>
          <w:color w:val="1F2937"/>
          <w:sz w:val="20"/>
        </w:rPr>
        <w:t>&lt;!-- MODEL:unit_economics --&gt;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val="0"/>
          <w:color w:val="1F2937"/>
          <w:sz w:val="20"/>
        </w:rPr>
        <w:t>&lt;!-- /MODEL:unit_economics --&gt;</w:t>
      </w: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w:t>
      </w:r>
    </w:p>
    <w:p>
      <w:pPr>
        <w:pStyle w:val="ListBullet"/>
        <w:spacing w:after="60" w:line="264" w:lineRule="auto"/>
        <w:ind w:left="624"/>
      </w:pPr>
      <w:r>
        <w:rPr>
          <w:b w:val="0"/>
          <w:color w:val="1F2937"/>
          <w:sz w:val="20"/>
        </w:rPr>
        <w:t>retained take —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 worth ~€2.75 per subscriber</w:t>
      </w:r>
    </w:p>
    <w:p>
      <w:pPr>
        <w:pStyle w:val="ListBullet"/>
        <w:spacing w:after="60" w:line="264" w:lineRule="auto"/>
        <w:ind w:left="624"/>
      </w:pPr>
      <w:r>
        <w:rPr>
          <w:b w:val="0"/>
          <w:color w:val="1F2937"/>
          <w:sz w:val="20"/>
        </w:rPr>
        <w:t xml:space="preserve">per year. Patreon reports annual patrons churn at </w:t>
      </w:r>
      <w:r>
        <w:rPr>
          <w:b/>
          <w:color w:val="1F2937"/>
          <w:sz w:val="20"/>
        </w:rPr>
        <w:t>one third</w:t>
      </w:r>
      <w:r>
        <w:rPr>
          <w:b w:val="0"/>
          <w:color w:val="1F2937"/>
          <w:sz w:val="20"/>
        </w:rPr>
        <w:t xml:space="preserve"> the rate of monthly ones,</w:t>
      </w:r>
    </w:p>
    <w:p>
      <w:pPr>
        <w:pStyle w:val="ListBullet"/>
        <w:spacing w:after="60" w:line="264" w:lineRule="auto"/>
        <w:ind w:left="624"/>
      </w:pPr>
      <w:r>
        <w:rPr>
          <w:b w:val="0"/>
          <w:color w:val="1F2937"/>
          <w:sz w:val="20"/>
        </w:rPr>
        <w:t>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w:t>
      </w:r>
    </w:p>
    <w:p>
      <w:pPr>
        <w:pStyle w:val="ListBullet"/>
        <w:spacing w:after="60" w:line="264" w:lineRule="auto"/>
        <w:ind w:left="624"/>
      </w:pPr>
      <w:r>
        <w:rPr>
          <w:b w:val="0"/>
          <w:color w:val="1F2937"/>
          <w:sz w:val="20"/>
        </w:rPr>
        <w:t>available. Not modelled — upside.</w:t>
      </w:r>
    </w:p>
    <w:p>
      <w:pPr>
        <w:spacing w:after="140" w:line="276" w:lineRule="auto"/>
        <w:jc w:val="both"/>
      </w:pPr>
      <w:r>
        <w:rPr>
          <w:b w:val="0"/>
          <w:color w:val="1F2937"/>
          <w:sz w:val="20"/>
        </w:rPr>
        <w:t xml:space="preserve">At Y7 the payment rail costs </w:t>
      </w:r>
      <w:r>
        <w:rPr>
          <w:b/>
          <w:color w:val="1F2937"/>
          <w:sz w:val="20"/>
        </w:rPr>
        <w:t>€2.55M against €10.70M of revenue</w:t>
      </w:r>
      <w:r>
        <w:rPr>
          <w:b w:val="0"/>
          <w:color w:val="1F2937"/>
          <w:sz w:val="20"/>
        </w:rP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pPr>
        <w:spacing w:after="140" w:line="276" w:lineRule="auto"/>
        <w:jc w:val="both"/>
      </w:pPr>
      <w:r>
        <w:rPr>
          <w:b/>
          <w:color w:val="1F2937"/>
          <w:sz w:val="20"/>
        </w:rPr>
        <w:t>€402k a year is most of this plan's entire €464k cash trough, spent annually and decided by one architectural choice</w:t>
      </w:r>
      <w:r>
        <w:rPr>
          <w:b w:val="0"/>
          <w:color w:val="1F2937"/>
          <w:sz w:val="20"/>
        </w:rPr>
        <w:t xml:space="preserve"> — €3.1M across the ten years.</w:t>
      </w:r>
    </w:p>
    <w:p>
      <w:pPr>
        <w:spacing w:after="140" w:line="276" w:lineRule="auto"/>
        <w:jc w:val="both"/>
      </w:pPr>
      <w:r>
        <w:rPr>
          <w:b w:val="0"/>
          <w:color w:val="1F2937"/>
          <w:sz w:val="20"/>
        </w:rPr>
        <w:t>The recommendation is AWS for compute and database — where its managed services genuinely earn their premium — and a zero-egress provider for media delivery. Hybrid, deliberately.</w:t>
      </w:r>
    </w:p>
    <w:p>
      <w:pPr>
        <w:spacing w:after="120" w:before="0"/>
      </w:pPr>
    </w:p>
    <w:p>
      <w:pPr>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keepNext/>
        <w:spacing w:before="200" w:after="100"/>
      </w:pPr>
      <w:r>
        <w:rPr>
          <w:b/>
          <w:color w:val="6B7280"/>
          <w:sz w:val="22"/>
        </w:rPr>
        <w:t>Stage 1 —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keepNext/>
        <w:spacing w:before="200" w:after="100"/>
      </w:pPr>
      <w:r>
        <w:rPr>
          <w:b/>
          <w:color w:val="6B7280"/>
          <w:sz w:val="22"/>
        </w:rPr>
        <w:t>Stage 2 —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keepNext/>
        <w:spacing w:before="200" w:after="100"/>
      </w:pPr>
      <w:r>
        <w:rPr>
          <w:b/>
          <w:color w:val="6B7280"/>
          <w:sz w:val="22"/>
        </w:rPr>
        <w:t>Stage 3 —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 worth roughly €60–90k/yr by Y7. Treated as upside, not as plan.</w:t>
      </w:r>
    </w:p>
    <w:p>
      <w:pPr>
        <w:spacing w:after="120" w:before="0"/>
      </w:pPr>
    </w:p>
    <w:p>
      <w:pPr>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pPr>
        <w:spacing w:after="120" w:before="0"/>
      </w:pPr>
    </w:p>
    <w:p>
      <w:pPr>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w:t>
      </w:r>
    </w:p>
    <w:p>
      <w:pPr>
        <w:pStyle w:val="ListBullet"/>
        <w:spacing w:after="60" w:line="264" w:lineRule="auto"/>
        <w:ind w:left="624"/>
      </w:pPr>
      <w:r>
        <w:rPr>
          <w:b w:val="0"/>
          <w:color w:val="1F2937"/>
          <w:sz w:val="20"/>
        </w:rPr>
        <w:t>from 20% to 32% purely because club nominations grow as a share of applicants,</w:t>
      </w:r>
    </w:p>
    <w:p>
      <w:pPr>
        <w:pStyle w:val="ListBullet"/>
        <w:spacing w:after="60" w:line="264" w:lineRule="auto"/>
        <w:ind w:left="624"/>
      </w:pPr>
      <w:r>
        <w:rPr>
          <w:b w:val="0"/>
          <w:color w:val="1F2937"/>
          <w:sz w:val="20"/>
        </w:rPr>
        <w:t>and a nominated applicant arrives with a verified club's credibility floor</w:t>
      </w:r>
    </w:p>
    <w:p>
      <w:pPr>
        <w:pStyle w:val="ListBullet"/>
        <w:spacing w:after="60" w:line="264" w:lineRule="auto"/>
        <w:ind w:left="624"/>
      </w:pPr>
      <w:r>
        <w:rPr>
          <w:b w:val="0"/>
          <w:color w:val="1F2937"/>
          <w:sz w:val="20"/>
        </w:rPr>
        <w:t>behind them. Club partnerships are not just a cheaper channel; they are a</w:t>
      </w:r>
    </w:p>
    <w:p>
      <w:pPr>
        <w:pStyle w:val="ListBullet"/>
        <w:spacing w:after="60" w:line="264" w:lineRule="auto"/>
        <w:ind w:left="624"/>
      </w:pP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w:t>
      </w:r>
    </w:p>
    <w:p>
      <w:pPr>
        <w:pStyle w:val="ListBullet"/>
        <w:spacing w:after="60" w:line="264" w:lineRule="auto"/>
        <w:ind w:left="624"/>
      </w:pPr>
      <w:r>
        <w:rPr>
          <w:b w:val="0"/>
          <w:color w:val="1F2937"/>
          <w:sz w:val="20"/>
        </w:rPr>
        <w:t>sitting in the queue is not listed, not matchable and not earning. At 0.6 FTE</w:t>
      </w:r>
    </w:p>
    <w:p>
      <w:pPr>
        <w:pStyle w:val="ListBullet"/>
        <w:spacing w:after="60" w:line="264" w:lineRule="auto"/>
        <w:ind w:left="624"/>
      </w:pPr>
      <w:r>
        <w:rPr>
          <w:b w:val="0"/>
          <w:color w:val="1F2937"/>
          <w:sz w:val="20"/>
        </w:rPr>
        <w:t>nobody automates to save the salary; you automate so supply goes live the day</w:t>
      </w:r>
    </w:p>
    <w:p>
      <w:pPr>
        <w:pStyle w:val="ListBullet"/>
        <w:spacing w:after="60" w:line="264" w:lineRule="auto"/>
        <w:ind w:left="624"/>
      </w:pPr>
      <w:r>
        <w:rPr>
          <w:b w:val="0"/>
          <w:color w:val="1F2937"/>
          <w:sz w:val="20"/>
        </w:rPr>
        <w:t>it applies.</w:t>
      </w:r>
    </w:p>
    <w:p>
      <w:pPr>
        <w:spacing w:after="120" w:before="0"/>
      </w:pPr>
    </w:p>
    <w:p>
      <w:pPr>
        <w:keepNext/>
        <w:spacing w:before="320" w:after="100"/>
      </w:pPr>
      <w:r>
        <w:rPr>
          <w:b/>
          <w:color w:val="1F2937"/>
          <w:sz w:val="25"/>
        </w:rPr>
        <w:t>Customer acquisition</w:t>
      </w:r>
    </w:p>
    <w:p>
      <w:pPr>
        <w:spacing w:after="140" w:line="276" w:lineRule="auto"/>
        <w:jc w:val="both"/>
      </w:pPr>
      <w:r>
        <w:rPr>
          <w:b w:val="0"/>
          <w:color w:val="1F2937"/>
          <w:sz w:val="20"/>
        </w:rPr>
        <w:t>&lt;!-- MODEL:cac --&gt;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val="0"/>
          <w:color w:val="1F2937"/>
          <w:sz w:val="20"/>
        </w:rPr>
        <w:t>&lt;!-- /MODEL:cac --&gt;</w:t>
      </w: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 one conversation, a whole roster.</w:t>
      </w:r>
    </w:p>
    <w:p>
      <w:pPr>
        <w:spacing w:after="120" w:before="0"/>
      </w:pPr>
    </w:p>
    <w:p>
      <w:pPr>
        <w:keepNext/>
        <w:spacing w:before="320" w:after="100"/>
      </w:pPr>
      <w:r>
        <w:rPr>
          <w:b/>
          <w:color w:val="1F2937"/>
          <w:sz w:val="25"/>
        </w:rPr>
        <w:t>Cost structure at maturity (Y7)</w:t>
      </w:r>
    </w:p>
    <w:p>
      <w:pPr>
        <w:spacing w:after="140" w:line="276" w:lineRule="auto"/>
        <w:jc w:val="both"/>
      </w:pPr>
      <w:r>
        <w:rPr>
          <w:b w:val="0"/>
          <w:color w:val="1F2937"/>
          <w:sz w:val="20"/>
        </w:rPr>
        <w:t>&lt;!-- MODEL:costs_y7 --&gt;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15.9%</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€1.54M</w:t>
            </w:r>
          </w:p>
        </w:tc>
        <w:tc>
          <w:tcPr>
            <w:tcW w:type="dxa" w:w="3024"/>
          </w:tcPr>
          <w:p>
            <w:pPr>
              <w:spacing w:after="40" w:before="40"/>
            </w:pPr>
            <w:r/>
            <w:r>
              <w:rPr>
                <w:b w:val="0"/>
                <w:color w:val="1F2937"/>
                <w:sz w:val="17"/>
              </w:rPr>
              <w:t>14.4%</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€856k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€3.12M</w:t>
            </w:r>
          </w:p>
        </w:tc>
        <w:tc>
          <w:tcPr>
            <w:tcW w:type="dxa" w:w="3024"/>
          </w:tcPr>
          <w:p>
            <w:pPr>
              <w:spacing w:after="40" w:before="40"/>
            </w:pPr>
            <w:r/>
            <w:r>
              <w:rPr>
                <w:b/>
                <w:color w:val="1F2937"/>
                <w:sz w:val="17"/>
              </w:rPr>
              <w:t>29.1%</w:t>
            </w:r>
          </w:p>
        </w:tc>
      </w:tr>
    </w:tbl>
    <w:p>
      <w:pPr>
        <w:spacing w:after="160" w:before="0"/>
      </w:pPr>
    </w:p>
    <w:p>
      <w:pPr>
        <w:spacing w:after="140" w:line="276" w:lineRule="auto"/>
        <w:jc w:val="both"/>
      </w:pPr>
      <w:r>
        <w:rPr>
          <w:b w:val="0"/>
          <w:color w:val="1F2937"/>
          <w:sz w:val="20"/>
        </w:rPr>
        <w:t>&lt;!-- /MODEL:costs_y7 --&gt;</w:t>
      </w: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r>
        <w:br w:type="page"/>
      </w:r>
    </w:p>
    <w:p>
      <w:pPr>
        <w:keepNext/>
        <w:spacing w:before="320" w:after="100"/>
        <w:pBdr>
          <w:bottom w:val="single" w:sz="6" w:space="8" w:color="D1D5DB"/>
        </w:pBdr>
      </w:pPr>
      <w:r>
        <w:rPr>
          <w:b/>
          <w:color w:val="1F2937"/>
          <w:sz w:val="32"/>
        </w:rPr>
        <w:t>Appendix C — 03 —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keepNext/>
        <w:spacing w:before="320" w:after="100"/>
      </w:pPr>
      <w:r>
        <w:rPr>
          <w:b/>
          <w:color w:val="1F2937"/>
          <w:sz w:val="25"/>
        </w:rPr>
        <w:t>Drivers</w:t>
      </w:r>
    </w:p>
    <w:p>
      <w:pPr>
        <w:spacing w:after="140" w:line="276" w:lineRule="auto"/>
        <w:jc w:val="both"/>
      </w:pPr>
      <w:r>
        <w:rPr>
          <w:b w:val="0"/>
          <w:color w:val="1F2937"/>
          <w:sz w:val="20"/>
        </w:rPr>
        <w:t>&lt;!-- MODEL:drivers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10.0</w:t>
            </w:r>
          </w:p>
        </w:tc>
        <w:tc>
          <w:tcPr>
            <w:tcW w:type="dxa" w:w="825"/>
          </w:tcPr>
          <w:p>
            <w:pPr>
              <w:spacing w:after="40" w:before="40"/>
            </w:pPr>
            <w:r/>
            <w:r>
              <w:rPr>
                <w:b w:val="0"/>
                <w:color w:val="1F2937"/>
                <w:sz w:val="17"/>
              </w:rPr>
              <w:t>15.0</w:t>
            </w:r>
          </w:p>
        </w:tc>
        <w:tc>
          <w:tcPr>
            <w:tcW w:type="dxa" w:w="825"/>
          </w:tcPr>
          <w:p>
            <w:pPr>
              <w:spacing w:after="40" w:before="40"/>
            </w:pPr>
            <w:r/>
            <w:r>
              <w:rPr>
                <w:b w:val="0"/>
                <w:color w:val="1F2937"/>
                <w:sz w:val="17"/>
              </w:rPr>
              <w:t>22.0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33.0</w:t>
            </w:r>
          </w:p>
        </w:tc>
        <w:tc>
          <w:tcPr>
            <w:tcW w:type="dxa" w:w="825"/>
          </w:tcPr>
          <w:p>
            <w:pPr>
              <w:spacing w:after="40" w:before="40"/>
            </w:pPr>
            <w:r/>
            <w:r>
              <w:rPr>
                <w:b w:val="0"/>
                <w:color w:val="1F2937"/>
                <w:sz w:val="17"/>
              </w:rPr>
              <w:t>38.0</w:t>
            </w:r>
          </w:p>
        </w:tc>
      </w:tr>
    </w:tbl>
    <w:p>
      <w:pPr>
        <w:spacing w:after="160" w:before="0"/>
      </w:pPr>
    </w:p>
    <w:p>
      <w:pPr>
        <w:spacing w:after="140" w:line="276" w:lineRule="auto"/>
        <w:jc w:val="both"/>
      </w:pPr>
      <w:r>
        <w:rPr>
          <w:b w:val="0"/>
          <w:color w:val="1F2937"/>
          <w:sz w:val="20"/>
        </w:rPr>
        <w:t>&lt;!-- /MODEL:drivers --&gt;</w:t>
      </w:r>
    </w:p>
    <w:p>
      <w:pPr>
        <w:spacing w:after="120" w:before="0"/>
      </w:pPr>
    </w:p>
    <w:p>
      <w:pPr>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p>
      <w:pPr>
        <w:spacing w:after="140" w:line="276" w:lineRule="auto"/>
        <w:jc w:val="both"/>
      </w:pPr>
      <w:r>
        <w:rPr>
          <w:b w:val="0"/>
          <w:color w:val="1F2937"/>
          <w:sz w:val="20"/>
        </w:rPr>
        <w:t>&lt;!-- MODEL:churn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val="0"/>
          <w:color w:val="1F2937"/>
          <w:sz w:val="20"/>
        </w:rPr>
        <w:t>&lt;!-- /MODEL:churn --&gt;</w:t>
      </w: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pPr>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keepNext/>
        <w:spacing w:before="320" w:after="100"/>
      </w:pPr>
      <w:r>
        <w:rPr>
          <w:b/>
          <w:color w:val="1F2937"/>
          <w:sz w:val="25"/>
        </w:rPr>
        <w:t>Marketplace volume (GMV)</w:t>
      </w:r>
    </w:p>
    <w:p>
      <w:pPr>
        <w:spacing w:after="140" w:line="276" w:lineRule="auto"/>
        <w:jc w:val="both"/>
      </w:pPr>
      <w:r>
        <w:rPr>
          <w:b w:val="0"/>
          <w:color w:val="1F2937"/>
          <w:sz w:val="20"/>
        </w:rPr>
        <w:t>&lt;!-- MODEL:gmv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&lt;!-- /MODEL:gmv --&gt;</w:t>
      </w: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keepNext/>
        <w:spacing w:before="320" w:after="100"/>
      </w:pPr>
      <w:r>
        <w:rPr>
          <w:b/>
          <w:color w:val="1F2937"/>
          <w:sz w:val="25"/>
        </w:rPr>
        <w:t>Net revenue</w:t>
      </w:r>
    </w:p>
    <w:p>
      <w:pPr>
        <w:spacing w:after="140" w:line="276" w:lineRule="auto"/>
        <w:jc w:val="both"/>
      </w:pPr>
      <w:r>
        <w:rPr>
          <w:b w:val="0"/>
          <w:color w:val="1F2937"/>
          <w:sz w:val="20"/>
        </w:rPr>
        <w:t>&lt;!-- MODEL:revenue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(10%)</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€91k</w:t>
            </w:r>
          </w:p>
        </w:tc>
        <w:tc>
          <w:tcPr>
            <w:tcW w:type="dxa" w:w="825"/>
          </w:tcPr>
          <w:p>
            <w:pPr>
              <w:spacing w:after="40" w:before="40"/>
            </w:pPr>
            <w:r/>
            <w:r>
              <w:rPr>
                <w:b w:val="0"/>
                <w:color w:val="1F2937"/>
                <w:sz w:val="17"/>
              </w:rPr>
              <w:t>€362k</w:t>
            </w:r>
          </w:p>
        </w:tc>
        <w:tc>
          <w:tcPr>
            <w:tcW w:type="dxa" w:w="825"/>
          </w:tcPr>
          <w:p>
            <w:pPr>
              <w:spacing w:after="40" w:before="40"/>
            </w:pPr>
            <w:r/>
            <w:r>
              <w:rPr>
                <w:b w:val="0"/>
                <w:color w:val="1F2937"/>
                <w:sz w:val="17"/>
              </w:rPr>
              <w:t>€1.04M</w:t>
            </w:r>
          </w:p>
        </w:tc>
        <w:tc>
          <w:tcPr>
            <w:tcW w:type="dxa" w:w="825"/>
          </w:tcPr>
          <w:p>
            <w:pPr>
              <w:spacing w:after="40" w:before="40"/>
            </w:pPr>
            <w:r/>
            <w:r>
              <w:rPr>
                <w:b w:val="0"/>
                <w:color w:val="1F2937"/>
                <w:sz w:val="17"/>
              </w:rPr>
              <w:t>€2.30M</w:t>
            </w:r>
          </w:p>
        </w:tc>
        <w:tc>
          <w:tcPr>
            <w:tcW w:type="dxa" w:w="825"/>
          </w:tcPr>
          <w:p>
            <w:pPr>
              <w:spacing w:after="40" w:before="40"/>
            </w:pPr>
            <w:r/>
            <w:r>
              <w:rPr>
                <w:b w:val="0"/>
                <w:color w:val="1F2937"/>
                <w:sz w:val="17"/>
              </w:rPr>
              <w:t>€3.97M</w:t>
            </w:r>
          </w:p>
        </w:tc>
        <w:tc>
          <w:tcPr>
            <w:tcW w:type="dxa" w:w="825"/>
          </w:tcPr>
          <w:p>
            <w:pPr>
              <w:spacing w:after="40" w:before="40"/>
            </w:pPr>
            <w:r/>
            <w:r>
              <w:rPr>
                <w:b w:val="0"/>
                <w:color w:val="1F2937"/>
                <w:sz w:val="17"/>
              </w:rPr>
              <w:t>€5.89M</w:t>
            </w:r>
          </w:p>
        </w:tc>
        <w:tc>
          <w:tcPr>
            <w:tcW w:type="dxa" w:w="825"/>
          </w:tcPr>
          <w:p>
            <w:pPr>
              <w:spacing w:after="40" w:before="40"/>
            </w:pPr>
            <w:r/>
            <w:r>
              <w:rPr>
                <w:b w:val="0"/>
                <w:color w:val="1F2937"/>
                <w:sz w:val="17"/>
              </w:rPr>
              <w:t>€7.60M</w:t>
            </w:r>
          </w:p>
        </w:tc>
        <w:tc>
          <w:tcPr>
            <w:tcW w:type="dxa" w:w="825"/>
          </w:tcPr>
          <w:p>
            <w:pPr>
              <w:spacing w:after="40" w:before="40"/>
            </w:pPr>
            <w:r/>
            <w:r>
              <w:rPr>
                <w:b w:val="0"/>
                <w:color w:val="1F2937"/>
                <w:sz w:val="17"/>
              </w:rPr>
              <w:t>€10.21M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bl>
    <w:p>
      <w:pPr>
        <w:spacing w:after="160" w:before="0"/>
      </w:pPr>
    </w:p>
    <w:p>
      <w:pPr>
        <w:spacing w:after="140" w:line="276" w:lineRule="auto"/>
        <w:jc w:val="both"/>
      </w:pPr>
      <w:r>
        <w:rPr>
          <w:b w:val="0"/>
          <w:color w:val="1F2937"/>
          <w:sz w:val="20"/>
        </w:rPr>
        <w:t>&lt;!-- /MODEL:revenue --&gt;</w:t>
      </w:r>
    </w:p>
    <w:p>
      <w:pPr>
        <w:spacing w:after="140" w:line="276" w:lineRule="auto"/>
        <w:jc w:val="both"/>
      </w:pPr>
      <w:r>
        <w:rPr>
          <w:b w:val="0"/>
          <w:color w:val="1F2937"/>
          <w:sz w:val="20"/>
        </w:rPr>
        <w:t>Growth: Y2 +442%, Y3 +298%, Y4 +181%, Y5 +128%, Y6 +90%, Y7 +64%. A decelerating curve that stays above 50% through Y7 is what a Series B buyer wants to see.</w:t>
      </w:r>
    </w:p>
    <w:p>
      <w:pPr>
        <w:spacing w:after="120" w:before="0"/>
      </w:pPr>
    </w:p>
    <w:p>
      <w:pPr>
        <w:keepNext/>
        <w:spacing w:before="320" w:after="100"/>
      </w:pPr>
      <w:r>
        <w:rPr>
          <w:b/>
          <w:color w:val="1F2937"/>
          <w:sz w:val="25"/>
        </w:rPr>
        <w:t>Profit and loss</w:t>
      </w:r>
    </w:p>
    <w:p>
      <w:pPr>
        <w:spacing w:after="140" w:line="276" w:lineRule="auto"/>
        <w:jc w:val="both"/>
      </w:pPr>
      <w:r>
        <w:rPr>
          <w:b w:val="0"/>
          <w:color w:val="1F2937"/>
          <w:sz w:val="20"/>
        </w:rPr>
        <w:t>&lt;!-- MODEL:pl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€344k</w:t>
            </w:r>
          </w:p>
        </w:tc>
        <w:tc>
          <w:tcPr>
            <w:tcW w:type="dxa" w:w="825"/>
          </w:tcPr>
          <w:p>
            <w:pPr>
              <w:spacing w:after="40" w:before="40"/>
            </w:pPr>
            <w:r/>
            <w:r>
              <w:rPr>
                <w:b w:val="0"/>
                <w:color w:val="1F2937"/>
                <w:sz w:val="17"/>
              </w:rPr>
              <w:t>€1.00M</w:t>
            </w:r>
          </w:p>
        </w:tc>
        <w:tc>
          <w:tcPr>
            <w:tcW w:type="dxa" w:w="825"/>
          </w:tcPr>
          <w:p>
            <w:pPr>
              <w:spacing w:after="40" w:before="40"/>
            </w:pPr>
            <w:r/>
            <w:r>
              <w:rPr>
                <w:b w:val="0"/>
                <w:color w:val="1F2937"/>
                <w:sz w:val="17"/>
              </w:rPr>
              <w:t>€2.33M</w:t>
            </w:r>
          </w:p>
        </w:tc>
        <w:tc>
          <w:tcPr>
            <w:tcW w:type="dxa" w:w="825"/>
          </w:tcPr>
          <w:p>
            <w:pPr>
              <w:spacing w:after="40" w:before="40"/>
            </w:pPr>
            <w:r/>
            <w:r>
              <w:rPr>
                <w:b w:val="0"/>
                <w:color w:val="1F2937"/>
                <w:sz w:val="17"/>
              </w:rPr>
              <w:t>€4.52M</w:t>
            </w:r>
          </w:p>
        </w:tc>
        <w:tc>
          <w:tcPr>
            <w:tcW w:type="dxa" w:w="825"/>
          </w:tcPr>
          <w:p>
            <w:pPr>
              <w:spacing w:after="40" w:before="40"/>
            </w:pPr>
            <w:r/>
            <w:r>
              <w:rPr>
                <w:b w:val="0"/>
                <w:color w:val="1F2937"/>
                <w:sz w:val="17"/>
              </w:rPr>
              <w:t>€7.49M</w:t>
            </w:r>
          </w:p>
        </w:tc>
        <w:tc>
          <w:tcPr>
            <w:tcW w:type="dxa" w:w="825"/>
          </w:tcPr>
          <w:p>
            <w:pPr>
              <w:spacing w:after="40" w:before="40"/>
            </w:pPr>
            <w:r/>
            <w:r>
              <w:rPr>
                <w:b w:val="0"/>
                <w:color w:val="1F2937"/>
                <w:sz w:val="17"/>
              </w:rPr>
              <w:t>€10.85M</w:t>
            </w:r>
          </w:p>
        </w:tc>
        <w:tc>
          <w:tcPr>
            <w:tcW w:type="dxa" w:w="825"/>
          </w:tcPr>
          <w:p>
            <w:pPr>
              <w:spacing w:after="40" w:before="40"/>
            </w:pPr>
            <w:r/>
            <w:r>
              <w:rPr>
                <w:b w:val="0"/>
                <w:color w:val="1F2937"/>
                <w:sz w:val="17"/>
              </w:rPr>
              <w:t>€14.05M</w:t>
            </w:r>
          </w:p>
        </w:tc>
        <w:tc>
          <w:tcPr>
            <w:tcW w:type="dxa" w:w="825"/>
          </w:tcPr>
          <w:p>
            <w:pPr>
              <w:spacing w:after="40" w:before="40"/>
            </w:pPr>
            <w:r/>
            <w:r>
              <w:rPr>
                <w:b w:val="0"/>
                <w:color w:val="1F2937"/>
                <w:sz w:val="17"/>
              </w:rPr>
              <w:t>€18.01M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71%</w:t>
            </w:r>
          </w:p>
        </w:tc>
        <w:tc>
          <w:tcPr>
            <w:tcW w:type="dxa" w:w="825"/>
          </w:tcPr>
          <w:p>
            <w:pPr>
              <w:spacing w:after="40" w:before="40"/>
            </w:pPr>
            <w:r/>
            <w:r>
              <w:rPr>
                <w:b w:val="0"/>
                <w:color w:val="1F2937"/>
                <w:sz w:val="17"/>
              </w:rPr>
              <w:t>71%</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€57k</w:t>
            </w:r>
          </w:p>
        </w:tc>
        <w:tc>
          <w:tcPr>
            <w:tcW w:type="dxa" w:w="825"/>
          </w:tcPr>
          <w:p>
            <w:pPr>
              <w:spacing w:after="40" w:before="40"/>
            </w:pPr>
            <w:r/>
            <w:r>
              <w:rPr>
                <w:b w:val="0"/>
                <w:color w:val="1F2937"/>
                <w:sz w:val="17"/>
              </w:rPr>
              <w:t>€104k</w:t>
            </w:r>
          </w:p>
        </w:tc>
        <w:tc>
          <w:tcPr>
            <w:tcW w:type="dxa" w:w="825"/>
          </w:tcPr>
          <w:p>
            <w:pPr>
              <w:spacing w:after="40" w:before="40"/>
            </w:pPr>
            <w:r/>
            <w:r>
              <w:rPr>
                <w:b w:val="0"/>
                <w:color w:val="1F2937"/>
                <w:sz w:val="17"/>
              </w:rPr>
              <w:t>€210k</w:t>
            </w:r>
          </w:p>
        </w:tc>
        <w:tc>
          <w:tcPr>
            <w:tcW w:type="dxa" w:w="825"/>
          </w:tcPr>
          <w:p>
            <w:pPr>
              <w:spacing w:after="40" w:before="40"/>
            </w:pPr>
            <w:r/>
            <w:r>
              <w:rPr>
                <w:b w:val="0"/>
                <w:color w:val="1F2937"/>
                <w:sz w:val="17"/>
              </w:rPr>
              <w:t>€384k</w:t>
            </w:r>
          </w:p>
        </w:tc>
        <w:tc>
          <w:tcPr>
            <w:tcW w:type="dxa" w:w="825"/>
          </w:tcPr>
          <w:p>
            <w:pPr>
              <w:spacing w:after="40" w:before="40"/>
            </w:pPr>
            <w:r/>
            <w:r>
              <w:rPr>
                <w:b w:val="0"/>
                <w:color w:val="1F2937"/>
                <w:sz w:val="17"/>
              </w:rPr>
              <w:t>€660k</w:t>
            </w:r>
          </w:p>
        </w:tc>
        <w:tc>
          <w:tcPr>
            <w:tcW w:type="dxa" w:w="825"/>
          </w:tcPr>
          <w:p>
            <w:pPr>
              <w:spacing w:after="40" w:before="40"/>
            </w:pPr>
            <w:r/>
            <w:r>
              <w:rPr>
                <w:b w:val="0"/>
                <w:color w:val="1F2937"/>
                <w:sz w:val="17"/>
              </w:rPr>
              <w:t>€1.02M</w:t>
            </w:r>
          </w:p>
        </w:tc>
        <w:tc>
          <w:tcPr>
            <w:tcW w:type="dxa" w:w="825"/>
          </w:tcPr>
          <w:p>
            <w:pPr>
              <w:spacing w:after="40" w:before="40"/>
            </w:pPr>
            <w:r/>
            <w:r>
              <w:rPr>
                <w:b w:val="0"/>
                <w:color w:val="1F2937"/>
                <w:sz w:val="17"/>
              </w:rPr>
              <w:t>€1.54M</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€2.44M</w:t>
            </w:r>
          </w:p>
        </w:tc>
        <w:tc>
          <w:tcPr>
            <w:tcW w:type="dxa" w:w="825"/>
          </w:tcPr>
          <w:p>
            <w:pPr>
              <w:spacing w:after="40" w:before="40"/>
            </w:pPr>
            <w:r/>
            <w:r>
              <w:rPr>
                <w:b w:val="0"/>
                <w:color w:val="1F2937"/>
                <w:sz w:val="17"/>
              </w:rPr>
              <w:t>€2.89M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€43k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€274k</w:t>
            </w:r>
          </w:p>
        </w:tc>
        <w:tc>
          <w:tcPr>
            <w:tcW w:type="dxa" w:w="825"/>
          </w:tcPr>
          <w:p>
            <w:pPr>
              <w:spacing w:after="40" w:before="40"/>
            </w:pPr>
            <w:r/>
            <w:r>
              <w:rPr>
                <w:b w:val="0"/>
                <w:color w:val="1F2937"/>
                <w:sz w:val="17"/>
              </w:rPr>
              <w:t>€522k</w:t>
            </w:r>
          </w:p>
        </w:tc>
        <w:tc>
          <w:tcPr>
            <w:tcW w:type="dxa" w:w="825"/>
          </w:tcPr>
          <w:p>
            <w:pPr>
              <w:spacing w:after="40" w:before="40"/>
            </w:pPr>
            <w:r/>
            <w:r>
              <w:rPr>
                <w:b w:val="0"/>
                <w:color w:val="1F2937"/>
                <w:sz w:val="17"/>
              </w:rPr>
              <w:t>€856k</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€1.59M</w:t>
            </w:r>
          </w:p>
        </w:tc>
        <w:tc>
          <w:tcPr>
            <w:tcW w:type="dxa" w:w="825"/>
          </w:tcPr>
          <w:p>
            <w:pPr>
              <w:spacing w:after="40" w:before="40"/>
            </w:pPr>
            <w:r/>
            <w:r>
              <w:rPr>
                <w:b w:val="0"/>
                <w:color w:val="1F2937"/>
                <w:sz w:val="17"/>
              </w:rPr>
              <w:t>€2.03M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€-95k</w:t>
            </w:r>
          </w:p>
        </w:tc>
        <w:tc>
          <w:tcPr>
            <w:tcW w:type="dxa" w:w="825"/>
          </w:tcPr>
          <w:p>
            <w:pPr>
              <w:spacing w:after="40" w:before="40"/>
            </w:pPr>
            <w:r/>
            <w:r>
              <w:rPr>
                <w:b w:val="0"/>
                <w:color w:val="1F2937"/>
                <w:sz w:val="17"/>
              </w:rPr>
              <w:t>€-169k</w:t>
            </w:r>
          </w:p>
        </w:tc>
        <w:tc>
          <w:tcPr>
            <w:tcW w:type="dxa" w:w="825"/>
          </w:tcPr>
          <w:p>
            <w:pPr>
              <w:spacing w:after="40" w:before="40"/>
            </w:pPr>
            <w:r/>
            <w:r>
              <w:rPr>
                <w:b w:val="0"/>
                <w:color w:val="1F2937"/>
                <w:sz w:val="17"/>
              </w:rPr>
              <w:t>€-228k</w:t>
            </w:r>
          </w:p>
        </w:tc>
        <w:tc>
          <w:tcPr>
            <w:tcW w:type="dxa" w:w="825"/>
          </w:tcPr>
          <w:p>
            <w:pPr>
              <w:spacing w:after="40" w:before="40"/>
            </w:pPr>
            <w:r/>
            <w:r>
              <w:rPr>
                <w:b w:val="0"/>
                <w:color w:val="1F2937"/>
                <w:sz w:val="17"/>
              </w:rPr>
              <w:t>€-173k</w:t>
            </w:r>
          </w:p>
        </w:tc>
        <w:tc>
          <w:tcPr>
            <w:tcW w:type="dxa" w:w="825"/>
          </w:tcPr>
          <w:p>
            <w:pPr>
              <w:spacing w:after="40" w:before="40"/>
            </w:pPr>
            <w:r/>
            <w:r>
              <w:rPr>
                <w:b w:val="0"/>
                <w:color w:val="1F2937"/>
                <w:sz w:val="17"/>
              </w:rPr>
              <w:t>€278k</w:t>
            </w:r>
          </w:p>
        </w:tc>
        <w:tc>
          <w:tcPr>
            <w:tcW w:type="dxa" w:w="825"/>
          </w:tcPr>
          <w:p>
            <w:pPr>
              <w:spacing w:after="40" w:before="40"/>
            </w:pPr>
            <w:r/>
            <w:r>
              <w:rPr>
                <w:b w:val="0"/>
                <w:color w:val="1F2937"/>
                <w:sz w:val="17"/>
              </w:rPr>
              <w:t>€1.44M</w:t>
            </w:r>
          </w:p>
        </w:tc>
        <w:tc>
          <w:tcPr>
            <w:tcW w:type="dxa" w:w="825"/>
          </w:tcPr>
          <w:p>
            <w:pPr>
              <w:spacing w:after="40" w:before="40"/>
            </w:pPr>
            <w:r/>
            <w:r>
              <w:rPr>
                <w:b w:val="0"/>
                <w:color w:val="1F2937"/>
                <w:sz w:val="17"/>
              </w:rPr>
              <w:t>€3.12M</w:t>
            </w:r>
          </w:p>
        </w:tc>
        <w:tc>
          <w:tcPr>
            <w:tcW w:type="dxa" w:w="825"/>
          </w:tcPr>
          <w:p>
            <w:pPr>
              <w:spacing w:after="40" w:before="40"/>
            </w:pPr>
            <w:r/>
            <w:r>
              <w:rPr>
                <w:b w:val="0"/>
                <w:color w:val="1F2937"/>
                <w:sz w:val="17"/>
              </w:rPr>
              <w:t>€5.45M</w:t>
            </w:r>
          </w:p>
        </w:tc>
        <w:tc>
          <w:tcPr>
            <w:tcW w:type="dxa" w:w="825"/>
          </w:tcPr>
          <w:p>
            <w:pPr>
              <w:spacing w:after="40" w:before="40"/>
            </w:pPr>
            <w:r/>
            <w:r>
              <w:rPr>
                <w:b w:val="0"/>
                <w:color w:val="1F2937"/>
                <w:sz w:val="17"/>
              </w:rPr>
              <w:t>€7.89M</w:t>
            </w:r>
          </w:p>
        </w:tc>
        <w:tc>
          <w:tcPr>
            <w:tcW w:type="dxa" w:w="825"/>
          </w:tcPr>
          <w:p>
            <w:pPr>
              <w:spacing w:after="40" w:before="40"/>
            </w:pPr>
            <w:r/>
            <w:r>
              <w:rPr>
                <w:b w:val="0"/>
                <w:color w:val="1F2937"/>
                <w:sz w:val="17"/>
              </w:rPr>
              <w:t>€10.80M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€419k</w:t>
            </w:r>
          </w:p>
        </w:tc>
        <w:tc>
          <w:tcPr>
            <w:tcW w:type="dxa" w:w="825"/>
          </w:tcPr>
          <w:p>
            <w:pPr>
              <w:spacing w:after="40" w:before="40"/>
            </w:pPr>
            <w:r/>
            <w:r>
              <w:rPr>
                <w:b w:val="0"/>
                <w:color w:val="1F2937"/>
                <w:sz w:val="17"/>
              </w:rPr>
              <w:t>€748k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€2.52M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€-110k</w:t>
            </w:r>
          </w:p>
        </w:tc>
        <w:tc>
          <w:tcPr>
            <w:tcW w:type="dxa" w:w="825"/>
          </w:tcPr>
          <w:p>
            <w:pPr>
              <w:spacing w:after="40" w:before="40"/>
            </w:pPr>
            <w:r/>
            <w:r>
              <w:rPr>
                <w:b w:val="0"/>
                <w:color w:val="1F2937"/>
                <w:sz w:val="17"/>
              </w:rPr>
              <w:t>€-264k</w:t>
            </w:r>
          </w:p>
        </w:tc>
        <w:tc>
          <w:tcPr>
            <w:tcW w:type="dxa" w:w="825"/>
          </w:tcPr>
          <w:p>
            <w:pPr>
              <w:spacing w:after="40" w:before="40"/>
            </w:pPr>
            <w:r/>
            <w:r>
              <w:rPr>
                <w:b w:val="0"/>
                <w:color w:val="1F2937"/>
                <w:sz w:val="17"/>
              </w:rPr>
              <w:t>€-516k</w:t>
            </w:r>
          </w:p>
        </w:tc>
        <w:tc>
          <w:tcPr>
            <w:tcW w:type="dxa" w:w="825"/>
          </w:tcPr>
          <w:p>
            <w:pPr>
              <w:spacing w:after="40" w:before="40"/>
            </w:pPr>
            <w:r/>
            <w:r>
              <w:rPr>
                <w:b w:val="0"/>
                <w:color w:val="1F2937"/>
                <w:sz w:val="17"/>
              </w:rPr>
              <w:t>€-821k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€-1.46M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€17k</w:t>
            </w:r>
          </w:p>
        </w:tc>
        <w:tc>
          <w:tcPr>
            <w:tcW w:type="dxa" w:w="825"/>
          </w:tcPr>
          <w:p>
            <w:pPr>
              <w:spacing w:after="40" w:before="40"/>
            </w:pPr>
            <w:r/>
            <w:r>
              <w:rPr>
                <w:b w:val="0"/>
                <w:color w:val="1F2937"/>
                <w:sz w:val="17"/>
              </w:rPr>
              <w:t>€31k</w:t>
            </w:r>
          </w:p>
        </w:tc>
        <w:tc>
          <w:tcPr>
            <w:tcW w:type="dxa" w:w="825"/>
          </w:tcPr>
          <w:p>
            <w:pPr>
              <w:spacing w:after="40" w:before="40"/>
            </w:pPr>
            <w:r/>
            <w:r>
              <w:rPr>
                <w:b w:val="0"/>
                <w:color w:val="1F2937"/>
                <w:sz w:val="17"/>
              </w:rPr>
              <w:t>€63k</w:t>
            </w:r>
          </w:p>
        </w:tc>
        <w:tc>
          <w:tcPr>
            <w:tcW w:type="dxa" w:w="825"/>
          </w:tcPr>
          <w:p>
            <w:pPr>
              <w:spacing w:after="40" w:before="40"/>
            </w:pPr>
            <w:r/>
            <w:r>
              <w:rPr>
                <w:b w:val="0"/>
                <w:color w:val="1F2937"/>
                <w:sz w:val="17"/>
              </w:rPr>
              <w:t>€115k</w:t>
            </w:r>
          </w:p>
        </w:tc>
        <w:tc>
          <w:tcPr>
            <w:tcW w:type="dxa" w:w="825"/>
          </w:tcPr>
          <w:p>
            <w:pPr>
              <w:spacing w:after="40" w:before="40"/>
            </w:pPr>
            <w:r/>
            <w:r>
              <w:rPr>
                <w:b w:val="0"/>
                <w:color w:val="1F2937"/>
                <w:sz w:val="17"/>
              </w:rPr>
              <w:t>€198k</w:t>
            </w:r>
          </w:p>
        </w:tc>
        <w:tc>
          <w:tcPr>
            <w:tcW w:type="dxa" w:w="825"/>
          </w:tcPr>
          <w:p>
            <w:pPr>
              <w:spacing w:after="40" w:before="40"/>
            </w:pPr>
            <w:r/>
            <w:r>
              <w:rPr>
                <w:b w:val="0"/>
                <w:color w:val="1F2937"/>
                <w:sz w:val="17"/>
              </w:rPr>
              <w:t>€306k</w:t>
            </w:r>
          </w:p>
        </w:tc>
        <w:tc>
          <w:tcPr>
            <w:tcW w:type="dxa" w:w="825"/>
          </w:tcPr>
          <w:p>
            <w:pPr>
              <w:spacing w:after="40" w:before="40"/>
            </w:pPr>
            <w:r/>
            <w:r>
              <w:rPr>
                <w:b w:val="0"/>
                <w:color w:val="1F2937"/>
                <w:sz w:val="17"/>
              </w:rPr>
              <w:t>€462k</w:t>
            </w:r>
          </w:p>
        </w:tc>
        <w:tc>
          <w:tcPr>
            <w:tcW w:type="dxa" w:w="825"/>
          </w:tcPr>
          <w:p>
            <w:pPr>
              <w:spacing w:after="40" w:before="40"/>
            </w:pPr>
            <w:r/>
            <w:r>
              <w:rPr>
                <w:b w:val="0"/>
                <w:color w:val="1F2937"/>
                <w:sz w:val="17"/>
              </w:rPr>
              <w:t>€605k</w:t>
            </w:r>
          </w:p>
        </w:tc>
        <w:tc>
          <w:tcPr>
            <w:tcW w:type="dxa" w:w="825"/>
          </w:tcPr>
          <w:p>
            <w:pPr>
              <w:spacing w:after="40" w:before="40"/>
            </w:pPr>
            <w:r/>
            <w:r>
              <w:rPr>
                <w:b w:val="0"/>
                <w:color w:val="1F2937"/>
                <w:sz w:val="17"/>
              </w:rPr>
              <w:t>€733k</w:t>
            </w:r>
          </w:p>
        </w:tc>
        <w:tc>
          <w:tcPr>
            <w:tcW w:type="dxa" w:w="825"/>
          </w:tcPr>
          <w:p>
            <w:pPr>
              <w:spacing w:after="40" w:before="40"/>
            </w:pPr>
            <w:r/>
            <w:r>
              <w:rPr>
                <w:b w:val="0"/>
                <w:color w:val="1F2937"/>
                <w:sz w:val="17"/>
              </w:rPr>
              <w:t>€866k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€-96k</w:t>
            </w:r>
          </w:p>
        </w:tc>
        <w:tc>
          <w:tcPr>
            <w:tcW w:type="dxa" w:w="825"/>
          </w:tcPr>
          <w:p>
            <w:pPr>
              <w:spacing w:after="40" w:before="40"/>
            </w:pPr>
            <w:r/>
            <w:r>
              <w:rPr>
                <w:b w:val="0"/>
                <w:color w:val="1F2937"/>
                <w:sz w:val="17"/>
              </w:rPr>
              <w:t>€-162k</w:t>
            </w:r>
          </w:p>
        </w:tc>
        <w:tc>
          <w:tcPr>
            <w:tcW w:type="dxa" w:w="825"/>
          </w:tcPr>
          <w:p>
            <w:pPr>
              <w:spacing w:after="40" w:before="40"/>
            </w:pPr>
            <w:r/>
            <w:r>
              <w:rPr>
                <w:b w:val="0"/>
                <w:color w:val="1F2937"/>
                <w:sz w:val="17"/>
              </w:rPr>
              <w:t>€-181k</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€596k</w:t>
            </w:r>
          </w:p>
        </w:tc>
        <w:tc>
          <w:tcPr>
            <w:tcW w:type="dxa" w:w="825"/>
          </w:tcPr>
          <w:p>
            <w:pPr>
              <w:spacing w:after="40" w:before="40"/>
            </w:pPr>
            <w:r/>
            <w:r>
              <w:rPr>
                <w:b w:val="0"/>
                <w:color w:val="1F2937"/>
                <w:sz w:val="17"/>
              </w:rPr>
              <w:t>€1.87M</w:t>
            </w:r>
          </w:p>
        </w:tc>
        <w:tc>
          <w:tcPr>
            <w:tcW w:type="dxa" w:w="825"/>
          </w:tcPr>
          <w:p>
            <w:pPr>
              <w:spacing w:after="40" w:before="40"/>
            </w:pPr>
            <w:r/>
            <w:r>
              <w:rPr>
                <w:b w:val="0"/>
                <w:color w:val="1F2937"/>
                <w:sz w:val="17"/>
              </w:rPr>
              <w:t>€3.33M</w:t>
            </w:r>
          </w:p>
        </w:tc>
        <w:tc>
          <w:tcPr>
            <w:tcW w:type="dxa" w:w="825"/>
          </w:tcPr>
          <w:p>
            <w:pPr>
              <w:spacing w:after="40" w:before="40"/>
            </w:pPr>
            <w:r/>
            <w:r>
              <w:rPr>
                <w:b w:val="0"/>
                <w:color w:val="1F2937"/>
                <w:sz w:val="17"/>
              </w:rPr>
              <w:t>€5.30M</w:t>
            </w:r>
          </w:p>
        </w:tc>
        <w:tc>
          <w:tcPr>
            <w:tcW w:type="dxa" w:w="825"/>
          </w:tcPr>
          <w:p>
            <w:pPr>
              <w:spacing w:after="40" w:before="40"/>
            </w:pPr>
            <w:r/>
            <w:r>
              <w:rPr>
                <w:b w:val="0"/>
                <w:color w:val="1F2937"/>
                <w:sz w:val="17"/>
              </w:rPr>
              <w:t>€7.23M</w:t>
            </w:r>
          </w:p>
        </w:tc>
        <w:tc>
          <w:tcPr>
            <w:tcW w:type="dxa" w:w="825"/>
          </w:tcPr>
          <w:p>
            <w:pPr>
              <w:spacing w:after="40" w:before="40"/>
            </w:pPr>
            <w:r/>
            <w:r>
              <w:rPr>
                <w:b w:val="0"/>
                <w:color w:val="1F2937"/>
                <w:sz w:val="17"/>
              </w:rPr>
              <w:t>€8.87M</w:t>
            </w:r>
          </w:p>
        </w:tc>
      </w:tr>
    </w:tbl>
    <w:p>
      <w:pPr>
        <w:spacing w:after="160" w:before="0"/>
      </w:pPr>
    </w:p>
    <w:p>
      <w:pPr>
        <w:spacing w:after="140" w:line="276" w:lineRule="auto"/>
        <w:jc w:val="both"/>
      </w:pPr>
      <w:r>
        <w:rPr>
          <w:b w:val="0"/>
          <w:color w:val="1F2937"/>
          <w:sz w:val="20"/>
        </w:rPr>
        <w:t>&lt;!-- /MODEL:pl --&gt;</w:t>
      </w:r>
    </w:p>
    <w:p>
      <w:pPr>
        <w:spacing w:after="140" w:line="276" w:lineRule="auto"/>
        <w:jc w:val="both"/>
      </w:pPr>
      <w:r>
        <w:rPr>
          <w:b w:val="0"/>
          <w:color w:val="1F2937"/>
          <w:sz w:val="20"/>
        </w:rPr>
        <w:t xml:space="preserve">Free cash flow is EBITDA less tax, working capital movement and capex —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p>
      <w:pPr>
        <w:spacing w:after="140" w:line="276" w:lineRule="auto"/>
        <w:jc w:val="both"/>
      </w:pPr>
      <w:r>
        <w:rPr>
          <w:b w:val="0"/>
          <w:color w:val="1F2937"/>
          <w:sz w:val="20"/>
        </w:rPr>
        <w:t>&lt;!-- MODEL:cash --&gt;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€-96k</w:t>
            </w:r>
          </w:p>
        </w:tc>
        <w:tc>
          <w:tcPr>
            <w:tcW w:type="dxa" w:w="3024"/>
          </w:tcPr>
          <w:p>
            <w:pPr>
              <w:spacing w:after="40" w:before="40"/>
            </w:pPr>
            <w:r/>
            <w:r>
              <w:rPr>
                <w:b w:val="0"/>
                <w:color w:val="1F2937"/>
                <w:sz w:val="17"/>
              </w:rPr>
              <w:t>€-96k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€-162k</w:t>
            </w:r>
          </w:p>
        </w:tc>
        <w:tc>
          <w:tcPr>
            <w:tcW w:type="dxa" w:w="3024"/>
          </w:tcPr>
          <w:p>
            <w:pPr>
              <w:spacing w:after="40" w:before="40"/>
            </w:pPr>
            <w:r/>
            <w:r>
              <w:rPr>
                <w:b w:val="0"/>
                <w:color w:val="1F2937"/>
                <w:sz w:val="17"/>
              </w:rPr>
              <w:t>€-258k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€-181k</w:t>
            </w:r>
          </w:p>
        </w:tc>
        <w:tc>
          <w:tcPr>
            <w:tcW w:type="dxa" w:w="3024"/>
          </w:tcPr>
          <w:p>
            <w:pPr>
              <w:spacing w:after="40" w:before="40"/>
            </w:pPr>
            <w:r/>
            <w:r>
              <w:rPr>
                <w:b w:val="0"/>
                <w:color w:val="1F2937"/>
                <w:sz w:val="17"/>
              </w:rPr>
              <w:t>€-439k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€-464k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€596k</w:t>
            </w:r>
          </w:p>
        </w:tc>
        <w:tc>
          <w:tcPr>
            <w:tcW w:type="dxa" w:w="3024"/>
          </w:tcPr>
          <w:p>
            <w:pPr>
              <w:spacing w:after="40" w:before="40"/>
            </w:pPr>
            <w:r/>
            <w:r>
              <w:rPr>
                <w:b w:val="0"/>
                <w:color w:val="1F2937"/>
                <w:sz w:val="17"/>
              </w:rPr>
              <w:t>€132k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€1.87M</w:t>
            </w:r>
          </w:p>
        </w:tc>
        <w:tc>
          <w:tcPr>
            <w:tcW w:type="dxa" w:w="3024"/>
          </w:tcPr>
          <w:p>
            <w:pPr>
              <w:spacing w:after="40" w:before="40"/>
            </w:pPr>
            <w:r/>
            <w:r>
              <w:rPr>
                <w:b w:val="0"/>
                <w:color w:val="1F2937"/>
                <w:sz w:val="17"/>
              </w:rPr>
              <w:t>€2.00M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€3.33M</w:t>
            </w:r>
          </w:p>
        </w:tc>
        <w:tc>
          <w:tcPr>
            <w:tcW w:type="dxa" w:w="3024"/>
          </w:tcPr>
          <w:p>
            <w:pPr>
              <w:spacing w:after="40" w:before="40"/>
            </w:pPr>
            <w:r/>
            <w:r>
              <w:rPr>
                <w:b w:val="0"/>
                <w:color w:val="1F2937"/>
                <w:sz w:val="17"/>
              </w:rPr>
              <w:t>€5.33M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€5.30M</w:t>
            </w:r>
          </w:p>
        </w:tc>
        <w:tc>
          <w:tcPr>
            <w:tcW w:type="dxa" w:w="3024"/>
          </w:tcPr>
          <w:p>
            <w:pPr>
              <w:spacing w:after="40" w:before="40"/>
            </w:pPr>
            <w:r/>
            <w:r>
              <w:rPr>
                <w:b w:val="0"/>
                <w:color w:val="1F2937"/>
                <w:sz w:val="17"/>
              </w:rPr>
              <w:t>€10.63M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€7.23M</w:t>
            </w:r>
          </w:p>
        </w:tc>
        <w:tc>
          <w:tcPr>
            <w:tcW w:type="dxa" w:w="3024"/>
          </w:tcPr>
          <w:p>
            <w:pPr>
              <w:spacing w:after="40" w:before="40"/>
            </w:pPr>
            <w:r/>
            <w:r>
              <w:rPr>
                <w:b w:val="0"/>
                <w:color w:val="1F2937"/>
                <w:sz w:val="17"/>
              </w:rPr>
              <w:t>€17.86M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€8.87M</w:t>
            </w:r>
          </w:p>
        </w:tc>
        <w:tc>
          <w:tcPr>
            <w:tcW w:type="dxa" w:w="3024"/>
          </w:tcPr>
          <w:p>
            <w:pPr>
              <w:spacing w:after="40" w:before="40"/>
            </w:pPr>
            <w:r/>
            <w:r>
              <w:rPr>
                <w:b w:val="0"/>
                <w:color w:val="1F2937"/>
                <w:sz w:val="17"/>
              </w:rPr>
              <w:t>€26.73M</w:t>
            </w:r>
          </w:p>
        </w:tc>
      </w:tr>
    </w:tbl>
    <w:p>
      <w:pPr>
        <w:spacing w:after="160" w:before="0"/>
      </w:pPr>
    </w:p>
    <w:p>
      <w:pPr>
        <w:spacing w:after="140" w:line="276" w:lineRule="auto"/>
        <w:jc w:val="both"/>
      </w:pPr>
      <w:r>
        <w:rPr>
          <w:b w:val="0"/>
          <w:color w:val="1F2937"/>
          <w:sz w:val="20"/>
        </w:rPr>
        <w:t>&lt;!-- /MODEL:cash --&gt;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p>
      <w:pPr>
        <w:spacing w:after="140" w:line="276" w:lineRule="auto"/>
        <w:jc w:val="both"/>
      </w:pPr>
      <w:r>
        <w:rPr>
          <w:b w:val="0"/>
          <w:color w:val="1F2937"/>
          <w:sz w:val="20"/>
        </w:rPr>
        <w:t>&lt;!-- MODEL:funding --&gt;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€-464k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Y4</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€186k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€649k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val="0"/>
          <w:color w:val="1F2937"/>
          <w:sz w:val="20"/>
        </w:rPr>
        <w:t>&lt;!-- /MODEL:funding --&gt;</w:t>
      </w:r>
    </w:p>
    <w:p>
      <w:pPr>
        <w:spacing w:after="140" w:line="276" w:lineRule="auto"/>
        <w:jc w:val="both"/>
      </w:pPr>
      <w:r>
        <w:rPr>
          <w:b/>
          <w:color w:val="1F2937"/>
          <w:sz w:val="20"/>
        </w:rPr>
        <w:t>€649k is a small number for a plan that reaches €10.7M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 in practice the athletes who join in Y6 are unlikely to convert as well as the hand-picked ones in Y1.</w:t>
      </w:r>
    </w:p>
    <w:p>
      <w:r>
        <w:br w:type="page"/>
      </w:r>
    </w:p>
    <w:p>
      <w:pPr>
        <w:keepNext/>
        <w:spacing w:before="320" w:after="100"/>
        <w:pBdr>
          <w:bottom w:val="single" w:sz="6" w:space="8" w:color="D1D5DB"/>
        </w:pBdr>
      </w:pPr>
      <w:r>
        <w:rPr>
          <w:b/>
          <w:color w:val="1F2937"/>
          <w:sz w:val="32"/>
        </w:rPr>
        <w:t>Appendix D — 04 — Capital &amp; Valuation</w:t>
      </w:r>
    </w:p>
    <w:p>
      <w:pPr>
        <w:spacing w:after="120" w:before="0"/>
      </w:pPr>
    </w:p>
    <w:p>
      <w:pPr>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 because the scarce input is not the money.</w:t>
      </w:r>
    </w:p>
    <w:p>
      <w:pPr>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 take the job, invest the €80k —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~49% through the Series A holds that share of the enterprise value — </w:t>
      </w:r>
      <w:r>
        <w:rPr>
          <w:b/>
          <w:color w:val="1F2937"/>
          <w:sz w:val="20"/>
        </w:rPr>
        <w:t>€4.11M against the DCF floor of €8.37M</w:t>
      </w:r>
      <w:r>
        <w:rPr>
          <w:b w:val="0"/>
          <w:color w:val="1F2937"/>
          <w:sz w:val="20"/>
        </w:rPr>
        <w:t xml:space="preserve">, and €5.4–12.1M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€600k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€649k. The rounds above raise €2.6M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€464k trough in Y4</w:t>
      </w:r>
      <w:r>
        <w:rPr>
          <w:b w:val="0"/>
          <w:color w:val="1F2937"/>
          <w:sz w:val="20"/>
        </w:rP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€600k clears the trough the model produces; €649k is that trough plus the 40% buffer.</w:t>
      </w:r>
      <w:r>
        <w:rPr>
          <w:b w:val="0"/>
          <w:color w:val="1F2937"/>
          <w:sz w:val="20"/>
        </w:rPr>
        <w:t xml:space="preserve"> The seed is optional against the plan as modelled — not against the conservative case the buffer exists for. If the buffer is needed, the €49k gap is what the non-dilutive stack above is for.</w:t>
      </w:r>
    </w:p>
    <w:p>
      <w:pPr>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keepNext/>
        <w:spacing w:before="320" w:after="100"/>
      </w:pPr>
      <w:r>
        <w:rPr>
          <w:b/>
          <w:color w:val="1F2937"/>
          <w:sz w:val="25"/>
        </w:rPr>
        <w:t>Spanish instruments —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r>
              <w:rPr>
                <w:b w:val="0"/>
                <w:color w:val="1F2937"/>
                <w:sz w:val="17"/>
              </w:rPr>
              <w:t>—</w:t>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 worth €1.57M across Y6–Y9</w:t>
            </w:r>
          </w:p>
        </w:tc>
      </w:tr>
      <w:tr>
        <w:tc>
          <w:tcPr>
            <w:tcW w:type="dxa" w:w="2268"/>
          </w:tcPr>
          <w:p>
            <w:pPr>
              <w:spacing w:after="40" w:before="40"/>
            </w:pPr>
            <w:r/>
            <w:r>
              <w:rPr>
                <w:b w:val="0"/>
                <w:color w:val="1F2937"/>
                <w:sz w:val="17"/>
              </w:rPr>
              <w:t>Beckham Law</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€464k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 they are upside, and grant timelines are unreliable enough that no plan should depend on them.</w:t>
      </w:r>
    </w:p>
    <w:p>
      <w:pPr>
        <w:spacing w:after="120" w:before="0"/>
      </w:pPr>
    </w:p>
    <w:p>
      <w:pPr>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keepNext/>
        <w:spacing w:before="200" w:after="100"/>
      </w:pPr>
      <w:r>
        <w:rPr>
          <w:b/>
          <w:color w:val="6B7280"/>
          <w:sz w:val="22"/>
        </w:rPr>
        <w:t>Discounted cash flow</w:t>
      </w:r>
    </w:p>
    <w:p>
      <w:pPr>
        <w:spacing w:after="140" w:line="276" w:lineRule="auto"/>
        <w:jc w:val="both"/>
      </w:pPr>
      <w:r>
        <w:rPr>
          <w:b w:val="0"/>
          <w:color w:val="1F2937"/>
          <w:sz w:val="20"/>
        </w:rPr>
        <w:t>&lt;!-- MODEL:valuation --&gt;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€3.91M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€41.53M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€4.46M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€8.37M</w:t>
            </w:r>
          </w:p>
        </w:tc>
      </w:tr>
    </w:tbl>
    <w:p>
      <w:pPr>
        <w:spacing w:after="160" w:before="0"/>
      </w:pPr>
    </w:p>
    <w:p>
      <w:pPr>
        <w:spacing w:after="140" w:line="276" w:lineRule="auto"/>
        <w:jc w:val="both"/>
      </w:pPr>
      <w:r>
        <w:rPr>
          <w:b w:val="0"/>
          <w:color w:val="1F2937"/>
          <w:sz w:val="20"/>
        </w:rPr>
        <w:t>&lt;!-- /MODEL:valuation --&gt;</w:t>
      </w:r>
    </w:p>
    <w:p>
      <w:pPr>
        <w:keepNext/>
        <w:spacing w:before="200" w:after="100"/>
      </w:pPr>
      <w:r>
        <w:rPr>
          <w:b/>
          <w:color w:val="6B7280"/>
          <w:sz w:val="22"/>
        </w:rPr>
        <w:t>Exit multiple</w:t>
      </w:r>
    </w:p>
    <w:p>
      <w:pPr>
        <w:spacing w:after="140" w:line="276" w:lineRule="auto"/>
        <w:jc w:val="both"/>
      </w:pPr>
      <w:r>
        <w:rPr>
          <w:b w:val="0"/>
          <w:color w:val="1F2937"/>
          <w:sz w:val="20"/>
        </w:rPr>
        <w:t>&lt;!-- MODEL:multiples --&gt;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€101.53M</w:t>
            </w:r>
          </w:p>
        </w:tc>
        <w:tc>
          <w:tcPr>
            <w:tcW w:type="dxa" w:w="2268"/>
          </w:tcPr>
          <w:p>
            <w:pPr>
              <w:spacing w:after="40" w:before="40"/>
            </w:pPr>
            <w:r/>
            <w:r>
              <w:rPr>
                <w:b w:val="0"/>
                <w:color w:val="1F2937"/>
                <w:sz w:val="17"/>
              </w:rPr>
              <w:t>€10.90M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€164.99M</w:t>
            </w:r>
          </w:p>
        </w:tc>
        <w:tc>
          <w:tcPr>
            <w:tcW w:type="dxa" w:w="2268"/>
          </w:tcPr>
          <w:p>
            <w:pPr>
              <w:spacing w:after="40" w:before="40"/>
            </w:pPr>
            <w:r/>
            <w:r>
              <w:rPr>
                <w:b w:val="0"/>
                <w:color w:val="1F2937"/>
                <w:sz w:val="17"/>
              </w:rPr>
              <w:t>€17.72M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€228.45M</w:t>
            </w:r>
          </w:p>
        </w:tc>
        <w:tc>
          <w:tcPr>
            <w:tcW w:type="dxa" w:w="2268"/>
          </w:tcPr>
          <w:p>
            <w:pPr>
              <w:spacing w:after="40" w:before="40"/>
            </w:pPr>
            <w:r/>
            <w:r>
              <w:rPr>
                <w:b w:val="0"/>
                <w:color w:val="1F2937"/>
                <w:sz w:val="17"/>
              </w:rPr>
              <w:t>€24.53M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€151.13M</w:t>
            </w:r>
          </w:p>
        </w:tc>
        <w:tc>
          <w:tcPr>
            <w:tcW w:type="dxa" w:w="2268"/>
          </w:tcPr>
          <w:p>
            <w:pPr>
              <w:spacing w:after="40" w:before="40"/>
            </w:pPr>
            <w:r/>
            <w:r>
              <w:rPr>
                <w:b w:val="0"/>
                <w:color w:val="1F2937"/>
                <w:sz w:val="17"/>
              </w:rPr>
              <w:t>€16.23M</w:t>
            </w:r>
          </w:p>
        </w:tc>
      </w:tr>
    </w:tbl>
    <w:p>
      <w:pPr>
        <w:spacing w:after="160" w:before="0"/>
      </w:pPr>
    </w:p>
    <w:p>
      <w:pPr>
        <w:spacing w:after="140" w:line="276" w:lineRule="auto"/>
        <w:jc w:val="both"/>
      </w:pPr>
      <w:r>
        <w:rPr>
          <w:b w:val="0"/>
          <w:color w:val="1F2937"/>
          <w:sz w:val="20"/>
        </w:rPr>
        <w:t>&lt;!-- /MODEL:multiples --&gt;</w:t>
      </w:r>
    </w:p>
    <w:p>
      <w:pPr>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€8.4M; the blended exit multiple says €165.0M. </w:t>
      </w:r>
      <w:r>
        <w:rPr>
          <w:b/>
          <w:color w:val="1F2937"/>
          <w:sz w:val="20"/>
        </w:rPr>
        <w:t>This is not an error in either —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€8.4M today.</w:t>
      </w:r>
    </w:p>
    <w:p>
      <w:pPr>
        <w:spacing w:after="140" w:line="276" w:lineRule="auto"/>
        <w:jc w:val="both"/>
      </w:pPr>
      <w:r>
        <w:rPr>
          <w:b w:val="0"/>
          <w:color w:val="1F2937"/>
          <w:sz w:val="20"/>
        </w:rPr>
        <w:t>&lt;!-- MODEL:sensitivity --&gt;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€13.67M</w:t>
            </w:r>
          </w:p>
        </w:tc>
        <w:tc>
          <w:tcPr>
            <w:tcW w:type="dxa" w:w="2268"/>
          </w:tcPr>
          <w:p>
            <w:pPr>
              <w:spacing w:after="40" w:before="40"/>
            </w:pPr>
            <w:r/>
            <w:r>
              <w:rPr>
                <w:b w:val="0"/>
                <w:color w:val="1F2937"/>
                <w:sz w:val="17"/>
              </w:rPr>
              <w:t>€8.14M</w:t>
            </w:r>
          </w:p>
        </w:tc>
        <w:tc>
          <w:tcPr>
            <w:tcW w:type="dxa" w:w="2268"/>
          </w:tcPr>
          <w:p>
            <w:pPr>
              <w:spacing w:after="40" w:before="40"/>
            </w:pPr>
            <w:r/>
            <w:r>
              <w:rPr>
                <w:b w:val="0"/>
                <w:color w:val="1F2937"/>
                <w:sz w:val="17"/>
              </w:rPr>
              <w:t>€5.14M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€14.23M</w:t>
            </w:r>
          </w:p>
        </w:tc>
        <w:tc>
          <w:tcPr>
            <w:tcW w:type="dxa" w:w="2268"/>
          </w:tcPr>
          <w:p>
            <w:pPr>
              <w:spacing w:after="40" w:before="40"/>
            </w:pPr>
            <w:r/>
            <w:r>
              <w:rPr>
                <w:b/>
                <w:color w:val="1F2937"/>
                <w:sz w:val="17"/>
              </w:rPr>
              <w:t>€8.37M</w:t>
            </w:r>
          </w:p>
        </w:tc>
        <w:tc>
          <w:tcPr>
            <w:tcW w:type="dxa" w:w="2268"/>
          </w:tcPr>
          <w:p>
            <w:pPr>
              <w:spacing w:after="40" w:before="40"/>
            </w:pPr>
            <w:r/>
            <w:r>
              <w:rPr>
                <w:b w:val="0"/>
                <w:color w:val="1F2937"/>
                <w:sz w:val="17"/>
              </w:rPr>
              <w:t>€5.25M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€14.86M</w:t>
            </w:r>
          </w:p>
        </w:tc>
        <w:tc>
          <w:tcPr>
            <w:tcW w:type="dxa" w:w="2268"/>
          </w:tcPr>
          <w:p>
            <w:pPr>
              <w:spacing w:after="40" w:before="40"/>
            </w:pPr>
            <w:r/>
            <w:r>
              <w:rPr>
                <w:b w:val="0"/>
                <w:color w:val="1F2937"/>
                <w:sz w:val="17"/>
              </w:rPr>
              <w:t>€8.63M</w:t>
            </w:r>
          </w:p>
        </w:tc>
        <w:tc>
          <w:tcPr>
            <w:tcW w:type="dxa" w:w="2268"/>
          </w:tcPr>
          <w:p>
            <w:pPr>
              <w:spacing w:after="40" w:before="40"/>
            </w:pPr>
            <w:r/>
            <w:r>
              <w:rPr>
                <w:b w:val="0"/>
                <w:color w:val="1F2937"/>
                <w:sz w:val="17"/>
              </w:rPr>
              <w:t>€5.37M</w:t>
            </w:r>
          </w:p>
        </w:tc>
      </w:tr>
    </w:tbl>
    <w:p>
      <w:pPr>
        <w:spacing w:after="160" w:before="0"/>
      </w:pPr>
    </w:p>
    <w:p>
      <w:pPr>
        <w:spacing w:after="140" w:line="276" w:lineRule="auto"/>
        <w:jc w:val="both"/>
      </w:pPr>
      <w:r>
        <w:rPr>
          <w:b w:val="0"/>
          <w:color w:val="1F2937"/>
          <w:sz w:val="20"/>
        </w:rPr>
        <w:t>&lt;!-- /MODEL:sensitivity --&gt;</w:t>
      </w: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xml:space="preserve"> — an extra 0.5% if they bring three clubs or 25 athletes. The cliff protects you if they lose interest after the launch photos.</w:t>
      </w:r>
    </w:p>
    <w:p>
      <w:pPr>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€600k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€3.1M</w:t>
            </w:r>
          </w:p>
        </w:tc>
        <w:tc>
          <w:tcPr>
            <w:tcW w:type="dxa" w:w="1512"/>
          </w:tcPr>
          <w:p>
            <w:pPr>
              <w:spacing w:after="40" w:before="40"/>
            </w:pPr>
            <w:r/>
            <w:r>
              <w:rPr>
                <w:b w:val="0"/>
                <w:color w:val="1F2937"/>
                <w:sz w:val="17"/>
              </w:rPr>
              <w:t>19.4%</w:t>
            </w:r>
          </w:p>
        </w:tc>
        <w:tc>
          <w:tcPr>
            <w:tcW w:type="dxa" w:w="1512"/>
          </w:tcPr>
          <w:p>
            <w:pPr>
              <w:spacing w:after="40" w:before="40"/>
            </w:pPr>
            <w:r/>
            <w:r>
              <w:rPr>
                <w:b w:val="0"/>
                <w:color w:val="1F2937"/>
                <w:sz w:val="17"/>
              </w:rPr>
              <w:t>79%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€2.0M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66%</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€8.0M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55%</w:t>
            </w:r>
          </w:p>
        </w:tc>
      </w:tr>
      <w:tr>
        <w:tc>
          <w:tcPr>
            <w:tcW w:type="dxa" w:w="1512"/>
          </w:tcPr>
          <w:p>
            <w:pPr>
              <w:spacing w:after="40" w:before="40"/>
            </w:pPr>
            <w:r/>
            <w:r>
              <w:rPr>
                <w:b w:val="0"/>
                <w:color w:val="1F2937"/>
                <w:sz w:val="17"/>
              </w:rPr>
              <w:t>ESOP (cumulative)</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~49%</w:t>
            </w:r>
          </w:p>
        </w:tc>
      </w:tr>
    </w:tbl>
    <w:p>
      <w:pPr>
        <w:spacing w:after="160" w:before="0"/>
      </w:pPr>
    </w:p>
    <w:p>
      <w:pPr>
        <w:spacing w:after="140" w:line="276" w:lineRule="auto"/>
        <w:jc w:val="both"/>
      </w:pPr>
      <w:r>
        <w:rPr>
          <w:b w:val="0"/>
          <w:color w:val="1F2937"/>
          <w:sz w:val="20"/>
        </w:rPr>
        <w:t>Retaining ~49%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€400k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grew by €200k and retention went </w:t>
      </w:r>
      <w:r>
        <w:rPr>
          <w:b/>
          <w:color w:val="1F2937"/>
          <w:sz w:val="19"/>
        </w:rPr>
        <w:t>up</w:t>
      </w:r>
      <w:r>
        <w:rPr>
          <w:b w:val="0"/>
          <w:color w:val="1F2937"/>
          <w:sz w:val="19"/>
        </w:rPr>
        <w:t>, because the arithmetic was wrong before, not because the round got cheaper.</w:t>
      </w:r>
    </w:p>
    <w:p>
      <w:r>
        <w:br w:type="page"/>
      </w:r>
    </w:p>
    <w:p>
      <w:pPr>
        <w:keepNext/>
        <w:spacing w:before="320" w:after="100"/>
        <w:pBdr>
          <w:bottom w:val="single" w:sz="6" w:space="8" w:color="D1D5DB"/>
        </w:pBdr>
      </w:pPr>
      <w:r>
        <w:rPr>
          <w:b/>
          <w:color w:val="1F2937"/>
          <w:sz w:val="32"/>
        </w:rPr>
        <w:t>Appendix E — 05 —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 posts, image upload, locked items, polls, products, follow versus subscribe, a fan feed, fan DMs —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 60% of Y7 revenue —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pPr>
        <w:spacing w:after="120" w:before="0"/>
      </w:pPr>
    </w:p>
    <w:p>
      <w:pPr>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pPr>
        <w:spacing w:after="120" w:before="0"/>
      </w:pPr>
    </w:p>
    <w:p>
      <w:pPr>
        <w:keepNext/>
        <w:spacing w:before="320" w:after="100"/>
      </w:pPr>
      <w:r>
        <w:rPr>
          <w:b/>
          <w:color w:val="1F2937"/>
          <w:sz w:val="25"/>
        </w:rPr>
        <w:t>Campaign measurement —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 a failed token refresh —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b w:val="0"/>
          <w:color w:val="1F2937"/>
          <w:sz w:val="18"/>
        </w:rPr>
        <w:t>—</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w:t>
      </w:r>
      <w:r>
        <w:rPr>
          <w:b w:val="0"/>
          <w:color w:val="1F2937"/>
          <w:sz w:val="20"/>
        </w:rPr>
        <w:t xml:space="preserve"> rather than as a zero variance —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pPr>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w:t>
      </w:r>
    </w:p>
    <w:p>
      <w:pPr>
        <w:pStyle w:val="ListBullet"/>
        <w:spacing w:after="60" w:line="264" w:lineRule="auto"/>
        <w:ind w:left="624"/>
      </w:pPr>
      <w:r>
        <w:rPr>
          <w:b w:val="0"/>
          <w:color w:val="1F2937"/>
          <w:sz w:val="20"/>
        </w:rPr>
        <w:t>of faith. Renewal rate is the difference between the base and conservative</w:t>
      </w:r>
    </w:p>
    <w:p>
      <w:pPr>
        <w:pStyle w:val="ListBullet"/>
        <w:spacing w:after="60" w:line="264" w:lineRule="auto"/>
        <w:ind w:left="624"/>
      </w:pPr>
      <w:r>
        <w:rPr>
          <w:b w:val="0"/>
          <w:color w:val="1F2937"/>
          <w:sz w:val="20"/>
        </w:rPr>
        <w:t>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w:t>
      </w:r>
    </w:p>
    <w:p>
      <w:pPr>
        <w:pStyle w:val="ListBullet"/>
        <w:spacing w:after="60" w:line="264" w:lineRule="auto"/>
        <w:ind w:left="624"/>
      </w:pPr>
      <w:r>
        <w:rPr>
          <w:b w:val="0"/>
          <w:color w:val="1F2937"/>
          <w:sz w:val="20"/>
        </w:rPr>
        <w:t>outcomes (</w:t>
      </w:r>
      <w:r>
        <w:rPr>
          <w:b w:val="0"/>
          <w:color w:val="1F2937"/>
          <w:sz w:val="20"/>
        </w:rPr>
        <w:t>09</w:t>
      </w:r>
      <w:r>
        <w:rPr>
          <w:b w:val="0"/>
          <w:color w:val="1F2937"/>
          <w:sz w:val="20"/>
        </w:rPr>
        <w:t>); there were none to learn from, so</w:t>
      </w:r>
    </w:p>
    <w:p>
      <w:pPr>
        <w:pStyle w:val="ListBullet"/>
        <w:spacing w:after="60" w:line="264" w:lineRule="auto"/>
        <w:ind w:left="624"/>
      </w:pPr>
      <w:r>
        <w:rPr>
          <w:b w:val="0"/>
          <w:color w:val="1F2937"/>
          <w:sz w:val="20"/>
        </w:rPr>
        <w:t>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w:t>
      </w:r>
    </w:p>
    <w:p>
      <w:pPr>
        <w:pStyle w:val="ListBullet"/>
        <w:spacing w:after="60" w:line="264" w:lineRule="auto"/>
        <w:ind w:left="624"/>
      </w:pPr>
      <w:r>
        <w:rPr>
          <w:b w:val="0"/>
          <w:color w:val="1F2937"/>
          <w:sz w:val="20"/>
        </w:rPr>
        <w:t>intelligence" is a claim. This one opens.</w:t>
      </w:r>
    </w:p>
    <w:p>
      <w:pPr>
        <w:keepNext/>
        <w:spacing w:before="200" w:after="100"/>
      </w:pPr>
      <w:r>
        <w:rPr>
          <w:b/>
          <w:color w:val="6B7280"/>
          <w:sz w:val="22"/>
        </w:rPr>
        <w:t>The two companions from the same reading —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w:t>
      </w:r>
    </w:p>
    <w:p>
      <w:pPr>
        <w:pStyle w:val="ListBullet"/>
        <w:spacing w:after="60" w:line="264" w:lineRule="auto"/>
        <w:ind w:left="624"/>
      </w:pPr>
      <w:r>
        <w:rPr>
          <w:b w:val="0"/>
          <w:color w:val="1F2937"/>
          <w:sz w:val="20"/>
        </w:rPr>
        <w:t>keeps accruing views keeps improving the deal's number. Honest, but not the</w:t>
      </w:r>
    </w:p>
    <w:p>
      <w:pPr>
        <w:pStyle w:val="ListBullet"/>
        <w:spacing w:after="60" w:line="264" w:lineRule="auto"/>
        <w:ind w:left="624"/>
      </w:pPr>
      <w:r>
        <w:rPr>
          <w:b w:val="0"/>
          <w:color w:val="1F2937"/>
          <w:sz w:val="20"/>
        </w:rPr>
        <w:t>same as a 30-day campaign measurement, and the difference should be named</w:t>
      </w:r>
    </w:p>
    <w:p>
      <w:pPr>
        <w:pStyle w:val="ListBullet"/>
        <w:spacing w:after="60" w:line="264" w:lineRule="auto"/>
        <w:ind w:left="624"/>
      </w:pPr>
      <w:r>
        <w:rPr>
          <w:b w:val="0"/>
          <w:color w:val="1F2937"/>
          <w:sz w:val="20"/>
        </w:rPr>
        <w:t>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w:t>
      </w:r>
    </w:p>
    <w:p>
      <w:pPr>
        <w:pStyle w:val="ListBullet"/>
        <w:spacing w:after="60" w:line="264" w:lineRule="auto"/>
        <w:ind w:left="624"/>
      </w:pPr>
      <w:r>
        <w:rPr>
          <w:b w:val="0"/>
          <w:color w:val="1F2937"/>
          <w:sz w:val="20"/>
        </w:rPr>
        <w:t>attribution guard proves the post is the athlete's, not that it mentions the</w:t>
      </w:r>
    </w:p>
    <w:p>
      <w:pPr>
        <w:pStyle w:val="ListBullet"/>
        <w:spacing w:after="60" w:line="264" w:lineRule="auto"/>
        <w:ind w:left="624"/>
      </w:pPr>
      <w:r>
        <w:rPr>
          <w:b w:val="0"/>
          <w:color w:val="1F2937"/>
          <w:sz w:val="20"/>
        </w:rPr>
        <w:t>brand. Verifying that needs the disclosure tag or a campaign hashtag matched</w:t>
      </w:r>
    </w:p>
    <w:p>
      <w:pPr>
        <w:pStyle w:val="ListBullet"/>
        <w:spacing w:after="60" w:line="264" w:lineRule="auto"/>
        <w:ind w:left="624"/>
      </w:pPr>
      <w:r>
        <w:rPr>
          <w:b w:val="0"/>
          <w:color w:val="1F2937"/>
          <w:sz w:val="20"/>
        </w:rPr>
        <w:t>against post text —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w:t>
      </w:r>
    </w:p>
    <w:p>
      <w:pPr>
        <w:pStyle w:val="ListBullet"/>
        <w:spacing w:after="60" w:line="264" w:lineRule="auto"/>
        <w:ind w:left="624"/>
      </w:pPr>
      <w:r>
        <w:rPr>
          <w:b w:val="0"/>
          <w:color w:val="1F2937"/>
          <w:sz w:val="20"/>
        </w:rPr>
        <w:t>wants a campaign roll-up, which is a query over the same table.</w:t>
      </w:r>
    </w:p>
    <w:p>
      <w:pPr>
        <w:spacing w:after="120" w:before="0"/>
      </w:pPr>
    </w:p>
    <w:p>
      <w:pPr>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xml:space="preserve"> —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 only the deadline is uncertain.</w:t>
      </w:r>
    </w:p>
    <w:p>
      <w:pPr>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xml:space="preserve"> —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p>
    <w:p>
      <w:pPr>
        <w:pStyle w:val="ListBullet"/>
        <w:spacing w:after="60" w:line="264" w:lineRule="auto"/>
        <w:ind w:left="624"/>
      </w:pPr>
      <w:r>
        <w:rPr>
          <w:b w:val="0"/>
          <w:color w:val="1F2937"/>
          <w:sz w:val="20"/>
        </w:rPr>
        <w:t xml:space="preserve">stays: </w:t>
      </w:r>
      <w:r>
        <w:rPr>
          <w:b/>
          <w:color w:val="1F2937"/>
          <w:sz w:val="20"/>
        </w:rPr>
        <w:t>the first partner should be over 18</w:t>
      </w:r>
      <w:r>
        <w:rPr>
          <w:b w:val="0"/>
          <w:color w:val="1F2937"/>
          <w:sz w:val="20"/>
        </w:rPr>
        <w:t>, because the pre-seed gate tests</w:t>
      </w:r>
    </w:p>
    <w:p>
      <w:pPr>
        <w:pStyle w:val="ListBullet"/>
        <w:spacing w:after="60" w:line="264" w:lineRule="auto"/>
        <w:ind w:left="624"/>
      </w:pPr>
      <w:r>
        <w:rPr>
          <w:b w:val="0"/>
          <w:color w:val="1F2937"/>
          <w:sz w:val="20"/>
        </w:rPr>
        <w:t>fan subscriptions and that surface is 18+ in v1.</w:t>
      </w:r>
    </w:p>
    <w:p>
      <w:pPr>
        <w:pStyle w:val="ListBullet"/>
        <w:spacing w:after="60" w:line="264" w:lineRule="auto"/>
        <w:ind w:left="340"/>
      </w:pPr>
      <w:r>
        <w:rPr>
          <w:b w:val="0"/>
          <w:color w:val="1F2937"/>
          <w:sz w:val="20"/>
        </w:rPr>
        <w:t>Under-18 athletes are still worth onboarding from day one. They build the</w:t>
      </w:r>
    </w:p>
    <w:p>
      <w:pPr>
        <w:pStyle w:val="ListBullet"/>
        <w:spacing w:after="60" w:line="264" w:lineRule="auto"/>
        <w:ind w:left="624"/>
      </w:pPr>
      <w:r>
        <w:rPr>
          <w:b w:val="0"/>
          <w:color w:val="1F2937"/>
          <w:sz w:val="20"/>
        </w:rPr>
        <w:t>analytics pool, they attract sponsors, and they convert to fan monetisation</w:t>
      </w:r>
    </w:p>
    <w:p>
      <w:pPr>
        <w:pStyle w:val="ListBullet"/>
        <w:spacing w:after="60" w:line="264" w:lineRule="auto"/>
        <w:ind w:left="624"/>
      </w:pPr>
      <w:r>
        <w:rPr>
          <w:b w:val="0"/>
          <w:color w:val="1F2937"/>
          <w:sz w:val="20"/>
        </w:rPr>
        <w:t>automatically on their eighteenth birthday. **The cohort is an asset that</w:t>
      </w:r>
    </w:p>
    <w:p>
      <w:pPr>
        <w:pStyle w:val="ListBullet"/>
        <w:spacing w:after="60" w:line="264" w:lineRule="auto"/>
        <w:ind w:left="624"/>
      </w:pPr>
      <w:r>
        <w:rPr>
          <w:b w:val="0"/>
          <w:color w:val="1F2937"/>
          <w:sz w:val="20"/>
        </w:rPr>
        <w:t>matures on a known date.**</w:t>
      </w:r>
    </w:p>
    <w:p>
      <w:pPr>
        <w:spacing w:after="120" w:before="0"/>
      </w:pPr>
    </w:p>
    <w:p>
      <w:pPr>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xml:space="preserve"> —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r>
              <w:rPr>
                <w:b w:val="0"/>
                <w:color w:val="1F2937"/>
                <w:sz w:val="17"/>
              </w:rPr>
              <w:t>—</w:t>
            </w:r>
          </w:p>
        </w:tc>
      </w:tr>
      <w:tr>
        <w:tc>
          <w:tcPr>
            <w:tcW w:type="dxa" w:w="2268"/>
          </w:tcPr>
          <w:p>
            <w:pPr>
              <w:spacing w:after="40" w:before="40"/>
            </w:pPr>
            <w:r/>
            <w:r>
              <w:rPr>
                <w:b/>
                <w:color w:val="1F2937"/>
                <w:sz w:val="17"/>
              </w:rPr>
              <w:t>P1</w:t>
            </w:r>
            <w:r>
              <w:rPr>
                <w:b w:val="0"/>
                <w:color w:val="1F2937"/>
                <w:sz w:val="17"/>
              </w:rPr>
              <w:t xml:space="preserve"> —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xml:space="preserve"> —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xml:space="preserve"> —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xml:space="preserve"> —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 one the product already supports today.</w:t>
      </w:r>
    </w:p>
    <w:p>
      <w:r>
        <w:br w:type="page"/>
      </w:r>
    </w:p>
    <w:p>
      <w:pPr>
        <w:keepNext/>
        <w:spacing w:before="320" w:after="100"/>
        <w:pBdr>
          <w:bottom w:val="single" w:sz="6" w:space="8" w:color="D1D5DB"/>
        </w:pBdr>
      </w:pPr>
      <w:r>
        <w:rPr>
          <w:b/>
          <w:color w:val="1F2937"/>
          <w:sz w:val="32"/>
        </w:rPr>
        <w:t>Appendix F — 06 —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xml:space="preserve"> —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xml:space="preserve"> — keep more, matched on evidence</w:t>
            </w:r>
          </w:p>
        </w:tc>
        <w:tc>
          <w:tcPr>
            <w:tcW w:type="dxa" w:w="3024"/>
          </w:tcPr>
          <w:p>
            <w:pPr>
              <w:spacing w:after="40" w:before="40"/>
            </w:pPr>
            <w:r/>
            <w:r>
              <w:rPr>
                <w:b/>
                <w:color w:val="1F2937"/>
                <w:sz w:val="17"/>
              </w:rPr>
              <w:t>Market creation</w:t>
            </w:r>
            <w:r>
              <w:rPr>
                <w:b w:val="0"/>
                <w:color w:val="1F2937"/>
                <w:sz w:val="17"/>
              </w:rPr>
              <w:t xml:space="preserve"> —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 must beat an incumbent relationship</w:t>
            </w:r>
          </w:p>
        </w:tc>
        <w:tc>
          <w:tcPr>
            <w:tcW w:type="dxa" w:w="3024"/>
          </w:tcPr>
          <w:p>
            <w:pPr>
              <w:spacing w:after="40" w:before="40"/>
            </w:pPr>
            <w:r/>
            <w:r>
              <w:rPr>
                <w:b/>
                <w:color w:val="1F2937"/>
                <w:sz w:val="17"/>
              </w:rPr>
              <w:t>Lower</w:t>
            </w:r>
            <w:r>
              <w:rPr>
                <w:b w:val="0"/>
                <w:color w:val="1F2937"/>
                <w:sz w:val="17"/>
              </w:rPr>
              <w:t xml:space="preserve"> —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 but no one else is competing for it</w:t>
            </w:r>
          </w:p>
        </w:tc>
      </w:tr>
    </w:tbl>
    <w:p>
      <w:pPr>
        <w:spacing w:after="160" w:before="0"/>
      </w:pPr>
    </w:p>
    <w:p>
      <w:pPr>
        <w:spacing w:after="120" w:before="0"/>
      </w:pPr>
    </w:p>
    <w:p>
      <w:pPr>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xml:space="preserve"> — success with a famous athlete proves only that fame monetises, which nobody doubted and which does not generalise to the long tail the model is built on.</w:t>
      </w:r>
    </w:p>
    <w:p>
      <w:pPr>
        <w:spacing w:after="120" w:before="0"/>
      </w:pPr>
    </w:p>
    <w:p>
      <w:pPr>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 one segment, cheap CAC</w:t>
            </w:r>
          </w:p>
        </w:tc>
        <w:tc>
          <w:tcPr>
            <w:tcW w:type="dxa" w:w="3024"/>
          </w:tcPr>
          <w:p>
            <w:pPr>
              <w:spacing w:after="40" w:before="40"/>
            </w:pPr>
            <w:r/>
            <w:r>
              <w:rPr>
                <w:b w:val="0"/>
                <w:color w:val="1F2937"/>
                <w:sz w:val="17"/>
              </w:rPr>
              <w:t>Large —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 audience, consistency, professionalism, willingness to publish —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keepNext/>
        <w:spacing w:before="320" w:after="100"/>
        <w:pBdr>
          <w:bottom w:val="single" w:sz="6" w:space="8" w:color="D1D5DB"/>
        </w:pBdr>
      </w:pPr>
      <w:r>
        <w:rPr>
          <w:b/>
          <w:color w:val="1F2937"/>
          <w:sz w:val="32"/>
        </w:rPr>
        <w:t>Appendix G — 07 — Decisions &amp; Open Questions</w:t>
      </w:r>
    </w:p>
    <w:p>
      <w:pPr>
        <w:spacing w:after="120" w:before="0"/>
      </w:pPr>
    </w:p>
    <w:p>
      <w:pPr>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w:t>
      </w:r>
    </w:p>
    <w:p>
      <w:pPr>
        <w:pStyle w:val="ListBullet"/>
        <w:spacing w:after="60" w:line="264" w:lineRule="auto"/>
        <w:ind w:left="624"/>
      </w:pPr>
      <w:r>
        <w:rPr>
          <w:b w:val="0"/>
          <w:color w:val="1F2937"/>
          <w:sz w:val="20"/>
        </w:rPr>
        <w:t>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w:t>
      </w:r>
    </w:p>
    <w:p>
      <w:pPr>
        <w:pStyle w:val="ListBullet"/>
        <w:spacing w:after="60" w:line="264" w:lineRule="auto"/>
        <w:ind w:left="624"/>
      </w:pPr>
      <w:r>
        <w:rPr>
          <w:b w:val="0"/>
          <w:color w:val="1F2937"/>
          <w:sz w:val="20"/>
        </w:rPr>
        <w:t>first year or two. Bought: distance from the risk that has produced litigation</w:t>
      </w:r>
    </w:p>
    <w:p>
      <w:pPr>
        <w:pStyle w:val="ListBullet"/>
        <w:spacing w:after="60" w:line="264" w:lineRule="auto"/>
        <w:ind w:left="624"/>
      </w:pPr>
      <w:r>
        <w:rPr>
          <w:b w:val="0"/>
          <w:color w:val="1F2937"/>
          <w:sz w:val="20"/>
        </w:rPr>
        <w:t>against creator platforms. The cohort still builds the analytics pool and</w:t>
      </w:r>
    </w:p>
    <w:p>
      <w:pPr>
        <w:pStyle w:val="ListBullet"/>
        <w:spacing w:after="60" w:line="264" w:lineRule="auto"/>
        <w:ind w:left="624"/>
      </w:pPr>
      <w:r>
        <w:rPr>
          <w:b w:val="0"/>
          <w:color w:val="1F2937"/>
          <w:sz w:val="20"/>
        </w:rPr>
        <w:t>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w:t>
      </w:r>
    </w:p>
    <w:p>
      <w:pPr>
        <w:pStyle w:val="ListBullet"/>
        <w:spacing w:after="60" w:line="264" w:lineRule="auto"/>
        <w:ind w:left="624"/>
      </w:pPr>
      <w:r>
        <w:rPr>
          <w:b w:val="0"/>
          <w:color w:val="1F2937"/>
          <w:sz w:val="20"/>
        </w:rPr>
        <w:t>upward, and no incumbent fighting back while the model is still fragile.</w:t>
      </w:r>
    </w:p>
    <w:p>
      <w:pPr>
        <w:spacing w:after="120" w:before="0"/>
      </w:pPr>
    </w:p>
    <w:p>
      <w:pPr>
        <w:keepNext/>
        <w:spacing w:before="320" w:after="100"/>
      </w:pPr>
      <w:r>
        <w:rPr>
          <w:b/>
          <w:color w:val="1F2937"/>
          <w:sz w:val="25"/>
        </w:rPr>
        <w:t>Still open</w:t>
      </w:r>
    </w:p>
    <w:p>
      <w:pPr>
        <w:keepNext/>
        <w:spacing w:before="200" w:after="100"/>
      </w:pPr>
      <w:r>
        <w:rPr>
          <w:b/>
          <w:color w:val="6B7280"/>
          <w:sz w:val="22"/>
        </w:rPr>
        <w:t>A2 —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 and a monthly athlete fee is precisely the Passes mistake we are pricing against. </w:t>
      </w:r>
      <w:r>
        <w:rPr>
          <w:b/>
          <w:color w:val="1F2937"/>
          <w:sz w:val="20"/>
        </w:rPr>
        <w:t>This is close to settled; flag it if you disagree.</w:t>
      </w:r>
    </w:p>
    <w:p>
      <w:pPr>
        <w:keepNext/>
        <w:spacing w:before="200" w:after="100"/>
      </w:pPr>
      <w:r>
        <w:rPr>
          <w:b/>
          <w:color w:val="6B7280"/>
          <w:sz w:val="22"/>
        </w:rPr>
        <w:t>A3 — Minimum tier price and annual billing</w:t>
      </w:r>
    </w:p>
    <w:p>
      <w:pPr>
        <w:spacing w:after="140" w:line="276" w:lineRule="auto"/>
        <w:jc w:val="both"/>
      </w:pPr>
      <w:r>
        <w:rPr>
          <w:b w:val="0"/>
          <w:color w:val="1F2937"/>
          <w:sz w:val="20"/>
        </w:rPr>
        <w:t>€4.99 retains 54% of our take after payment costs; €9.99 retains 71%; a €89 season pass retains 85%.</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keepNext/>
        <w:spacing w:before="200" w:after="100"/>
      </w:pPr>
      <w:r>
        <w:rPr>
          <w:b/>
          <w:color w:val="6B7280"/>
          <w:sz w:val="22"/>
        </w:rPr>
        <w:t>B1 —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 </w:t>
      </w:r>
      <w:r>
        <w:rPr>
          <w:b w:val="0"/>
          <w:i/>
          <w:color w:val="1F2937"/>
          <w:sz w:val="20"/>
        </w:rPr>
        <w:t>will fans pay?</w:t>
      </w:r>
      <w:r>
        <w:rPr>
          <w:b w:val="0"/>
          <w:color w:val="1F2937"/>
          <w:sz w:val="20"/>
        </w:rPr>
        <w:t xml:space="preserve"> — without a transcoding pipeline, a CDN decision, or video's moderation exposure. Commit to video only once P1 has three months of churn data. See </w:t>
      </w:r>
      <w:r>
        <w:rPr>
          <w:b w:val="0"/>
          <w:color w:val="1F2937"/>
          <w:sz w:val="20"/>
        </w:rPr>
        <w:t>05</w:t>
      </w:r>
      <w:r>
        <w:rPr>
          <w:b w:val="0"/>
          <w:color w:val="1F2937"/>
          <w:sz w:val="20"/>
        </w:rPr>
        <w:t>.</w:t>
      </w:r>
    </w:p>
    <w:p>
      <w:pPr>
        <w:keepNext/>
        <w:spacing w:before="200" w:after="100"/>
      </w:pPr>
      <w:r>
        <w:rPr>
          <w:b/>
          <w:color w:val="6B7280"/>
          <w:sz w:val="22"/>
        </w:rPr>
        <w:t>B3 —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 which makes this decision load-bearing for </w:t>
      </w:r>
      <w:r>
        <w:rPr>
          <w:b w:val="0"/>
          <w:color w:val="1F2937"/>
          <w:sz w:val="20"/>
        </w:rPr>
        <w:t>06</w:t>
      </w:r>
      <w:r>
        <w:rPr>
          <w:b w:val="0"/>
          <w:color w:val="1F2937"/>
          <w:sz w:val="20"/>
        </w:rPr>
        <w:t>, not just for revenue.</w:t>
      </w:r>
    </w:p>
    <w:p>
      <w:pPr>
        <w:keepNext/>
        <w:spacing w:before="200" w:after="100"/>
      </w:pPr>
      <w:r>
        <w:rPr>
          <w:b/>
          <w:color w:val="6B7280"/>
          <w:sz w:val="22"/>
        </w:rPr>
        <w:t>C1 —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keepNext/>
        <w:spacing w:before="200" w:after="100"/>
      </w:pPr>
      <w:r>
        <w:rPr>
          <w:b/>
          <w:color w:val="6B7280"/>
          <w:sz w:val="22"/>
        </w:rPr>
        <w:t>C3 —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keepNext/>
        <w:spacing w:before="200" w:after="100"/>
      </w:pPr>
      <w:r>
        <w:rPr>
          <w:b/>
          <w:color w:val="6B7280"/>
          <w:sz w:val="22"/>
        </w:rPr>
        <w:t>C4 —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xml:space="preserve"> — an agent still negotiates, we just make the introduction on evidence instead of on their contact list.</w:t>
      </w:r>
    </w:p>
    <w:p>
      <w:pPr>
        <w:keepNext/>
        <w:spacing w:before="200" w:after="100"/>
      </w:pPr>
      <w:r>
        <w:rPr>
          <w:b/>
          <w:color w:val="6B7280"/>
          <w:sz w:val="22"/>
        </w:rPr>
        <w:t>D1 — Raise €649k, or the €2.6M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keepNext/>
        <w:spacing w:before="200" w:after="100"/>
      </w:pPr>
      <w:r>
        <w:rPr>
          <w:b/>
          <w:color w:val="6B7280"/>
          <w:sz w:val="22"/>
        </w:rPr>
        <w:t>D2 — Founder salary in Y1?</w:t>
      </w:r>
    </w:p>
    <w:p>
      <w:pPr>
        <w:spacing w:after="140" w:line="276" w:lineRule="auto"/>
        <w:jc w:val="both"/>
      </w:pPr>
      <w:r>
        <w:rPr>
          <w:b w:val="0"/>
          <w:color w:val="1F2937"/>
          <w:sz w:val="20"/>
        </w:rPr>
        <w:t xml:space="preserve">The model assumes unpaid Y1 — €50k of forgone earnings. Given the plan's modest capital need, €24k of Y1 salary changes little in the model and quite a lot in sustainability. </w:t>
      </w:r>
      <w:r>
        <w:rPr>
          <w:b/>
          <w:color w:val="1F2937"/>
          <w:sz w:val="20"/>
        </w:rPr>
        <w:t>Worth deciding deliberately rather than by default.</w:t>
      </w:r>
    </w:p>
    <w:p>
      <w:pPr>
        <w:keepNext/>
        <w:spacing w:before="200" w:after="100"/>
      </w:pPr>
      <w:r>
        <w:rPr>
          <w:b/>
          <w:color w:val="6B7280"/>
          <w:sz w:val="22"/>
        </w:rPr>
        <w:t>D3 — Which valuation do we present?</w:t>
      </w:r>
    </w:p>
    <w:p>
      <w:pPr>
        <w:spacing w:after="140" w:line="276" w:lineRule="auto"/>
        <w:jc w:val="both"/>
      </w:pPr>
      <w:r>
        <w:rPr>
          <w:b/>
          <w:color w:val="1F2937"/>
          <w:sz w:val="20"/>
        </w:rPr>
        <w:t>Recommendation: lead with the exit multiple discounted back (€11–25M), present the DCF (€8.4M)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keepNext/>
        <w:spacing w:before="320" w:after="100"/>
      </w:pPr>
      <w:r>
        <w:rPr>
          <w:b/>
          <w:color w:val="1F2937"/>
          <w:sz w:val="25"/>
        </w:rPr>
        <w:t>New questions raised by the decisions just made</w:t>
      </w:r>
    </w:p>
    <w:p>
      <w:pPr>
        <w:keepNext/>
        <w:spacing w:before="200" w:after="100"/>
      </w:pPr>
      <w:r>
        <w:rPr>
          <w:b/>
          <w:color w:val="6B7280"/>
          <w:sz w:val="22"/>
        </w:rPr>
        <w:t>F1 —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keepNext/>
        <w:spacing w:before="200" w:after="100"/>
      </w:pPr>
      <w:r>
        <w:rPr>
          <w:b/>
          <w:color w:val="6B7280"/>
          <w:sz w:val="22"/>
        </w:rPr>
        <w:t>F2 —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keepNext/>
        <w:spacing w:before="200" w:after="100"/>
      </w:pPr>
      <w:r>
        <w:rPr>
          <w:b/>
          <w:color w:val="6B7280"/>
          <w:sz w:val="22"/>
        </w:rPr>
        <w:t xml:space="preserve">F3 —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keepNext/>
        <w:spacing w:before="200" w:after="100"/>
      </w:pPr>
      <w:r>
        <w:rPr>
          <w:b/>
          <w:color w:val="6B7280"/>
          <w:sz w:val="22"/>
        </w:rPr>
        <w:t>F4 —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 it is a genuine floor under the downside, and few pre-seed companies have one.</w:t>
      </w:r>
    </w:p>
    <w:p>
      <w:r>
        <w:br w:type="page"/>
      </w:r>
    </w:p>
    <w:p>
      <w:pPr>
        <w:keepNext/>
        <w:spacing w:before="320" w:after="100"/>
        <w:pBdr>
          <w:bottom w:val="single" w:sz="6" w:space="8" w:color="D1D5DB"/>
        </w:pBdr>
      </w:pPr>
      <w:r>
        <w:rPr>
          <w:b/>
          <w:color w:val="1F2937"/>
          <w:sz w:val="32"/>
        </w:rPr>
        <w:t>Appendix H — 08 — Sport Opportunity Index</w:t>
      </w:r>
    </w:p>
    <w:p>
      <w:pPr>
        <w:spacing w:after="140" w:line="276" w:lineRule="auto"/>
        <w:jc w:val="both"/>
      </w:pPr>
      <w:r>
        <w:rPr>
          <w:b/>
          <w:color w:val="1F2937"/>
          <w:sz w:val="20"/>
        </w:rPr>
        <w:t>714 country × sport pairs</w:t>
      </w:r>
      <w:r>
        <w:rPr>
          <w:b w:val="0"/>
          <w:color w:val="1F2937"/>
          <w:sz w:val="20"/>
        </w:rPr>
        <w:t xml:space="preserve"> —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 audience, consistency, professionalism, willingness to publish — and their sport is one input among those. What the index does is tell us, and them, how to read their numbers.</w:t>
      </w:r>
    </w:p>
    <w:p>
      <w:pPr>
        <w:spacing w:after="120" w:before="0"/>
      </w:pPr>
    </w:p>
    <w:p>
      <w:pPr>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 no hand-tuned ceilings.</w:t>
      </w:r>
    </w:p>
    <w:p>
      <w:pPr>
        <w:spacing w:after="120" w:before="0"/>
      </w:pPr>
    </w:p>
    <w:p>
      <w:pPr>
        <w:keepNext/>
        <w:spacing w:before="320" w:after="100"/>
      </w:pPr>
      <w:r>
        <w:rPr>
          <w:b/>
          <w:color w:val="1F2937"/>
          <w:sz w:val="25"/>
        </w:rPr>
        <w:t>Results</w:t>
      </w:r>
    </w:p>
    <w:p>
      <w:pPr>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 which is where intuition put them, now derived rather than asserted.</w:t>
      </w:r>
    </w:p>
    <w:p>
      <w:pPr>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keepNext/>
        <w:spacing w:before="320" w:after="100"/>
      </w:pPr>
      <w:r>
        <w:rPr>
          <w:b/>
          <w:color w:val="1F2937"/>
          <w:sz w:val="25"/>
        </w:rPr>
        <w:t>Three product uses</w:t>
      </w:r>
    </w:p>
    <w:p>
      <w:pPr>
        <w:keepNext/>
        <w:spacing w:before="200" w:after="100"/>
      </w:pPr>
      <w:r>
        <w:rPr>
          <w:b/>
          <w:color w:val="6B7280"/>
          <w:sz w:val="22"/>
        </w:rPr>
        <w:t>1. Athletes — content guidance</w:t>
      </w:r>
    </w:p>
    <w:p>
      <w:pPr>
        <w:spacing w:after="140" w:line="276" w:lineRule="auto"/>
        <w:jc w:val="both"/>
      </w:pPr>
      <w:r>
        <w:rPr>
          <w:b w:val="0"/>
          <w:color w:val="1F2937"/>
          <w:sz w:val="20"/>
        </w:rPr>
        <w:t xml:space="preserve">The athlete sees their audience type and what converts for it. Not "your sport is niche" — that is a positioning risk and tells them nothing useful —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keepNext/>
        <w:spacing w:before="200" w:after="100"/>
      </w:pPr>
      <w:r>
        <w:rPr>
          <w:b/>
          <w:color w:val="6B7280"/>
          <w:sz w:val="22"/>
        </w:rPr>
        <w:t>2. Sponsors —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keepNext/>
        <w:spacing w:before="200" w:after="100"/>
      </w:pPr>
      <w:r>
        <w:rPr>
          <w:b/>
          <w:color w:val="6B7280"/>
          <w:sz w:val="22"/>
        </w:rPr>
        <w:t>3. The scoring engine —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pPr>
        <w:spacing w:after="120" w:before="0"/>
      </w:pPr>
    </w:p>
    <w:p>
      <w:pPr>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xml:space="preserve"> — which is also why the index is defensible as a moat rather than a spreadsheet anyone could copy.</w:t>
      </w:r>
    </w:p>
    <w:p>
      <w:pPr>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w:t>
      </w:r>
    </w:p>
    <w:p>
      <w:pPr>
        <w:pStyle w:val="ListBullet"/>
        <w:spacing w:after="60" w:line="264" w:lineRule="auto"/>
        <w:ind w:left="624"/>
      </w:pPr>
      <w:r>
        <w:rPr>
          <w:b w:val="0"/>
          <w:color w:val="1F2937"/>
          <w:sz w:val="20"/>
        </w:rPr>
        <w:t>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w:t>
      </w:r>
    </w:p>
    <w:p>
      <w:pPr>
        <w:pStyle w:val="ListBullet"/>
        <w:spacing w:after="60" w:line="264" w:lineRule="auto"/>
        <w:ind w:left="624"/>
      </w:pPr>
      <w:r>
        <w:rPr>
          <w:rFonts w:ascii="Consolas" w:hAnsi="Consolas"/>
          <w:b w:val="0"/>
          <w:color w:val="1F2937"/>
          <w:sz w:val="18"/>
        </w:rPr>
        <w:t>appetite</w:t>
      </w:r>
      <w:r>
        <w:rPr>
          <w:b w:val="0"/>
          <w:color w:val="1F2937"/>
          <w:sz w:val="20"/>
        </w:rPr>
        <w:t xml:space="preserve"> — the signal the whole content-guidance feature rests on. First</w:t>
      </w:r>
    </w:p>
    <w:p>
      <w:pPr>
        <w:pStyle w:val="ListBullet"/>
        <w:spacing w:after="60" w:line="264" w:lineRule="auto"/>
        <w:ind w:left="624"/>
      </w:pPr>
      <w:r>
        <w:rPr>
          <w:b w:val="0"/>
          <w:color w:val="1F2937"/>
          <w:sz w:val="20"/>
        </w:rPr>
        <w:t>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w:t>
      </w:r>
    </w:p>
    <w:p>
      <w:pPr>
        <w:pStyle w:val="ListBullet"/>
        <w:spacing w:after="60" w:line="264" w:lineRule="auto"/>
        <w:ind w:left="624"/>
      </w:pPr>
      <w:r>
        <w:rPr>
          <w:b w:val="0"/>
          <w:color w:val="1F2937"/>
          <w:sz w:val="20"/>
        </w:rPr>
        <w:t>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w:t>
      </w:r>
    </w:p>
    <w:p>
      <w:pPr>
        <w:pStyle w:val="ListBullet"/>
        <w:spacing w:after="60" w:line="264" w:lineRule="auto"/>
        <w:ind w:left="624"/>
      </w:pPr>
      <w:r>
        <w:rPr>
          <w:b w:val="0"/>
          <w:color w:val="1F2937"/>
          <w:sz w:val="20"/>
        </w:rPr>
        <w:t>heaviest single weight (0.25) alongside supply.</w:t>
      </w:r>
    </w:p>
    <w:p>
      <w:r>
        <w:br w:type="page"/>
      </w:r>
    </w:p>
    <w:p>
      <w:pPr>
        <w:keepNext/>
        <w:spacing w:before="320" w:after="100"/>
        <w:pBdr>
          <w:bottom w:val="single" w:sz="6" w:space="8" w:color="D1D5DB"/>
        </w:pBdr>
      </w:pPr>
      <w:r>
        <w:rPr>
          <w:b/>
          <w:color w:val="1F2937"/>
          <w:sz w:val="32"/>
        </w:rPr>
        <w:t>Appendix I — 09 — Analytics Strategy</w:t>
      </w:r>
    </w:p>
    <w:p>
      <w:pPr>
        <w:spacing w:after="140" w:line="276" w:lineRule="auto"/>
        <w:jc w:val="both"/>
      </w:pPr>
      <w:r>
        <w:rPr>
          <w:b/>
          <w:color w:val="1F2937"/>
          <w:sz w:val="20"/>
        </w:rPr>
        <w:t>Yes, phase it —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keepNext/>
        <w:spacing w:before="200" w:after="100"/>
      </w:pPr>
      <w:r>
        <w:rPr>
          <w:b/>
          <w:color w:val="6B7280"/>
          <w:sz w:val="22"/>
        </w:rPr>
        <w:t>Phase 0 —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keepNext/>
        <w:spacing w:before="200" w:after="100"/>
      </w:pPr>
      <w:r>
        <w:rPr>
          <w:b/>
          <w:color w:val="6B7280"/>
          <w:sz w:val="22"/>
        </w:rPr>
        <w:t>Phase 1 — Observed data (pre-seed → seed)</w:t>
      </w:r>
    </w:p>
    <w:p>
      <w:pPr>
        <w:spacing w:after="140" w:line="276" w:lineRule="auto"/>
        <w:jc w:val="both"/>
      </w:pPr>
      <w:r>
        <w:rPr>
          <w:b w:val="0"/>
          <w:color w:val="1F2937"/>
          <w:sz w:val="20"/>
        </w:rPr>
        <w:t>Once connectors are live, Stride measures what it currently estimates. The fandom layer of the sport index — its weakest input —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keepNext/>
        <w:spacing w:before="200" w:after="100"/>
      </w:pPr>
      <w:r>
        <w:rPr>
          <w:b/>
          <w:color w:val="6B7280"/>
          <w:sz w:val="22"/>
        </w:rPr>
        <w:t>Phase 2 —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w:t>
      </w:r>
    </w:p>
    <w:p>
      <w:pPr>
        <w:pStyle w:val="ListBullet"/>
        <w:spacing w:after="60" w:line="264" w:lineRule="auto"/>
        <w:ind w:left="624"/>
      </w:pPr>
      <w:r>
        <w:rPr>
          <w:b w:val="0"/>
          <w:color w:val="1F2937"/>
          <w:sz w:val="20"/>
        </w:rPr>
        <w:t>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keepNext/>
        <w:spacing w:before="200" w:after="100"/>
      </w:pPr>
      <w:r>
        <w:rPr>
          <w:b/>
          <w:color w:val="6B7280"/>
          <w:sz w:val="22"/>
        </w:rPr>
        <w:t>Phase 3 —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 revenue stream 8 in </w:t>
      </w:r>
      <w:r>
        <w:rPr>
          <w:b w:val="0"/>
          <w:color w:val="1F2937"/>
          <w:sz w:val="20"/>
        </w:rPr>
        <w:t>01</w:t>
      </w:r>
      <w:r>
        <w:rPr>
          <w:b w:val="0"/>
          <w:color w:val="1F2937"/>
          <w:sz w:val="20"/>
        </w:rPr>
        <w:t>, deliberately excluded from the base model so the plan never depended on it.</w:t>
      </w:r>
    </w:p>
    <w:p>
      <w:pPr>
        <w:spacing w:after="120" w:before="0"/>
      </w:pPr>
    </w:p>
    <w:p>
      <w:pPr>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xml:space="preserve"> —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xml:space="preserve"> — which is the most durable competitive argument in this plan, and it accrues automatically as long as the events are being written.</w:t>
      </w:r>
    </w:p>
    <w:p>
      <w:r>
        <w:br w:type="page"/>
      </w:r>
    </w:p>
    <w:p>
      <w:pPr>
        <w:keepNext/>
        <w:spacing w:before="320" w:after="100"/>
        <w:pBdr>
          <w:bottom w:val="single" w:sz="6" w:space="8" w:color="D1D5DB"/>
        </w:pBdr>
      </w:pPr>
      <w:r>
        <w:rPr>
          <w:b/>
          <w:color w:val="1F2937"/>
          <w:sz w:val="32"/>
        </w:rPr>
        <w:t>Appendix J — 10 —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xml:space="preserve"> —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xml:space="preserve"> —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w:t>
      </w:r>
    </w:p>
    <w:p>
      <w:pPr>
        <w:pStyle w:val="ListBullet"/>
        <w:spacing w:after="60" w:line="264" w:lineRule="auto"/>
        <w:ind w:left="624"/>
      </w:pPr>
      <w:r>
        <w:rPr>
          <w:b w:val="0"/>
          <w:color w:val="1F2937"/>
          <w:sz w:val="20"/>
        </w:rPr>
        <w:t xml:space="preserve">with "identify, activate and </w:t>
      </w:r>
      <w:r>
        <w:rPr>
          <w:b/>
          <w:color w:val="1F2937"/>
          <w:sz w:val="20"/>
        </w:rPr>
        <w:t>measure</w:t>
      </w:r>
      <w:r>
        <w:rPr>
          <w:b w:val="0"/>
          <w:color w:val="1F2937"/>
          <w:sz w:val="20"/>
        </w:rPr>
        <w:t>" and "one unified measurement</w:t>
      </w:r>
    </w:p>
    <w:p>
      <w:pPr>
        <w:pStyle w:val="ListBullet"/>
        <w:spacing w:after="60" w:line="264" w:lineRule="auto"/>
        <w:ind w:left="624"/>
      </w:pPr>
      <w:r>
        <w:rPr>
          <w:b w:val="0"/>
          <w:color w:val="1F2937"/>
          <w:sz w:val="20"/>
        </w:rPr>
        <w:t>framework". That is Stride's entire sponsor-side thesis, now being sold by a</w:t>
      </w:r>
    </w:p>
    <w:p>
      <w:pPr>
        <w:pStyle w:val="ListBullet"/>
        <w:spacing w:after="60" w:line="264" w:lineRule="auto"/>
        <w:ind w:left="624"/>
      </w:pPr>
      <w:r>
        <w:rPr>
          <w:b w:val="0"/>
          <w:color w:val="1F2937"/>
          <w:sz w:val="20"/>
        </w:rPr>
        <w:t>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w:t>
      </w:r>
    </w:p>
    <w:p>
      <w:pPr>
        <w:pStyle w:val="ListBullet"/>
        <w:spacing w:after="60" w:line="264" w:lineRule="auto"/>
        <w:ind w:left="624"/>
      </w:pPr>
      <w:r>
        <w:rPr>
          <w:b w:val="0"/>
          <w:color w:val="1F2937"/>
          <w:sz w:val="20"/>
        </w:rPr>
        <w:t>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w:t>
      </w:r>
    </w:p>
    <w:p>
      <w:pPr>
        <w:pStyle w:val="ListBullet"/>
        <w:spacing w:after="60" w:line="264" w:lineRule="auto"/>
        <w:ind w:left="624"/>
      </w:pPr>
      <w:r>
        <w:rPr>
          <w:b w:val="0"/>
          <w:color w:val="1F2937"/>
          <w:sz w:val="20"/>
        </w:rPr>
        <w:t>development, transparent deal terms —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w:t>
      </w:r>
    </w:p>
    <w:p>
      <w:pPr>
        <w:pStyle w:val="ListBullet"/>
        <w:spacing w:after="60" w:line="264" w:lineRule="auto"/>
        <w:ind w:left="624"/>
      </w:pPr>
      <w:r>
        <w:rPr>
          <w:b w:val="0"/>
          <w:color w:val="1F2937"/>
          <w:sz w:val="20"/>
        </w:rPr>
        <w:t>brings universities and conferences, not individual athletes.</w:t>
      </w:r>
    </w:p>
    <w:p>
      <w:pPr>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xml:space="preserve"> — which is exactly why they are useful as validation rather than threatening as competition.</w:t>
      </w:r>
    </w:p>
    <w:p>
      <w:pPr>
        <w:spacing w:after="120" w:before="0"/>
      </w:pPr>
    </w:p>
    <w:p>
      <w:pPr>
        <w:keepNext/>
        <w:spacing w:before="320" w:after="100"/>
      </w:pPr>
      <w:r>
        <w:rPr>
          <w:b/>
          <w:color w:val="1F2937"/>
          <w:sz w:val="25"/>
        </w:rPr>
        <w:t>What Stride should take from this</w:t>
      </w:r>
    </w:p>
    <w:p>
      <w:pPr>
        <w:keepNext/>
        <w:spacing w:before="200" w:after="100"/>
      </w:pPr>
      <w:r>
        <w:rPr>
          <w:b/>
          <w:color w:val="6B7280"/>
          <w:sz w:val="22"/>
        </w:rPr>
        <w:t>1. Build measurement. This was the real gap. —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w:t>
      </w:r>
    </w:p>
    <w:p>
      <w:pPr>
        <w:pStyle w:val="ListBullet"/>
        <w:spacing w:after="60" w:line="264" w:lineRule="auto"/>
        <w:ind w:left="624"/>
      </w:pPr>
      <w:r>
        <w:rPr>
          <w:b w:val="0"/>
          <w:color w:val="1F2937"/>
          <w:sz w:val="20"/>
        </w:rPr>
        <w:t>outcomes, and before this there were none. They now accumulate per deal, and</w:t>
      </w:r>
    </w:p>
    <w:p>
      <w:pPr>
        <w:pStyle w:val="ListBullet"/>
        <w:spacing w:after="60" w:line="264" w:lineRule="auto"/>
        <w:ind w:left="624"/>
      </w:pPr>
      <w:r>
        <w:rPr>
          <w:b w:val="0"/>
          <w:color w:val="1F2937"/>
          <w:sz w:val="20"/>
        </w:rPr>
        <w:t>the candidate slate behind every offer is logged alongside them — which is</w:t>
      </w:r>
    </w:p>
    <w:p>
      <w:pPr>
        <w:pStyle w:val="ListBullet"/>
        <w:spacing w:after="60" w:line="264" w:lineRule="auto"/>
        <w:ind w:left="624"/>
      </w:pPr>
      <w:r>
        <w:rPr>
          <w:b w:val="0"/>
          <w:color w:val="1F2937"/>
          <w:sz w:val="20"/>
        </w:rPr>
        <w:t>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w:t>
      </w:r>
    </w:p>
    <w:p>
      <w:pPr>
        <w:pStyle w:val="ListBullet"/>
        <w:spacing w:after="60" w:line="264" w:lineRule="auto"/>
        <w:ind w:left="624"/>
      </w:pPr>
      <w:r>
        <w:rPr>
          <w:b w:val="0"/>
          <w:color w:val="1F2937"/>
          <w:sz w:val="20"/>
        </w:rPr>
        <w:t>is an agency claim. Stride's would decompose to the posts behind it — the same</w:t>
      </w:r>
    </w:p>
    <w:p>
      <w:pPr>
        <w:pStyle w:val="ListBullet"/>
        <w:spacing w:after="60" w:line="264" w:lineRule="auto"/>
        <w:ind w:left="624"/>
      </w:pPr>
      <w:r>
        <w:rPr>
          <w:b w:val="0"/>
          <w:color w:val="1F2937"/>
          <w:sz w:val="20"/>
        </w:rPr>
        <w:t>discipline already applied to marketability scores.</w:t>
      </w:r>
    </w:p>
    <w:p>
      <w:pPr>
        <w:keepNext/>
        <w:spacing w:before="200" w:after="100"/>
      </w:pPr>
      <w:r>
        <w:rPr>
          <w:b/>
          <w:color w:val="6B7280"/>
          <w:sz w:val="22"/>
        </w:rPr>
        <w:t>2. Make speed the quantified claim —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 reported with the count of campaigns that have produced no offer at all, so the median cannot quietly become a survivorship number. Measured before it is claimed, which is the whole difference between this and an agency's brochure.</w:t>
      </w:r>
    </w:p>
    <w:p>
      <w:pPr>
        <w:keepNext/>
        <w:spacing w:before="200" w:after="100"/>
      </w:pPr>
      <w:r>
        <w:rPr>
          <w:b/>
          <w:color w:val="6B7280"/>
          <w:sz w:val="22"/>
        </w:rPr>
        <w:t>3. Use clubs the way they use universities —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 </w:t>
      </w:r>
      <w:r>
        <w:rPr>
          <w:rFonts w:ascii="Consolas" w:hAnsi="Consolas"/>
          <w:b w:val="0"/>
          <w:color w:val="1F2937"/>
          <w:sz w:val="18"/>
        </w:rPr>
        <w:t>clubs</w:t>
      </w:r>
      <w:r>
        <w:rPr>
          <w:b w:val="0"/>
          <w:color w:val="1F2937"/>
          <w:sz w:val="20"/>
        </w:rPr>
        <w:t>, rosters, and packages —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keepNext/>
        <w:spacing w:before="200" w:after="100"/>
      </w:pPr>
      <w:r>
        <w:rPr>
          <w:b/>
          <w:color w:val="6B7280"/>
          <w:sz w:val="22"/>
        </w:rPr>
        <w:t>4. Athlete education as retention, not charity —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xml:space="preserve"> — extend it into: what to charge, how to read your own analytics, tax basics for a Spanish athlete, what a fair deal looks like.</w:t>
      </w:r>
    </w:p>
    <w:p>
      <w:pPr>
        <w:keepNext/>
        <w:spacing w:before="200" w:after="100"/>
      </w:pPr>
      <w:r>
        <w:rPr>
          <w:b/>
          <w:color w:val="6B7280"/>
          <w:sz w:val="22"/>
        </w:rPr>
        <w:t>5. Target the brands an agency will not serve —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keepNext/>
        <w:spacing w:before="200" w:after="100"/>
      </w:pPr>
      <w:r>
        <w:rPr>
          <w:b/>
          <w:color w:val="6B7280"/>
          <w:sz w:val="22"/>
        </w:rPr>
        <w:t>6. Sell to agencies rather than fight them —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xml:space="preserve"> —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 against an agent's 10–20% and an undisclosed agency retainer —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 and to keep the long tail they cannot reach.</w:t>
      </w:r>
    </w:p>
    <w:p>
      <w:r>
        <w:br w:type="page"/>
      </w:r>
    </w:p>
    <w:p>
      <w:pPr>
        <w:keepNext/>
        <w:spacing w:before="320" w:after="100"/>
        <w:pBdr>
          <w:bottom w:val="single" w:sz="6" w:space="8" w:color="D1D5DB"/>
        </w:pBdr>
      </w:pPr>
      <w:r>
        <w:rPr>
          <w:b/>
          <w:color w:val="1F2937"/>
          <w:sz w:val="32"/>
        </w:rPr>
        <w:t>Appendix K — 11 —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 applicants lie</w:t>
            </w:r>
          </w:p>
        </w:tc>
        <w:tc>
          <w:tcPr>
            <w:tcW w:type="dxa" w:w="3024"/>
          </w:tcPr>
          <w:p>
            <w:pPr>
              <w:spacing w:after="40" w:before="40"/>
            </w:pPr>
            <w:r/>
            <w:r>
              <w:rPr>
                <w:b w:val="0"/>
                <w:color w:val="1F2937"/>
                <w:sz w:val="17"/>
              </w:rPr>
              <w:t>non-adversarial —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 just under the 25 review floor, by construction.</w:t>
      </w:r>
    </w:p>
    <w:p>
      <w:pPr>
        <w:spacing w:after="140" w:line="276" w:lineRule="auto"/>
        <w:jc w:val="both"/>
      </w:pPr>
      <w:r>
        <w:rPr>
          <w:b/>
          <w:color w:val="1F2937"/>
          <w:sz w:val="20"/>
        </w:rPr>
        <w:t>2. Missing is zero here —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keepNext/>
        <w:spacing w:before="320" w:after="100"/>
      </w:pPr>
      <w:r>
        <w:rPr>
          <w:b/>
          <w:color w:val="1F2937"/>
          <w:sz w:val="25"/>
        </w:rPr>
        <w:t>Formulas</w:t>
      </w:r>
    </w:p>
    <w:p>
      <w:pPr>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keepNext/>
        <w:spacing w:before="200" w:after="100"/>
      </w:pPr>
      <w:r>
        <w:rPr>
          <w:b/>
          <w:color w:val="6B7280"/>
          <w:sz w:val="22"/>
        </w:rPr>
        <w:t>Decision</w:t>
      </w:r>
    </w:p>
    <w:p>
      <w:pPr>
        <w:spacing w:after="140" w:line="276" w:lineRule="auto"/>
        <w:jc w:val="both"/>
      </w:pPr>
      <w:r>
        <w:rPr>
          <w:b w:val="0"/>
          <w:color w:val="1F2937"/>
          <w:sz w:val="20"/>
        </w:rPr>
        <w:t>Order matters —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 and at 0.70 a large enough claim clears the line unaided (see stress finding 3).</w:t>
      </w:r>
    </w:p>
    <w:p>
      <w:pPr>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 over the bar. Without it a fabricated club verifies itself and starts nominating (stress finding 4).</w:t>
      </w:r>
    </w:p>
    <w:p>
      <w:pPr>
        <w:keepNext/>
        <w:spacing w:before="200" w:after="100"/>
      </w:pPr>
      <w:r>
        <w:rPr>
          <w:b/>
          <w:color w:val="6B7280"/>
          <w:sz w:val="22"/>
        </w:rPr>
        <w:t>Nomination —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w:t>
      </w:r>
    </w:p>
    <w:p>
      <w:pPr>
        <w:pStyle w:val="ListBullet"/>
        <w:spacing w:after="60" w:line="264" w:lineRule="auto"/>
        <w:ind w:left="624"/>
      </w:pPr>
      <w:r>
        <w:rPr>
          <w:b w:val="0"/>
          <w:color w:val="1F2937"/>
          <w:sz w:val="20"/>
        </w:rPr>
        <w:t>state someone else's date of birth, so the 16+ gate still cannot be cleared by</w:t>
      </w:r>
    </w:p>
    <w:p>
      <w:pPr>
        <w:pStyle w:val="ListBullet"/>
        <w:spacing w:after="60" w:line="264" w:lineRule="auto"/>
        <w:ind w:left="624"/>
      </w:pPr>
      <w:r>
        <w:rPr>
          <w:b w:val="0"/>
          <w:color w:val="1F2937"/>
          <w:sz w:val="20"/>
        </w:rPr>
        <w:t xml:space="preserve">a third party and a nominated athlete who submitted nothing stays </w:t>
      </w:r>
      <w:r>
        <w:rPr>
          <w:rFonts w:ascii="Consolas" w:hAnsi="Consolas"/>
          <w:b w:val="0"/>
          <w:color w:val="1F2937"/>
          <w:sz w:val="18"/>
        </w:rPr>
        <w:t>pending</w:t>
      </w:r>
      <w:r>
        <w:rPr>
          <w:b w:val="0"/>
          <w:color w:val="1F2937"/>
          <w:sz w:val="20"/>
        </w:rPr>
        <w:t>.</w:t>
      </w:r>
    </w:p>
    <w:p>
      <w:pPr>
        <w:pStyle w:val="ListBullet"/>
        <w:spacing w:after="60" w:line="264" w:lineRule="auto"/>
        <w:ind w:left="624"/>
      </w:pPr>
      <w:r>
        <w:rPr>
          <w:b w:val="0"/>
          <w:color w:val="1F2937"/>
          <w:sz w:val="20"/>
        </w:rPr>
        <w:t>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w:t>
      </w:r>
    </w:p>
    <w:p>
      <w:pPr>
        <w:pStyle w:val="ListBullet"/>
        <w:spacing w:after="60" w:line="264" w:lineRule="auto"/>
        <w:ind w:left="624"/>
      </w:pPr>
      <w:r>
        <w:rPr>
          <w:b w:val="0"/>
          <w:color w:val="1F2937"/>
          <w:sz w:val="20"/>
        </w:rPr>
        <w:t>nomination budget, which makes inflating it a checkable claim rather than free</w:t>
      </w:r>
    </w:p>
    <w:p>
      <w:pPr>
        <w:pStyle w:val="ListBullet"/>
        <w:spacing w:after="60" w:line="264" w:lineRule="auto"/>
        <w:ind w:left="624"/>
      </w:pPr>
      <w:r>
        <w:rPr>
          <w:b w:val="0"/>
          <w:color w:val="1F2937"/>
          <w:sz w:val="20"/>
        </w:rPr>
        <w:t>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w:t>
      </w:r>
    </w:p>
    <w:p>
      <w:pPr>
        <w:pStyle w:val="ListBullet"/>
        <w:spacing w:after="60" w:line="264" w:lineRule="auto"/>
        <w:ind w:left="624"/>
      </w:pPr>
      <w:r>
        <w:rPr>
          <w:b w:val="0"/>
          <w:color w:val="1F2937"/>
          <w:sz w:val="20"/>
        </w:rPr>
        <w:t xml:space="preserve">to </w:t>
      </w:r>
      <w:r>
        <w:rPr>
          <w:rFonts w:ascii="Consolas" w:hAnsi="Consolas"/>
          <w:b w:val="0"/>
          <w:color w:val="1F2937"/>
          <w:sz w:val="18"/>
        </w:rPr>
        <w:t>review</w:t>
      </w:r>
      <w:r>
        <w:rPr>
          <w:b w:val="0"/>
          <w:color w:val="1F2937"/>
          <w:sz w:val="20"/>
        </w:rPr>
        <w:t xml:space="preserve"> exactly those athletes whose own credibility was below the admit</w:t>
      </w:r>
    </w:p>
    <w:p>
      <w:pPr>
        <w:pStyle w:val="ListBullet"/>
        <w:spacing w:after="60" w:line="264" w:lineRule="auto"/>
        <w:ind w:left="624"/>
      </w:pPr>
      <w:r>
        <w:rPr>
          <w:b w:val="0"/>
          <w:color w:val="1F2937"/>
          <w:sz w:val="20"/>
        </w:rPr>
        <w:t>line. Anyone who stood on their own evidence is untouched. Review, not</w:t>
      </w:r>
    </w:p>
    <w:p>
      <w:pPr>
        <w:pStyle w:val="ListBullet"/>
        <w:spacing w:after="60" w:line="264" w:lineRule="auto"/>
        <w:ind w:left="624"/>
      </w:pPr>
      <w:r>
        <w:rPr>
          <w:b w:val="0"/>
          <w:color w:val="1F2937"/>
          <w:sz w:val="20"/>
        </w:rPr>
        <w:t>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 a third party's action costing someone their standing.</w:t>
      </w:r>
    </w:p>
    <w:p>
      <w:pPr>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pPr>
        <w:spacing w:after="120" w:before="0"/>
      </w:pPr>
    </w:p>
    <w:p>
      <w:pPr>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pPr>
        <w:keepNext/>
        <w:spacing w:before="200" w:after="100"/>
      </w:pPr>
      <w:r>
        <w:rPr>
          <w:b/>
          <w:color w:val="6B7280"/>
          <w:sz w:val="22"/>
        </w:rPr>
        <w:t>Finding 1 —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 not a lenient decision but the </w:t>
      </w:r>
      <w:r>
        <w:rPr>
          <w:b w:val="0"/>
          <w:i/>
          <w:color w:val="1F2937"/>
          <w:sz w:val="20"/>
        </w:rPr>
        <w:t>absence</w:t>
      </w:r>
      <w:r>
        <w:rPr>
          <w:b w:val="0"/>
          <w:color w:val="1F2937"/>
          <w:sz w:val="20"/>
        </w:rPr>
        <w:t xml:space="preserve"> of one. It occupies no reviewer and confers nothing, so stalling gains nothing.</w:t>
      </w:r>
    </w:p>
    <w:p>
      <w:pPr>
        <w:keepNext/>
        <w:spacing w:before="200" w:after="100"/>
      </w:pPr>
      <w:r>
        <w:rPr>
          <w:b/>
          <w:color w:val="6B7280"/>
          <w:sz w:val="22"/>
        </w:rPr>
        <w:t>Finding 2 —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keepNext/>
        <w:spacing w:before="200" w:after="100"/>
      </w:pPr>
      <w:r>
        <w:rPr>
          <w:b/>
          <w:color w:val="6B7280"/>
          <w:sz w:val="22"/>
        </w:rPr>
        <w:t xml:space="preserve">Findings 3 and 4 —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w:t>
      </w:r>
    </w:p>
    <w:p>
      <w:pPr>
        <w:pStyle w:val="ListBullet"/>
        <w:spacing w:after="60" w:line="264" w:lineRule="auto"/>
        <w:ind w:left="624"/>
      </w:pPr>
      <w:r>
        <w:rPr>
          <w:b w:val="0"/>
          <w:color w:val="1F2937"/>
          <w:sz w:val="20"/>
        </w:rPr>
        <w:t>and was admitted outright.</w:t>
      </w:r>
    </w:p>
    <w:p>
      <w:pPr>
        <w:pStyle w:val="ListBullet"/>
        <w:spacing w:after="60" w:line="264" w:lineRule="auto"/>
        <w:ind w:left="340"/>
      </w:pPr>
      <w:r>
        <w:rPr>
          <w:b w:val="0"/>
          <w:color w:val="1F2937"/>
          <w:sz w:val="20"/>
        </w:rPr>
        <w:t>A fully fabricated club — plausible registration number, federation id,</w:t>
      </w:r>
    </w:p>
    <w:p>
      <w:pPr>
        <w:pStyle w:val="ListBullet"/>
        <w:spacing w:after="60" w:line="264" w:lineRule="auto"/>
        <w:ind w:left="624"/>
      </w:pPr>
      <w:r>
        <w:rPr>
          <w:b w:val="0"/>
          <w:color w:val="1F2937"/>
          <w:sz w:val="20"/>
        </w:rPr>
        <w:t xml:space="preserve">founding year, team count, roster URL, none of them opened — scored </w:t>
      </w:r>
      <w:r>
        <w:rPr>
          <w:b/>
          <w:color w:val="1F2937"/>
          <w:sz w:val="20"/>
        </w:rPr>
        <w:t>70</w:t>
      </w:r>
      <w:r>
        <w:rPr>
          <w:b w:val="0"/>
          <w:color w:val="1F2937"/>
          <w:sz w:val="20"/>
        </w:rPr>
        <w:t>,</w:t>
      </w:r>
    </w:p>
    <w:p>
      <w:pPr>
        <w:pStyle w:val="ListBullet"/>
        <w:spacing w:after="60" w:line="264" w:lineRule="auto"/>
        <w:ind w:left="624"/>
      </w:pPr>
      <w:r>
        <w:rPr>
          <w:b w:val="0"/>
          <w:color w:val="1F2937"/>
          <w:sz w:val="20"/>
        </w:rPr>
        <w:t>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keepNext/>
        <w:spacing w:before="200" w:after="100"/>
      </w:pPr>
      <w:r>
        <w:rPr>
          <w:b/>
          <w:color w:val="6B7280"/>
          <w:sz w:val="22"/>
        </w:rPr>
        <w:t>Finding 6 —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xml:space="preserve"> —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xml:space="preserve"> —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xml:space="preserve"> —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xml:space="preserve"> —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xml:space="preserve"> — needs real post text and a model dependency</w:t>
            </w:r>
          </w:p>
        </w:tc>
      </w:tr>
    </w:tbl>
    <w:p>
      <w:pPr>
        <w:spacing w:after="160" w:before="0"/>
      </w:pPr>
    </w:p>
    <w:p>
      <w:pPr>
        <w:spacing w:after="120" w:before="0"/>
      </w:pPr>
    </w:p>
    <w:p>
      <w:pPr>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w:t>
      </w:r>
    </w:p>
    <w:p>
      <w:pPr>
        <w:pStyle w:val="ListBullet"/>
        <w:spacing w:after="60" w:line="264" w:lineRule="auto"/>
        <w:ind w:left="624"/>
      </w:pPr>
      <w:r>
        <w:rPr>
          <w:b w:val="0"/>
          <w:color w:val="1F2937"/>
          <w:sz w:val="20"/>
        </w:rPr>
        <w:t>clears the bar — we just have not opened your proof link yet." The wording</w:t>
      </w:r>
    </w:p>
    <w:p>
      <w:pPr>
        <w:pStyle w:val="ListBullet"/>
        <w:spacing w:after="60" w:line="264" w:lineRule="auto"/>
        <w:ind w:left="624"/>
      </w:pPr>
      <w:r>
        <w:rPr>
          <w:b w:val="0"/>
          <w:color w:val="1F2937"/>
          <w:sz w:val="20"/>
        </w:rPr>
        <w:t>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before the club</w:t>
      </w:r>
    </w:p>
    <w:p>
      <w:pPr>
        <w:pStyle w:val="ListBullet"/>
        <w:spacing w:after="60" w:line="264" w:lineRule="auto"/>
        <w:ind w:left="624"/>
      </w:pPr>
      <w:r>
        <w:rPr>
          <w:b w:val="0"/>
          <w:color w:val="1F2937"/>
          <w:sz w:val="20"/>
        </w:rPr>
        <w:t xml:space="preserve">spends its budget: nominees sit at </w:t>
      </w:r>
      <w:r>
        <w:rPr>
          <w:rFonts w:ascii="Consolas" w:hAnsi="Consolas"/>
          <w:b w:val="0"/>
          <w:color w:val="1F2937"/>
          <w:sz w:val="18"/>
        </w:rPr>
        <w:t>pending</w:t>
      </w:r>
      <w:r>
        <w:rPr>
          <w:b w:val="0"/>
          <w:color w:val="1F2937"/>
          <w:sz w:val="20"/>
        </w:rPr>
        <w:t xml:space="preserve"> until they complete their own</w:t>
      </w:r>
    </w:p>
    <w:p>
      <w:pPr>
        <w:pStyle w:val="ListBullet"/>
        <w:spacing w:after="60" w:line="264" w:lineRule="auto"/>
        <w:ind w:left="624"/>
      </w:pPr>
      <w:r>
        <w:rPr>
          <w:b w:val="0"/>
          <w:color w:val="1F2937"/>
          <w:sz w:val="20"/>
        </w:rPr>
        <w:t>form, because no club can supply someone else's date of birth. Without that,</w:t>
      </w:r>
    </w:p>
    <w:p>
      <w:pPr>
        <w:pStyle w:val="ListBullet"/>
        <w:spacing w:after="60" w:line="264" w:lineRule="auto"/>
        <w:ind w:left="624"/>
      </w:pPr>
      <w:r>
        <w:rPr>
          <w:b w:val="0"/>
          <w:color w:val="1F2937"/>
          <w:sz w:val="20"/>
        </w:rPr>
        <w:t>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w:t>
      </w:r>
    </w:p>
    <w:p>
      <w:pPr>
        <w:pStyle w:val="ListBullet"/>
        <w:spacing w:after="60" w:line="264" w:lineRule="auto"/>
        <w:ind w:left="624"/>
      </w:pPr>
      <w:r>
        <w:rPr>
          <w:b w:val="0"/>
          <w:color w:val="1F2937"/>
          <w:sz w:val="20"/>
        </w:rPr>
        <w:t>than flush left and right. Flushing them told an applicant at 15 that 55 was</w:t>
      </w:r>
    </w:p>
    <w:p>
      <w:pPr>
        <w:pStyle w:val="ListBullet"/>
        <w:spacing w:after="60" w:line="264" w:lineRule="auto"/>
        <w:ind w:left="624"/>
      </w:pPr>
      <w:r>
        <w:rPr>
          <w:b w:val="0"/>
          <w:color w:val="1F2937"/>
          <w:sz w:val="20"/>
        </w:rPr>
        <w:t>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