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pStyle w:val="Heading1"/>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 unlike lifestyle creators —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Connected platform analytics, versioned marketability scoring, an admission gate, campaign matching with explainable ranking, offers, deals and delivery measurement — deployed, with an audit log, a resilience drill, and a test suite that runs on two databases in continuous integration.</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 Net revenue and EBITDA, Y1 to Y7. The company is loss-making for four years, and the losses are small.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€535k</w:t>
            </w:r>
          </w:p>
        </w:tc>
        <w:tc>
          <w:tcPr>
            <w:tcW w:type="dxa" w:w="3024"/>
          </w:tcPr>
          <w:p>
            <w:pPr>
              <w:spacing w:after="40" w:before="40"/>
            </w:pPr>
            <w:r/>
            <w:r>
              <w:rPr>
                <w:b w:val="0"/>
                <w:color w:val="1F2937"/>
                <w:sz w:val="17"/>
              </w:rPr>
              <w:t>€10.70M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€-228k</w:t>
            </w:r>
          </w:p>
        </w:tc>
        <w:tc>
          <w:tcPr>
            <w:tcW w:type="dxa" w:w="3024"/>
          </w:tcPr>
          <w:p>
            <w:pPr>
              <w:spacing w:after="40" w:before="40"/>
            </w:pPr>
            <w:r/>
            <w:r>
              <w:rPr>
                <w:b w:val="0"/>
                <w:color w:val="1F2937"/>
                <w:sz w:val="17"/>
              </w:rPr>
              <w:t>€3.12M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70%</w:t>
            </w:r>
          </w:p>
        </w:tc>
      </w:tr>
    </w:tbl>
    <w:p>
      <w:pPr>
        <w:spacing w:after="160" w:before="0"/>
      </w:pP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71%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€600k at €2.5M pre-money.</w:t>
      </w:r>
      <w:r>
        <w:rPr>
          <w:b w:val="0"/>
          <w:color w:val="1F2937"/>
          <w:sz w:val="20"/>
        </w:rPr>
        <w:t xml:space="preserve"> The plan needs €649k — a €464k cash trough in Y4 plus a 40% buffer — so the pre-seed clears the trough itself with €136k to spare. That is what asking for €600k rather than €400k buys: the seed becomes optional. It brings a second market forward; it is not the thing standing between the company and running out of cash.</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 not a feature — is the pre-seed gate.</w:t>
      </w:r>
    </w:p>
    <w:p>
      <w:pPr>
        <w:spacing w:after="120" w:before="0"/>
      </w:pPr>
    </w:p>
    <w:p>
      <w:pPr>
        <w:pStyle w:val="Heading1"/>
        <w:keepNext/>
        <w:spacing w:before="320" w:after="100"/>
        <w:pBdr>
          <w:bottom w:val="single" w:sz="6" w:space="8" w:color="D1D5DB"/>
        </w:pBdr>
      </w:pPr>
      <w:r>
        <w:rPr>
          <w:b/>
          <w:color w:val="1F2937"/>
          <w:sz w:val="32"/>
        </w:rPr>
        <w:t>2. The company</w:t>
      </w:r>
    </w:p>
    <w:p>
      <w:pPr>
        <w:pStyle w:val="Heading2"/>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pStyle w:val="Heading2"/>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€10.70M net revenue</w:t>
            </w:r>
          </w:p>
        </w:tc>
      </w:tr>
    </w:tbl>
    <w:p>
      <w:pPr>
        <w:spacing w:after="160" w:before="0"/>
      </w:pPr>
    </w:p>
    <w:p>
      <w:pPr>
        <w:pStyle w:val="Heading2"/>
        <w:keepNext/>
        <w:spacing w:before="320" w:after="100"/>
      </w:pPr>
      <w:r>
        <w:rPr>
          <w:b/>
          <w:color w:val="1F2937"/>
          <w:sz w:val="25"/>
        </w:rPr>
        <w:t>2.3 The entrepreneurial team</w:t>
      </w:r>
    </w:p>
    <w:p>
      <w:pPr>
        <w:spacing w:after="140" w:line="276" w:lineRule="auto"/>
        <w:jc w:val="both"/>
      </w:pPr>
      <w:r>
        <w:rPr>
          <w:b/>
          <w:color w:val="1F2937"/>
          <w:sz w:val="20"/>
        </w:rPr>
        <w:t>Jad Zoghaib —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 international tournament experience. He is not researching this market from the outside; he is in the segment the plan describes, and the athlete 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 the same discipline applied to the process map in §5.1.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 the Lebanese American University. Python, SQL, AWS and the modelling stack 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 financial model are his own work, which is why the plan can make claims about 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(§6.2), and the 2% advisory grant at the pre-seed is reserved for a sports-industry profile rather than a technical one, because the code is not the weak point.</w:t>
      </w:r>
    </w:p>
    <w:p>
      <w:pPr>
        <w:spacing w:after="120" w:before="0"/>
      </w:pPr>
    </w:p>
    <w:p>
      <w:pPr>
        <w:pStyle w:val="Heading1"/>
        <w:keepNext/>
        <w:spacing w:before="320" w:after="100"/>
        <w:pBdr>
          <w:bottom w:val="single" w:sz="6" w:space="8" w:color="D1D5DB"/>
        </w:pBdr>
      </w:pPr>
      <w:r>
        <w:rPr>
          <w:b/>
          <w:color w:val="1F2937"/>
          <w:sz w:val="32"/>
        </w:rPr>
        <w:t>3. Opportunity and business model</w:t>
      </w:r>
    </w:p>
    <w:p>
      <w:pPr>
        <w:pStyle w:val="Heading2"/>
        <w:keepNext/>
        <w:spacing w:before="320" w:after="100"/>
      </w:pPr>
      <w:r>
        <w:rPr>
          <w:b/>
          <w:color w:val="1F2937"/>
          <w:sz w:val="25"/>
        </w:rPr>
        <w:t>3.1 Client and market</w:t>
      </w:r>
    </w:p>
    <w:p>
      <w:pPr>
        <w:pStyle w:val="Heading3"/>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 €9.99 or €24.99 a month, or €89 a year</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 it is unserved.</w:t>
      </w:r>
    </w:p>
    <w:p>
      <w:pPr>
        <w:pStyle w:val="Heading3"/>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2986518"/>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2986518"/>
                    </a:xfrm>
                    <a:prstGeom prst="rect"/>
                  </pic:spPr>
                </pic:pic>
              </a:graphicData>
            </a:graphic>
          </wp:inline>
        </w:drawing>
      </w:r>
    </w:p>
    <w:p>
      <w:pPr>
        <w:spacing w:after="200"/>
        <w:jc w:val="center"/>
      </w:pPr>
      <w:r>
        <w:rPr>
          <w:b w:val="0"/>
          <w:color w:val="6B7280"/>
          <w:sz w:val="16"/>
        </w:rPr>
        <w:t>Figure 2 —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xml:space="preserve"> —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pStyle w:val="Heading3"/>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 10%, matched on evidence</w:t>
            </w:r>
          </w:p>
        </w:tc>
        <w:tc>
          <w:tcPr>
            <w:tcW w:type="dxa" w:w="3024"/>
          </w:tcPr>
          <w:p>
            <w:pPr>
              <w:spacing w:after="40" w:before="40"/>
            </w:pPr>
            <w:r/>
            <w:r>
              <w:rPr>
                <w:b w:val="0"/>
                <w:color w:val="1F2937"/>
                <w:sz w:val="17"/>
              </w:rPr>
              <w:t>Market creation —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pStyle w:val="Heading3"/>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follow in </w:t>
      </w:r>
      <w:r>
        <w:rPr>
          <w:b/>
          <w:color w:val="1F2937"/>
          <w:sz w:val="20"/>
        </w:rPr>
        <w:t>§3.1.5</w:t>
      </w:r>
      <w:r>
        <w:rPr>
          <w:b w:val="0"/>
          <w:color w:val="1F2937"/>
          <w:sz w:val="20"/>
        </w:rPr>
        <w:t>.</w:t>
      </w:r>
    </w:p>
    <w:p>
      <w:pPr>
        <w:spacing w:after="140" w:line="276" w:lineRule="auto"/>
        <w:jc w:val="both"/>
      </w:pPr>
      <w:r>
        <w:rPr>
          <w:b/>
          <w:color w:val="1F2937"/>
          <w:sz w:val="20"/>
        </w:rPr>
        <w:t>Expert —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 and is live in the demo —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 rugby league players in Lebanon and one competing at Asian level in CrossFit —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 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 who does have a sponsor did not get it as a rugby league player, because no 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 because there is no return on doing so. </w:t>
      </w:r>
      <w:r>
        <w:rPr>
          <w:b w:val="0"/>
          <w:i/>
          <w:color w:val="1F2937"/>
          <w:sz w:val="20"/>
        </w:rPr>
        <w:t>The absence of monetisation 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pStyle w:val="Heading3"/>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keepNext/>
        <w:spacing w:before="160" w:after="20"/>
        <w:ind w:left="227"/>
        <w:shd w:val="clear" w:fill="F6F7F9"/>
        <w:pBdr>
          <w:left w:val="single" w:sz="18" w:space="8" w:color="9CA3AF"/>
        </w:pBdr>
      </w:pPr>
      <w:r>
        <w:rPr>
          <w:b/>
          <w:color w:val="1F2937"/>
          <w:sz w:val="19"/>
        </w:rPr>
        <w:t>Two details to confirm before submission</w:t>
      </w:r>
    </w:p>
    <w:p>
      <w:pPr>
        <w:spacing w:before="0" w:after="160" w:line="264" w:lineRule="auto"/>
        <w:ind w:left="227"/>
        <w:shd w:val="clear" w:fill="F6F7F9"/>
        <w:pBdr>
          <w:left w:val="single" w:sz="18" w:space="8" w:color="9CA3AF"/>
        </w:pBdr>
      </w:pPr>
      <w:r>
        <w:rPr>
          <w:b w:val="0"/>
          <w:color w:val="1F2937"/>
          <w:sz w:val="19"/>
        </w:rPr>
        <w:t>The number of athletes spoken to is written below as "several"; replace it with the exact count. The Íñigo interview date should also be stated. Both are the kind of specific an examiner will ask for.</w:t>
      </w:r>
    </w:p>
    <w:p>
      <w:pPr>
        <w:spacing w:after="120" w:before="0"/>
      </w:pPr>
    </w:p>
    <w:p>
      <w:pPr>
        <w:pStyle w:val="Heading4"/>
        <w:keepNext/>
        <w:spacing w:before="200" w:after="100"/>
      </w:pPr>
      <w:r>
        <w:rPr>
          <w:b/>
          <w:color w:val="6B7280"/>
          <w:sz w:val="20"/>
        </w:rPr>
        <w:t>3.1.5.1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Lebanon; one athlete competing at Asian level in CrossFit</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Several</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athletes interviewed compete in Lebanon. The plan launches in </w:t>
      </w:r>
      <w:r>
        <w:rPr>
          <w:b/>
          <w:color w:val="1F2937"/>
          <w:sz w:val="19"/>
        </w:rPr>
        <w:t>Spain</w:t>
      </w:r>
      <w:r>
        <w:rPr>
          <w:b w:val="0"/>
          <w:color w:val="1F2937"/>
          <w:sz w:val="19"/>
        </w:rPr>
        <w:t xml:space="preserve">. That gap is real and worth confronting directly.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rather than of any one country. Be precise about what the index does and does not contain: </w:t>
      </w:r>
      <w:r>
        <w:rPr>
          <w:b/>
          <w:color w:val="1F2937"/>
          <w:sz w:val="19"/>
        </w:rPr>
        <w:t>neither Lebanon nor rugby league is in it.</w:t>
      </w:r>
      <w:r>
        <w:rPr>
          <w:b w:val="0"/>
          <w:color w:val="1F2937"/>
          <w:sz w:val="19"/>
        </w:rPr>
        <w:t xml:space="preserve"> It covers 34 countries and 21 sports, and an examiner checking against </w:t>
      </w:r>
      <w:r>
        <w:rPr>
          <w:b w:val="0"/>
          <w:color w:val="1F2937"/>
          <w:sz w:val="19"/>
        </w:rPr>
        <w:t>08</w:t>
      </w:r>
      <w:r>
        <w:rPr>
          <w:b w:val="0"/>
          <w:color w:val="1F2937"/>
          <w:sz w:val="19"/>
        </w:rPr>
        <w:t xml:space="preserve"> would find both missing. What transfers is the mechanism, not a cell in the matrix — where no agent layer exists, no route runs from audience to income — and the index is the evidence that this condition is set by a sport's economics rather than by its geography. What the Lebanese sample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pStyle w:val="Heading4"/>
        <w:keepNext/>
        <w:spacing w:before="200" w:after="100"/>
      </w:pPr>
      <w:r>
        <w:rPr>
          <w:b/>
          <w:color w:val="6B7280"/>
          <w:sz w:val="20"/>
        </w:rPr>
        <w:t>3.1.5.2 Expert interview —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pStyle w:val="Heading4"/>
        <w:keepNext/>
        <w:spacing w:before="200" w:after="100"/>
      </w:pPr>
      <w:r>
        <w:rPr>
          <w:b/>
          <w:color w:val="6B7280"/>
          <w:sz w:val="20"/>
        </w:rPr>
        <w:t>Finding 1 —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5.11</w:t>
      </w:r>
      <w:r>
        <w:rPr>
          <w:b w:val="0"/>
          <w:color w:val="1F2937"/>
          <w:sz w:val="20"/>
        </w:rPr>
        <w:t xml:space="preserve"> corrects the order; the demo has not caught up.</w:t>
      </w:r>
    </w:p>
    <w:p>
      <w:pPr>
        <w:pStyle w:val="Heading4"/>
        <w:keepNext/>
        <w:spacing w:before="200" w:after="100"/>
      </w:pPr>
      <w:r>
        <w:rPr>
          <w:b/>
          <w:color w:val="6B7280"/>
          <w:sz w:val="20"/>
        </w:rPr>
        <w:t>Finding 2 —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pStyle w:val="Heading4"/>
        <w:keepNext/>
        <w:spacing w:before="200" w:after="100"/>
      </w:pPr>
      <w:r>
        <w:rPr>
          <w:b/>
          <w:color w:val="6B7280"/>
          <w:sz w:val="20"/>
        </w:rPr>
        <w:t>Finding 3 —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8.3</w:t>
      </w:r>
      <w:r>
        <w:rPr>
          <w:b w:val="0"/>
          <w:color w:val="1F2937"/>
          <w:sz w:val="20"/>
        </w:rPr>
        <w:t xml:space="preserve"> plans to open at Y3. It is listed as an opportunity, not as a dependency.</w:t>
      </w:r>
    </w:p>
    <w:p>
      <w:pPr>
        <w:spacing w:after="120" w:before="0"/>
      </w:pPr>
    </w:p>
    <w:p>
      <w:pPr>
        <w:pStyle w:val="Heading4"/>
        <w:keepNext/>
        <w:spacing w:before="200" w:after="100"/>
      </w:pPr>
      <w:r>
        <w:rPr>
          <w:b/>
          <w:color w:val="6B7280"/>
          <w:sz w:val="20"/>
        </w:rPr>
        <w:t>3.1.5.3 Athlete interviews — the segment itself</w:t>
      </w:r>
    </w:p>
    <w:p>
      <w:pPr>
        <w:spacing w:after="140" w:line="276" w:lineRule="auto"/>
        <w:jc w:val="both"/>
      </w:pPr>
      <w:r>
        <w:rPr>
          <w:b w:val="0"/>
          <w:color w:val="1F2937"/>
          <w:sz w:val="20"/>
        </w:rPr>
        <w:t>Conversations with rugby league players in Lebanon and with an athlete competing at Asian level in CrossFit. The founder is capped by the Lebanese national rugby team, which is how this access exists and why the conversations were candid rather than performative.</w:t>
      </w:r>
    </w:p>
    <w:p>
      <w:pPr>
        <w:pStyle w:val="Heading4"/>
        <w:keepNext/>
        <w:spacing w:before="200" w:after="100"/>
      </w:pPr>
      <w:r>
        <w:rPr>
          <w:b/>
          <w:color w:val="6B7280"/>
          <w:sz w:val="20"/>
        </w:rPr>
        <w:t>Finding 1 —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pStyle w:val="Heading4"/>
        <w:keepNext/>
        <w:spacing w:before="200" w:after="100"/>
      </w:pPr>
      <w:r>
        <w:rPr>
          <w:b/>
          <w:color w:val="6B7280"/>
          <w:sz w:val="20"/>
        </w:rPr>
        <w:t>Finding 2 —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pStyle w:val="Heading4"/>
        <w:keepNext/>
        <w:spacing w:before="200" w:after="100"/>
      </w:pPr>
      <w:r>
        <w:rPr>
          <w:b/>
          <w:color w:val="6B7280"/>
          <w:sz w:val="20"/>
        </w:rPr>
        <w:t>Finding 3 —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pStyle w:val="Heading4"/>
        <w:keepNext/>
        <w:spacing w:before="200" w:after="100"/>
      </w:pPr>
      <w:r>
        <w:rPr>
          <w:b/>
          <w:color w:val="6B7280"/>
          <w:sz w:val="20"/>
        </w:rPr>
        <w:t>Finding 4 —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pStyle w:val="Heading4"/>
        <w:keepNext/>
        <w:spacing w:before="200" w:after="100"/>
      </w:pPr>
      <w:r>
        <w:rPr>
          <w:b/>
          <w:color w:val="6B7280"/>
          <w:sz w:val="20"/>
        </w:rPr>
        <w:t>3.1.5.4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 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 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 the whole plan rests on, it is named as such in </w:t>
      </w:r>
      <w:r>
        <w:rPr>
          <w:b w:val="0"/>
          <w:color w:val="1F2937"/>
          <w:sz w:val="20"/>
        </w:rPr>
        <w:t>07</w:t>
      </w:r>
      <w:r>
        <w:rPr>
          <w:b w:val="0"/>
          <w:color w:val="1F2937"/>
          <w:sz w:val="20"/>
        </w:rPr>
        <w:t xml:space="preserve"> as risk R1, and only three months of real subscription data from one anchor athlete resolves it. That is the pre-seed gate, and it is a gate precisely 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 been conducted. This is the largest hole in the research and is acknowledged rather than papered over.</w:t>
      </w:r>
    </w:p>
    <w:p>
      <w:pPr>
        <w:pStyle w:val="ListBullet"/>
        <w:spacing w:after="60" w:line="264" w:lineRule="auto"/>
        <w:ind w:left="340"/>
      </w:pPr>
      <w:r>
        <w:rPr>
          <w:b/>
          <w:color w:val="1F2937"/>
          <w:sz w:val="20"/>
        </w:rPr>
        <w:t>Spanish market specifics.</w:t>
      </w:r>
      <w:r>
        <w:rPr>
          <w:b w:val="0"/>
          <w:color w:val="1F2937"/>
          <w:sz w:val="20"/>
        </w:rPr>
        <w:t xml:space="preserve"> The interviews are Lebanese; the launch market is Spain. The structural finding transfers (§3.1.1); the pricing and budget figures do not, and none of them rests on this research.</w:t>
      </w:r>
    </w:p>
    <w:p>
      <w:pPr>
        <w:spacing w:after="120" w:before="0"/>
      </w:pPr>
    </w:p>
    <w:p>
      <w:pPr>
        <w:pStyle w:val="Heading4"/>
        <w:keepNext/>
        <w:spacing w:before="200" w:after="100"/>
      </w:pPr>
      <w:r>
        <w:rPr>
          <w:b/>
          <w:color w:val="6B7280"/>
          <w:sz w:val="20"/>
        </w:rPr>
        <w:t>3.1.5.5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xml:space="preserve"> —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pStyle w:val="Heading2"/>
        <w:keepNext/>
        <w:spacing w:before="320" w:after="100"/>
      </w:pPr>
      <w:r>
        <w:rPr>
          <w:b/>
          <w:color w:val="1F2937"/>
          <w:sz w:val="25"/>
        </w:rPr>
        <w:t>3.2 Value proposition</w:t>
      </w:r>
    </w:p>
    <w:p>
      <w:pPr>
        <w:pStyle w:val="Heading3"/>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33609"/>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33609"/>
                    </a:xfrm>
                    <a:prstGeom prst="rect"/>
                  </pic:spPr>
                </pic:pic>
              </a:graphicData>
            </a:graphic>
          </wp:inline>
        </w:drawing>
      </w:r>
    </w:p>
    <w:p>
      <w:pPr>
        <w:spacing w:after="200"/>
        <w:jc w:val="center"/>
      </w:pPr>
      <w:r>
        <w:rPr>
          <w:b w:val="0"/>
          <w:color w:val="6B7280"/>
          <w:sz w:val="16"/>
        </w:rPr>
        <w:t>Figure 4 —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pStyle w:val="Heading3"/>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2137898"/>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2137898"/>
                    </a:xfrm>
                    <a:prstGeom prst="rect"/>
                  </pic:spPr>
                </pic:pic>
              </a:graphicData>
            </a:graphic>
          </wp:inline>
        </w:drawing>
      </w:r>
    </w:p>
    <w:p>
      <w:pPr>
        <w:spacing w:after="200"/>
        <w:jc w:val="center"/>
      </w:pPr>
      <w:r>
        <w:rPr>
          <w:b w:val="0"/>
          <w:color w:val="6B7280"/>
          <w:sz w:val="16"/>
        </w:rPr>
        <w:t>Figure 5 — Nobody occupies all three. Patreon matches us on both axes and has neither a sponsor side nor sport context.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(§5.10).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 it is the accumulated scoring history and the athlete relationships, which take time nobody can buy.</w:t>
      </w:r>
    </w:p>
    <w:p>
      <w:pPr>
        <w:pStyle w:val="Heading3"/>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 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 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 human. A rejected proof cannot be cleared by re-submitting the form.</w:t>
      </w:r>
    </w:p>
    <w:p>
      <w:pPr>
        <w:pStyle w:val="Heading2"/>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 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 decomposable score shortens the sales cycle in a market that runs on 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 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 are built in, not retrofitted.</w:t>
      </w:r>
    </w:p>
    <w:p>
      <w:pPr>
        <w:pStyle w:val="Heading2"/>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€649k</w:t>
      </w:r>
      <w:r>
        <w:rPr>
          <w:b w:val="0"/>
          <w:color w:val="1F2937"/>
          <w:sz w:val="20"/>
        </w:rPr>
        <w:t xml:space="preserve">: a €464k cash trough in Y4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 there is no payment, tier-price or payout entity of any kind, and the €9.99 on the membership card is a label rendered by the client, not a price.</w:t>
      </w:r>
    </w:p>
    <w:p>
      <w:pPr>
        <w:pStyle w:val="Heading2"/>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pStyle w:val="Heading1"/>
        <w:keepNext/>
        <w:spacing w:before="320" w:after="100"/>
        <w:pBdr>
          <w:bottom w:val="single" w:sz="6" w:space="8" w:color="D1D5DB"/>
        </w:pBdr>
      </w:pPr>
      <w:r>
        <w:rPr>
          <w:b/>
          <w:color w:val="1F2937"/>
          <w:sz w:val="32"/>
        </w:rPr>
        <w:t>4. Marketing plan</w:t>
      </w:r>
    </w:p>
    <w:p>
      <w:pPr>
        <w:pStyle w:val="Heading2"/>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 already built — compounds behind it.</w:t>
      </w:r>
    </w:p>
    <w:p>
      <w:pPr>
        <w:pStyle w:val="Heading2"/>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spacing w:before="120" w:after="40"/>
        <w:jc w:val="center"/>
      </w:pPr>
      <w:r>
        <w:drawing>
          <wp:inline xmlns:a="http://schemas.openxmlformats.org/drawingml/2006/main" xmlns:pic="http://schemas.openxmlformats.org/drawingml/2006/picture">
            <wp:extent cx="5760000" cy="2853578"/>
            <wp:docPr id="8" name="Picture 8"/>
            <wp:cNvGraphicFramePr>
              <a:graphicFrameLocks noChangeAspect="1"/>
            </wp:cNvGraphicFramePr>
            <a:graphic>
              <a:graphicData uri="http://schemas.openxmlformats.org/drawingml/2006/picture">
                <pic:pic>
                  <pic:nvPicPr>
                    <pic:cNvPr id="0" name="g7-unit-economics.png"/>
                    <pic:cNvPicPr/>
                  </pic:nvPicPr>
                  <pic:blipFill>
                    <a:blip r:embed="rId17"/>
                    <a:stretch>
                      <a:fillRect/>
                    </a:stretch>
                  </pic:blipFill>
                  <pic:spPr>
                    <a:xfrm>
                      <a:off x="0" y="0"/>
                      <a:ext cx="5760000" cy="2853578"/>
                    </a:xfrm>
                    <a:prstGeom prst="rect"/>
                  </pic:spPr>
                </pic:pic>
              </a:graphicData>
            </a:graphic>
          </wp:inline>
        </w:drawing>
      </w:r>
    </w:p>
    <w:p>
      <w:pPr>
        <w:spacing w:after="200"/>
        <w:jc w:val="center"/>
      </w:pPr>
      <w:r>
        <w:rPr>
          <w:b w:val="0"/>
          <w:color w:val="6B7280"/>
          <w:sz w:val="16"/>
        </w:rPr>
        <w:t>Figure 8 — Why niche first, in two lines: acquisition cost and the share of athletes who monetise, niche against popular.</w:t>
      </w:r>
    </w:p>
    <w:p>
      <w:pPr>
        <w:spacing w:after="140" w:line="276" w:lineRule="auto"/>
        <w:jc w:val="both"/>
      </w:pPr>
      <w:r>
        <w:rPr>
          <w:b w:val="0"/>
          <w:color w:val="1F2937"/>
          <w:sz w:val="20"/>
        </w:rP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pPr>
        <w:pStyle w:val="Heading2"/>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pStyle w:val="Heading2"/>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pStyle w:val="Heading2"/>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€3.43M</w:t>
            </w:r>
          </w:p>
        </w:tc>
        <w:tc>
          <w:tcPr>
            <w:tcW w:type="dxa" w:w="1512"/>
          </w:tcPr>
          <w:p>
            <w:pPr>
              <w:spacing w:after="40" w:before="40"/>
            </w:pPr>
            <w:r/>
            <w:r>
              <w:rPr>
                <w:b/>
                <w:color w:val="1F2937"/>
                <w:sz w:val="17"/>
              </w:rPr>
              <w:t>€10.70M</w:t>
            </w:r>
          </w:p>
        </w:tc>
        <w:tc>
          <w:tcPr>
            <w:tcW w:type="dxa" w:w="1512"/>
          </w:tcPr>
          <w:p>
            <w:pPr>
              <w:spacing w:after="40" w:before="40"/>
            </w:pPr>
            <w:r/>
            <w:r>
              <w:rPr>
                <w:b/>
                <w:color w:val="1F2937"/>
                <w:sz w:val="17"/>
              </w:rPr>
              <w:t>€25.38M</w:t>
            </w:r>
          </w:p>
        </w:tc>
      </w:tr>
    </w:tbl>
    <w:p>
      <w:pPr>
        <w:spacing w:after="160" w:before="0"/>
      </w:pPr>
    </w:p>
    <w:p>
      <w:pPr>
        <w:spacing w:after="120" w:before="0"/>
      </w:pPr>
    </w:p>
    <w:p>
      <w:pPr>
        <w:pStyle w:val="Heading1"/>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 there is no warehouse, no bill of materials and no delivery fleet —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pStyle w:val="Heading3"/>
        <w:keepNext/>
        <w:spacing w:before="200" w:after="100"/>
      </w:pPr>
      <w:r>
        <w:rPr>
          <w:b/>
          <w:color w:val="6B7280"/>
          <w:sz w:val="22"/>
        </w:rPr>
        <w:t>5.1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 connected social accounts, engagement refresh</w:t>
        <w:br/>
        <w:t xml:space="preserve">  S2  Payments and payouts — collection, float, athlete settlement, reconciliation</w:t>
        <w:br/>
        <w:t xml:space="preserve">  S3  Support and dispute handling —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(§5.2).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pStyle w:val="Heading4"/>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 against 22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pStyle w:val="Heading3"/>
        <w:keepNext/>
        <w:spacing w:before="200" w:after="100"/>
      </w:pPr>
      <w:r>
        <w:rPr>
          <w:b/>
          <w:color w:val="6B7280"/>
          <w:sz w:val="22"/>
        </w:rPr>
        <w:t>5.2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§5.10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8</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pStyle w:val="Heading3"/>
        <w:keepNext/>
        <w:spacing w:before="200" w:after="100"/>
      </w:pPr>
      <w:r>
        <w:rPr>
          <w:b/>
          <w:color w:val="6B7280"/>
          <w:sz w:val="22"/>
        </w:rPr>
        <w:t>5.3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 taxable years against the standard 25%, worth </w:t>
      </w:r>
      <w:r>
        <w:rPr>
          <w:b/>
          <w:color w:val="1F2937"/>
          <w:sz w:val="20"/>
        </w:rPr>
        <w:t>€1.57M across Y6–Y9</w:t>
      </w:r>
      <w:r>
        <w:rPr>
          <w:b w:val="0"/>
          <w:color w:val="1F2937"/>
          <w:sz w:val="20"/>
        </w:rPr>
        <w:t xml:space="preserve"> in the 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 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 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 club channel and the anchor athlete relationship, both of which are 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pStyle w:val="Heading3"/>
        <w:keepNext/>
        <w:spacing w:before="200" w:after="100"/>
      </w:pPr>
      <w:r>
        <w:rPr>
          <w:b/>
          <w:color w:val="6B7280"/>
          <w:sz w:val="22"/>
        </w:rPr>
        <w:t>5.4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pStyle w:val="Heading3"/>
        <w:keepNext/>
        <w:spacing w:before="200" w:after="100"/>
      </w:pPr>
      <w:r>
        <w:rPr>
          <w:b/>
          <w:color w:val="6B7280"/>
          <w:sz w:val="22"/>
        </w:rPr>
        <w:t>5.5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§5.10</w:t>
            </w:r>
          </w:p>
        </w:tc>
        <w:tc>
          <w:tcPr>
            <w:tcW w:type="dxa" w:w="2268"/>
          </w:tcPr>
          <w:p>
            <w:pPr>
              <w:spacing w:after="40" w:before="40"/>
            </w:pPr>
            <w:r/>
            <w:r>
              <w:rPr>
                <w:b w:val="0"/>
                <w:color w:val="1F2937"/>
                <w:sz w:val="17"/>
              </w:rPr>
              <w:t>€2.55M</w:t>
            </w:r>
          </w:p>
        </w:tc>
      </w:tr>
    </w:tbl>
    <w:p>
      <w:pPr>
        <w:spacing w:after="160" w:before="0"/>
      </w:pPr>
    </w:p>
    <w:p>
      <w:pPr>
        <w:spacing w:after="120" w:before="0"/>
      </w:pPr>
    </w:p>
    <w:p>
      <w:pPr>
        <w:pStyle w:val="Heading3"/>
        <w:keepNext/>
        <w:spacing w:before="200" w:after="100"/>
      </w:pPr>
      <w:r>
        <w:rPr>
          <w:b/>
          <w:color w:val="6B7280"/>
          <w:sz w:val="22"/>
        </w:rPr>
        <w:t>5.6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pPr>
        <w:spacing w:after="120" w:before="0"/>
      </w:pPr>
    </w:p>
    <w:p>
      <w:pPr>
        <w:pStyle w:val="Heading3"/>
        <w:keepNext/>
        <w:spacing w:before="200" w:after="100"/>
      </w:pPr>
      <w:r>
        <w:rPr>
          <w:b/>
          <w:color w:val="6B7280"/>
          <w:sz w:val="22"/>
        </w:rPr>
        <w:t>5.7 Delivery times and service levels</w:t>
      </w:r>
    </w:p>
    <w:p>
      <w:pPr>
        <w:spacing w:after="140" w:line="276" w:lineRule="auto"/>
        <w:jc w:val="both"/>
      </w:pPr>
      <w:r>
        <w:rPr>
          <w:b w:val="0"/>
          <w:color w:val="1F2937"/>
          <w:sz w:val="20"/>
        </w:rPr>
        <w:t>These are commitments, not observations —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pStyle w:val="Heading3"/>
        <w:keepNext/>
        <w:spacing w:before="200" w:after="100"/>
      </w:pPr>
      <w:r>
        <w:rPr>
          <w:b/>
          <w:color w:val="6B7280"/>
          <w:sz w:val="22"/>
        </w:rPr>
        <w:t>5.8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pStyle w:val="Heading3"/>
        <w:keepNext/>
        <w:spacing w:before="200" w:after="100"/>
      </w:pPr>
      <w:r>
        <w:rPr>
          <w:b/>
          <w:color w:val="6B7280"/>
          <w:sz w:val="22"/>
        </w:rPr>
        <w:t>5.9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pPr>
        <w:spacing w:after="120" w:before="0"/>
      </w:pPr>
    </w:p>
    <w:p>
      <w:pPr>
        <w:pStyle w:val="Heading3"/>
        <w:keepNext/>
        <w:spacing w:before="200" w:after="100"/>
      </w:pPr>
      <w:r>
        <w:rPr>
          <w:b/>
          <w:color w:val="6B7280"/>
          <w:sz w:val="22"/>
        </w:rPr>
        <w:t>5.10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w:t>
            </w:r>
          </w:p>
        </w:tc>
        <w:tc>
          <w:tcPr>
            <w:tcW w:type="dxa" w:w="1814"/>
            <w:shd w:val="clear" w:fill="EFF1F3"/>
          </w:tcPr>
          <w:p>
            <w:pPr>
              <w:spacing w:after="40" w:before="40"/>
            </w:pPr>
            <w:r/>
            <w:r>
              <w:rPr>
                <w:b/>
                <w:color w:val="1F2937"/>
                <w:sz w:val="17"/>
              </w:rPr>
              <w:t>Ex-VAT</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Processing cost</w:t>
            </w:r>
          </w:p>
        </w:tc>
        <w:tc>
          <w:tcPr>
            <w:tcW w:type="dxa" w:w="1814"/>
            <w:shd w:val="clear" w:fill="EFF1F3"/>
          </w:tcPr>
          <w:p>
            <w:pPr>
              <w:spacing w:after="40" w:before="40"/>
            </w:pPr>
            <w:r/>
            <w:r>
              <w:rPr>
                <w:b/>
                <w:color w:val="1F2937"/>
                <w:sz w:val="17"/>
              </w:rPr>
              <w:t>We retain</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€4.12</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€8.26</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€20.65</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77%</w:t>
            </w:r>
          </w:p>
        </w:tc>
      </w:tr>
    </w:tbl>
    <w:p>
      <w:pPr>
        <w:spacing w:after="160" w:before="0"/>
      </w:pPr>
    </w:p>
    <w:p>
      <w:pPr>
        <w:spacing w:after="140" w:line="276" w:lineRule="auto"/>
        <w:jc w:val="both"/>
      </w:pPr>
      <w:r>
        <w:rPr>
          <w:b w:val="0"/>
          <w:color w:val="1F2937"/>
          <w:sz w:val="20"/>
        </w:rPr>
        <w:t xml:space="preserve">The take is charged on the </w:t>
      </w:r>
      <w:r>
        <w:rPr>
          <w:b/>
          <w:color w:val="1F2937"/>
          <w:sz w:val="20"/>
        </w:rPr>
        <w:t>VAT-exclusive</w:t>
      </w:r>
      <w:r>
        <w:rPr>
          <w:b w:val="0"/>
          <w:color w:val="1F2937"/>
          <w:sz w:val="20"/>
        </w:rPr>
        <w:t xml:space="preserve"> price, because that is the base the model uses. At €4.99 we keep well under half of our own commission; at €9.99, about two thirds.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xml:space="preserve"> —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color w:val="1F2937"/>
                <w:sz w:val="17"/>
              </w:rPr>
              <w:t>€1.49 in Y1, €2.75 by Y7</w:t>
            </w:r>
            <w:r>
              <w:rPr>
                <w:b w:val="0"/>
                <w:color w:val="1F2937"/>
                <w:sz w:val="17"/>
              </w:rPr>
              <w:t xml:space="preserve"> (4 min at a loaded hourly rising from €22.35 to €41.18)</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pStyle w:val="Heading3"/>
        <w:keepNext/>
        <w:spacing w:before="200" w:after="100"/>
      </w:pPr>
      <w:r>
        <w:rPr>
          <w:b/>
          <w:color w:val="6B7280"/>
          <w:sz w:val="22"/>
        </w:rPr>
        <w:t>5.11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 not a feature — is what unlocks the next stage.</w:t>
      </w:r>
    </w:p>
    <w:p>
      <w:pPr>
        <w:pStyle w:val="Heading1"/>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€10.7M of revenue at Y7 with 22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5</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pStyle w:val="Heading3"/>
        <w:keepNext/>
        <w:spacing w:before="200" w:after="100"/>
      </w:pPr>
      <w:r>
        <w:rPr>
          <w:b/>
          <w:color w:val="6B7280"/>
          <w:sz w:val="22"/>
        </w:rPr>
        <w:t>6.1 Organizational structure</w:t>
      </w:r>
    </w:p>
    <w:p>
      <w:pPr>
        <w:pStyle w:val="Heading4"/>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val="0"/>
          <w:color w:val="1F2937"/>
          <w:sz w:val="20"/>
        </w:rPr>
        <w:t xml:space="preserve">Growth to 38 FTE by Y10. The shape is deliberate: </w:t>
      </w:r>
      <w:r>
        <w:rPr>
          <w:b/>
          <w:color w:val="1F2937"/>
          <w:sz w:val="20"/>
        </w:rPr>
        <w:t>the team stays below five people until fan revenue is proven</w:t>
      </w:r>
      <w:r>
        <w:rPr>
          <w:b w:val="0"/>
          <w:color w:val="1F2937"/>
          <w:sz w:val="20"/>
        </w:rPr>
        <w:t>, because the pre-seed gate tests an assumption, and testing an assumption does not need an organisation.</w:t>
      </w:r>
    </w:p>
    <w:p>
      <w:pPr>
        <w:pStyle w:val="Heading4"/>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Y1–Y2  ── FOUNDER / CEO ──┬── Full-stack engineer</w:t>
        <w:br/>
        <w:t xml:space="preserve">  (2 FTE)                   └── Community / athlete lead</w:t>
        <w:br/>
        <w:br/>
        <w:t xml:space="preserve">  Y3–Y5  ── FOUNDER / CEO ──┬── ENGINEERING ── senior eng · full-stack</w:t>
        <w:br/>
        <w:t xml:space="preserve">  (3.5→10)                  ├── GROWTH ────── BD/partnerships · athlete success</w:t>
        <w:br/>
        <w:t xml:space="preserve">                            ├── OPERATIONS ── moderation lead · review</w:t>
        <w:br/>
        <w:t xml:space="preserve">                            └── FINANCE &amp; COMPLIANCE ── finance/ops · DPO (frac.)</w:t>
        <w:br/>
        <w:br/>
        <w:t xml:space="preserve">  Y6+    ── FOUNDER / CEO ──┬── VP ENGINEERING ── platform · data · mobile</w:t>
        <w:br/>
        <w:t xml:space="preserve">  (15→38)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Y4 and a function only from Y5. There is no separate marketing team before Y6 —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pStyle w:val="Heading3"/>
        <w:keepNext/>
        <w:spacing w:before="200" w:after="100"/>
      </w:pPr>
      <w:r>
        <w:rPr>
          <w:b/>
          <w:color w:val="6B7280"/>
          <w:sz w:val="22"/>
        </w:rPr>
        <w:t>6.2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pStyle w:val="Heading4"/>
        <w:keepNext/>
        <w:spacing w:before="200" w:after="100"/>
      </w:pPr>
      <w:r>
        <w:rPr>
          <w:b/>
          <w:color w:val="6B7280"/>
          <w:sz w:val="20"/>
        </w:rPr>
        <w:t>Founder / CEO —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pStyle w:val="Heading4"/>
        <w:keepNext/>
        <w:spacing w:before="200" w:after="100"/>
      </w:pPr>
      <w:r>
        <w:rPr>
          <w:b/>
          <w:color w:val="6B7280"/>
          <w:sz w:val="20"/>
        </w:rPr>
        <w:t>Senior engineer — Y2</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pStyle w:val="Heading4"/>
        <w:keepNext/>
        <w:spacing w:before="200" w:after="100"/>
      </w:pPr>
      <w:r>
        <w:rPr>
          <w:b/>
          <w:color w:val="6B7280"/>
          <w:sz w:val="20"/>
        </w:rPr>
        <w:t>BD / partnerships — Y2</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pStyle w:val="Heading4"/>
        <w:keepNext/>
        <w:spacing w:before="200" w:after="100"/>
      </w:pPr>
      <w:r>
        <w:rPr>
          <w:b/>
          <w:color w:val="6B7280"/>
          <w:sz w:val="20"/>
        </w:rPr>
        <w:t>Athlete success — Y3</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pStyle w:val="Heading4"/>
        <w:keepNext/>
        <w:spacing w:before="200" w:after="100"/>
      </w:pPr>
      <w:r>
        <w:rPr>
          <w:b/>
          <w:color w:val="6B7280"/>
          <w:sz w:val="20"/>
        </w:rPr>
        <w:t>Content moderation lead — Y3</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pStyle w:val="Heading4"/>
        <w:keepNext/>
        <w:spacing w:before="200" w:after="100"/>
      </w:pPr>
      <w:r>
        <w:rPr>
          <w:b/>
          <w:color w:val="6B7280"/>
          <w:sz w:val="20"/>
        </w:rPr>
        <w:t>Finance / operations — Y4</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pStyle w:val="Heading4"/>
        <w:keepNext/>
        <w:spacing w:before="200" w:after="100"/>
      </w:pPr>
      <w:r>
        <w:rPr>
          <w:b/>
          <w:color w:val="6B7280"/>
          <w:sz w:val="20"/>
        </w:rPr>
        <w:t>Data protection officer — Y3 fractional → Y5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pStyle w:val="Heading3"/>
        <w:keepNext/>
        <w:spacing w:before="200" w:after="100"/>
      </w:pPr>
      <w:r>
        <w:rPr>
          <w:b/>
          <w:color w:val="6B7280"/>
          <w:sz w:val="22"/>
        </w:rPr>
        <w:t>6.3 HR policies</w:t>
      </w:r>
    </w:p>
    <w:p>
      <w:pPr>
        <w:pStyle w:val="Heading4"/>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 role: a real pull request against a scoped issue, paid at market rate. Consistent with a product whose own admission gate refuses to accept 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 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 seen and applied identically. This is both a legal requirement in Spain and a stated commitment (§6.5).</w:t>
      </w:r>
    </w:p>
    <w:p>
      <w:pPr>
        <w:pStyle w:val="Heading4"/>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 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xml:space="preserve">, not to the calendar. The pre-seed, seed and Series A gates in </w:t>
      </w:r>
      <w:r>
        <w:rPr>
          <w:b w:val="0"/>
          <w:color w:val="1F2937"/>
          <w:sz w:val="20"/>
        </w:rPr>
        <w:t>04</w:t>
      </w:r>
      <w:r>
        <w:rPr>
          <w:b w:val="0"/>
          <w:color w:val="1F2937"/>
          <w:sz w:val="20"/>
        </w:rPr>
        <w:t xml:space="preserve"> are evidence 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 they lose alignment.</w:t>
      </w:r>
    </w:p>
    <w:p>
      <w:pPr>
        <w:pStyle w:val="Heading4"/>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€10.7M of revenue. If that is true, equity is worth more than the salary gap — and if a candidate does not believe it, they are the wrong hire for a company whose central claim is exactly that.</w:t>
      </w:r>
    </w:p>
    <w:p>
      <w:pPr>
        <w:spacing w:after="120" w:before="0"/>
      </w:pPr>
    </w:p>
    <w:p>
      <w:pPr>
        <w:pStyle w:val="Heading3"/>
        <w:keepNext/>
        <w:spacing w:before="200" w:after="100"/>
      </w:pPr>
      <w:r>
        <w:rPr>
          <w:b/>
          <w:color w:val="6B7280"/>
          <w:sz w:val="22"/>
        </w:rPr>
        <w:t>6.4 Governance structure</w:t>
      </w:r>
    </w:p>
    <w:p>
      <w:pPr>
        <w:pStyle w:val="Heading4"/>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8</w:t>
      </w:r>
      <w:r>
        <w:rPr>
          <w:b w:val="0"/>
          <w:color w:val="1F2937"/>
          <w:sz w:val="20"/>
        </w:rPr>
        <w:t>.</w:t>
      </w:r>
    </w:p>
    <w:p>
      <w:pPr>
        <w:pStyle w:val="Heading4"/>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(€600k)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79%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66%</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55%</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~49%</w:t>
            </w:r>
          </w:p>
        </w:tc>
      </w:tr>
    </w:tbl>
    <w:p>
      <w:pPr>
        <w:spacing w:after="160" w:before="0"/>
      </w:pPr>
    </w:p>
    <w:p>
      <w:pPr>
        <w:pStyle w:val="Heading4"/>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xml:space="preserve"> — it is the decision most likely to be pressured commercially and least reversible reputationally.</w:t>
      </w:r>
    </w:p>
    <w:p>
      <w:pPr>
        <w:pStyle w:val="Heading4"/>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pool</w:t>
      </w:r>
      <w:r>
        <w:rPr>
          <w:b w:val="0"/>
          <w:color w:val="1F2937"/>
          <w:sz w:val="20"/>
        </w:rPr>
        <w:t xml:space="preserve"> is opened at the pre-seed, vesting over two years. It covers two grants: the anchor-athlete advisor, which </w:t>
      </w:r>
      <w:r>
        <w:rPr>
          <w:b w:val="0"/>
          <w:color w:val="1F2937"/>
          <w:sz w:val="20"/>
        </w:rPr>
        <w:t>04</w:t>
      </w:r>
      <w:r>
        <w:rPr>
          <w:b w:val="0"/>
          <w:color w:val="1F2937"/>
          <w:sz w:val="20"/>
        </w:rPr>
        <w:t xml:space="preserve"> sizes at </w:t>
      </w:r>
      <w:r>
        <w:rPr>
          <w:b/>
          <w:color w:val="1F2937"/>
          <w:sz w:val="20"/>
        </w:rPr>
        <w:t>1%</w:t>
      </w:r>
      <w:r>
        <w:rPr>
          <w:b w:val="0"/>
          <w:color w:val="1F2937"/>
          <w:sz w:val="20"/>
        </w:rPr>
        <w:t xml:space="preserve"> within a 0.5–1.5% range and against a performance trigger, and a sports-industry board advisor of similar size. The dilution table above models the </w:t>
      </w:r>
      <w:r>
        <w:rPr>
          <w:b/>
          <w:color w:val="1F2937"/>
          <w:sz w:val="20"/>
        </w:rPr>
        <w:t>full 2%</w:t>
      </w:r>
      <w:r>
        <w:rPr>
          <w:b w:val="0"/>
          <w:color w:val="1F2937"/>
          <w:sz w:val="20"/>
        </w:rPr>
        <w:t>, which is deliberately the expensive assumption — if only one grant is ever made the founder retains more than the table shows, not less. The intended profile is sports-industry rather than technology: the plan's weakest external dependency is the anchor athlete and the club channel, not the code.</w:t>
      </w:r>
    </w:p>
    <w:p>
      <w:pPr>
        <w:spacing w:after="120" w:before="0"/>
      </w:pPr>
    </w:p>
    <w:p>
      <w:pPr>
        <w:pStyle w:val="Heading3"/>
        <w:keepNext/>
        <w:spacing w:before="200" w:after="100"/>
      </w:pPr>
      <w:r>
        <w:rPr>
          <w:b/>
          <w:color w:val="6B7280"/>
          <w:sz w:val="22"/>
        </w:rPr>
        <w:t>6.5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 Responsible Consumption</w:t>
            </w:r>
          </w:p>
        </w:tc>
        <w:tc>
          <w:tcPr>
            <w:tcW w:type="dxa" w:w="3024"/>
          </w:tcPr>
          <w:p>
            <w:pPr>
              <w:spacing w:after="40" w:before="40"/>
            </w:pPr>
            <w:r/>
            <w:r>
              <w:rPr>
                <w:b w:val="0"/>
                <w:color w:val="1F2937"/>
                <w:sz w:val="17"/>
              </w:rPr>
              <w:t xml:space="preserve">The zero-egress architecture is chosen on cost, and the same decision cuts billed cross-network transfer by an order of magnitude. We do </w:t>
            </w:r>
            <w:r>
              <w:rPr>
                <w:b/>
                <w:color w:val="1F2937"/>
                <w:sz w:val="17"/>
              </w:rPr>
              <w:t>not</w:t>
            </w:r>
            <w:r>
              <w:rPr>
                <w:b w:val="0"/>
                <w:color w:val="1F2937"/>
                <w:sz w:val="17"/>
              </w:rPr>
              <w:t xml:space="preserve"> claim a measured energy saving: the €0.075 against €0.008 per GB in </w:t>
            </w:r>
            <w:r>
              <w:rPr>
                <w:b w:val="0"/>
                <w:color w:val="1F2937"/>
                <w:sz w:val="17"/>
              </w:rPr>
              <w:t>02</w:t>
            </w:r>
            <w:r>
              <w:rPr>
                <w:b w:val="0"/>
                <w:color w:val="1F2937"/>
                <w:sz w:val="17"/>
              </w:rPr>
              <w:t xml:space="preserve"> is a price ratio, and no energy measurement sits behind it</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 for a year or two. Adults paying for private access to a minor is a categorically different risk from a sponsor paying for a post, and we treat 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 20% take. It buys a pricing argument that survives contact with the exact athlete we target.</w:t>
      </w:r>
    </w:p>
    <w:p>
      <w:pPr>
        <w:spacing w:after="140" w:line="276" w:lineRule="auto"/>
        <w:jc w:val="both"/>
      </w:pPr>
      <w:r>
        <w:rPr>
          <w:b w:val="0"/>
          <w:color w:val="1F2937"/>
          <w:sz w:val="20"/>
        </w:rPr>
        <w:t>Each of these is a decision we would rather explain than have found.</w:t>
      </w:r>
    </w:p>
    <w:p>
      <w:pPr>
        <w:pStyle w:val="Heading1"/>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pStyle w:val="Heading2"/>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282 prose claims across 14 documents</w:t>
      </w:r>
      <w:r>
        <w:rPr>
          <w:b w:val="0"/>
          <w:color w:val="1F2937"/>
          <w:sz w:val="20"/>
        </w:rPr>
        <w:t xml:space="preserve"> against the model and fails the build if any figure drifts; a second guard evaluates all 2,520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Standard for stage</w:t>
            </w:r>
          </w:p>
        </w:tc>
      </w:tr>
    </w:tbl>
    <w:p>
      <w:pPr>
        <w:spacing w:after="160" w:before="0"/>
      </w:pPr>
    </w:p>
    <w:p>
      <w:pPr>
        <w:pStyle w:val="Heading2"/>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134</w:t>
            </w:r>
          </w:p>
        </w:tc>
        <w:tc>
          <w:tcPr>
            <w:tcW w:type="dxa" w:w="1134"/>
          </w:tcPr>
          <w:p>
            <w:pPr>
              <w:spacing w:after="40" w:before="40"/>
            </w:pPr>
            <w:r/>
            <w:r>
              <w:rPr>
                <w:b w:val="0"/>
                <w:color w:val="1F2937"/>
                <w:sz w:val="17"/>
              </w:rPr>
              <w:t>535</w:t>
            </w:r>
          </w:p>
        </w:tc>
        <w:tc>
          <w:tcPr>
            <w:tcW w:type="dxa" w:w="1134"/>
          </w:tcPr>
          <w:p>
            <w:pPr>
              <w:spacing w:after="40" w:before="40"/>
            </w:pPr>
            <w:r/>
            <w:r>
              <w:rPr>
                <w:b w:val="0"/>
                <w:color w:val="1F2937"/>
                <w:sz w:val="17"/>
              </w:rPr>
              <w:t>1,504</w:t>
            </w:r>
          </w:p>
        </w:tc>
        <w:tc>
          <w:tcPr>
            <w:tcW w:type="dxa" w:w="1134"/>
          </w:tcPr>
          <w:p>
            <w:pPr>
              <w:spacing w:after="40" w:before="40"/>
            </w:pPr>
            <w:r/>
            <w:r>
              <w:rPr>
                <w:b w:val="0"/>
                <w:color w:val="1F2937"/>
                <w:sz w:val="17"/>
              </w:rPr>
              <w:t>3,426</w:t>
            </w:r>
          </w:p>
        </w:tc>
        <w:tc>
          <w:tcPr>
            <w:tcW w:type="dxa" w:w="1134"/>
          </w:tcPr>
          <w:p>
            <w:pPr>
              <w:spacing w:after="40" w:before="40"/>
            </w:pPr>
            <w:r/>
            <w:r>
              <w:rPr>
                <w:b w:val="0"/>
                <w:color w:val="1F2937"/>
                <w:sz w:val="17"/>
              </w:rPr>
              <w:t>6,527</w:t>
            </w:r>
          </w:p>
        </w:tc>
        <w:tc>
          <w:tcPr>
            <w:tcW w:type="dxa" w:w="1134"/>
          </w:tcPr>
          <w:p>
            <w:pPr>
              <w:spacing w:after="40" w:before="40"/>
            </w:pPr>
            <w:r/>
            <w:r>
              <w:rPr>
                <w:b w:val="0"/>
                <w:color w:val="1F2937"/>
                <w:sz w:val="17"/>
              </w:rPr>
              <w:t>10,702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−169</w:t>
            </w:r>
          </w:p>
        </w:tc>
        <w:tc>
          <w:tcPr>
            <w:tcW w:type="dxa" w:w="1134"/>
          </w:tcPr>
          <w:p>
            <w:pPr>
              <w:spacing w:after="40" w:before="40"/>
            </w:pPr>
            <w:r/>
            <w:r>
              <w:rPr>
                <w:b/>
                <w:color w:val="1F2937"/>
                <w:sz w:val="17"/>
              </w:rPr>
              <w:t>−228</w:t>
            </w:r>
          </w:p>
        </w:tc>
        <w:tc>
          <w:tcPr>
            <w:tcW w:type="dxa" w:w="1134"/>
          </w:tcPr>
          <w:p>
            <w:pPr>
              <w:spacing w:after="40" w:before="40"/>
            </w:pPr>
            <w:r/>
            <w:r>
              <w:rPr>
                <w:b/>
                <w:color w:val="1F2937"/>
                <w:sz w:val="17"/>
              </w:rPr>
              <w:t>−173</w:t>
            </w:r>
          </w:p>
        </w:tc>
        <w:tc>
          <w:tcPr>
            <w:tcW w:type="dxa" w:w="1134"/>
          </w:tcPr>
          <w:p>
            <w:pPr>
              <w:spacing w:after="40" w:before="40"/>
            </w:pPr>
            <w:r/>
            <w:r>
              <w:rPr>
                <w:b/>
                <w:color w:val="1F2937"/>
                <w:sz w:val="17"/>
              </w:rPr>
              <w:t>278</w:t>
            </w:r>
          </w:p>
        </w:tc>
        <w:tc>
          <w:tcPr>
            <w:tcW w:type="dxa" w:w="1134"/>
          </w:tcPr>
          <w:p>
            <w:pPr>
              <w:spacing w:after="40" w:before="40"/>
            </w:pPr>
            <w:r/>
            <w:r>
              <w:rPr>
                <w:b/>
                <w:color w:val="1F2937"/>
                <w:sz w:val="17"/>
              </w:rPr>
              <w:t>1,439</w:t>
            </w:r>
          </w:p>
        </w:tc>
        <w:tc>
          <w:tcPr>
            <w:tcW w:type="dxa" w:w="1134"/>
          </w:tcPr>
          <w:p>
            <w:pPr>
              <w:spacing w:after="40" w:before="40"/>
            </w:pPr>
            <w:r/>
            <w:r>
              <w:rPr>
                <w:b/>
                <w:color w:val="1F2937"/>
                <w:sz w:val="17"/>
              </w:rPr>
              <w:t>3,119</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9" name="Picture 9"/>
            <wp:cNvGraphicFramePr>
              <a:graphicFrameLocks noChangeAspect="1"/>
            </wp:cNvGraphicFramePr>
            <a:graphic>
              <a:graphicData uri="http://schemas.openxmlformats.org/drawingml/2006/picture">
                <pic:pic>
                  <pic:nvPicPr>
                    <pic:cNvPr id="0" name="g11-cogs-composition.png"/>
                    <pic:cNvPicPr/>
                  </pic:nvPicPr>
                  <pic:blipFill>
                    <a:blip r:embed="rId18"/>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9 — What cost of revenue is made of. The dashed line is the infrastructure we chose not to buy.</w:t>
      </w:r>
    </w:p>
    <w:p>
      <w:pPr>
        <w:spacing w:after="140" w:line="276" w:lineRule="auto"/>
        <w:jc w:val="both"/>
      </w:pPr>
      <w:r>
        <w:rPr>
          <w:b/>
          <w:color w:val="1F2937"/>
          <w:sz w:val="20"/>
        </w:rPr>
        <w:t>Payment processing is 24% of Y7 revenue and nearly eight times infrastructure.</w:t>
      </w:r>
      <w:r>
        <w:rPr>
          <w:b w:val="0"/>
          <w:color w:val="1F2937"/>
          <w:sz w:val="20"/>
        </w:rPr>
        <w:t xml:space="preserve"> Any optimisation effort belongs in tier pricing, annual billing and processor negotiation, not in the AWS bill.</w:t>
      </w:r>
    </w:p>
    <w:p>
      <w:pPr>
        <w:pStyle w:val="Heading2"/>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€504k</w:t>
            </w:r>
          </w:p>
        </w:tc>
        <w:tc>
          <w:tcPr>
            <w:tcW w:type="dxa" w:w="1814"/>
          </w:tcPr>
          <w:p>
            <w:pPr>
              <w:spacing w:after="40" w:before="40"/>
            </w:pPr>
            <w:r/>
            <w:r>
              <w:rPr>
                <w:b w:val="0"/>
                <w:color w:val="1F2937"/>
                <w:sz w:val="17"/>
              </w:rPr>
              <w:t>€161k</w:t>
            </w:r>
          </w:p>
        </w:tc>
        <w:tc>
          <w:tcPr>
            <w:tcW w:type="dxa" w:w="1814"/>
          </w:tcPr>
          <w:p>
            <w:pPr>
              <w:spacing w:after="40" w:before="40"/>
            </w:pPr>
            <w:r/>
            <w:r>
              <w:rPr>
                <w:b w:val="0"/>
                <w:color w:val="1F2937"/>
                <w:sz w:val="17"/>
              </w:rPr>
              <w:t>€2.73M</w:t>
            </w:r>
          </w:p>
        </w:tc>
        <w:tc>
          <w:tcPr>
            <w:tcW w:type="dxa" w:w="1814"/>
          </w:tcPr>
          <w:p>
            <w:pPr>
              <w:spacing w:after="40" w:before="40"/>
            </w:pPr>
            <w:r/>
            <w:r>
              <w:rPr>
                <w:b w:val="0"/>
                <w:color w:val="1F2937"/>
                <w:sz w:val="17"/>
              </w:rPr>
              <w:t>€15.93M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€26k</w:t>
            </w:r>
          </w:p>
        </w:tc>
        <w:tc>
          <w:tcPr>
            <w:tcW w:type="dxa" w:w="1814"/>
          </w:tcPr>
          <w:p>
            <w:pPr>
              <w:spacing w:after="40" w:before="40"/>
            </w:pPr>
            <w:r/>
            <w:r>
              <w:rPr>
                <w:b w:val="0"/>
                <w:color w:val="1F2937"/>
                <w:sz w:val="17"/>
              </w:rPr>
              <w:t>€213k</w:t>
            </w:r>
          </w:p>
        </w:tc>
        <w:tc>
          <w:tcPr>
            <w:tcW w:type="dxa" w:w="1814"/>
          </w:tcPr>
          <w:p>
            <w:pPr>
              <w:spacing w:after="40" w:before="40"/>
            </w:pPr>
            <w:r/>
            <w:r>
              <w:rPr>
                <w:b w:val="0"/>
                <w:color w:val="1F2937"/>
                <w:sz w:val="17"/>
              </w:rPr>
              <w:t>€726k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€11k</w:t>
            </w:r>
          </w:p>
        </w:tc>
        <w:tc>
          <w:tcPr>
            <w:tcW w:type="dxa" w:w="1814"/>
          </w:tcPr>
          <w:p>
            <w:pPr>
              <w:spacing w:after="40" w:before="40"/>
            </w:pPr>
            <w:r/>
            <w:r>
              <w:rPr>
                <w:b w:val="0"/>
                <w:color w:val="1F2937"/>
                <w:sz w:val="17"/>
              </w:rPr>
              <w:t>€52k</w:t>
            </w:r>
          </w:p>
        </w:tc>
        <w:tc>
          <w:tcPr>
            <w:tcW w:type="dxa" w:w="1814"/>
          </w:tcPr>
          <w:p>
            <w:pPr>
              <w:spacing w:after="40" w:before="40"/>
            </w:pPr>
            <w:r/>
            <w:r>
              <w:rPr>
                <w:b w:val="0"/>
                <w:color w:val="1F2937"/>
                <w:sz w:val="17"/>
              </w:rPr>
              <w:t>€170k</w:t>
            </w:r>
          </w:p>
        </w:tc>
        <w:tc>
          <w:tcPr>
            <w:tcW w:type="dxa" w:w="1814"/>
          </w:tcPr>
          <w:p>
            <w:pPr>
              <w:spacing w:after="40" w:before="40"/>
            </w:pPr>
            <w:r/>
            <w:r>
              <w:rPr>
                <w:b w:val="0"/>
                <w:color w:val="1F2937"/>
                <w:sz w:val="17"/>
              </w:rPr>
              <w:t>€410k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€516k</w:t>
            </w:r>
          </w:p>
        </w:tc>
        <w:tc>
          <w:tcPr>
            <w:tcW w:type="dxa" w:w="1814"/>
          </w:tcPr>
          <w:p>
            <w:pPr>
              <w:spacing w:after="40" w:before="40"/>
            </w:pPr>
            <w:r/>
            <w:r>
              <w:rPr>
                <w:b/>
                <w:color w:val="1F2937"/>
                <w:sz w:val="17"/>
              </w:rPr>
              <w:t>€239k</w:t>
            </w:r>
          </w:p>
        </w:tc>
        <w:tc>
          <w:tcPr>
            <w:tcW w:type="dxa" w:w="1814"/>
          </w:tcPr>
          <w:p>
            <w:pPr>
              <w:spacing w:after="40" w:before="40"/>
            </w:pPr>
            <w:r/>
            <w:r>
              <w:rPr>
                <w:b/>
                <w:color w:val="1F2937"/>
                <w:sz w:val="17"/>
              </w:rPr>
              <w:t>€3.12M</w:t>
            </w:r>
          </w:p>
        </w:tc>
        <w:tc>
          <w:tcPr>
            <w:tcW w:type="dxa" w:w="1814"/>
          </w:tcPr>
          <w:p>
            <w:pPr>
              <w:spacing w:after="40" w:before="40"/>
            </w:pPr>
            <w:r/>
            <w:r>
              <w:rPr>
                <w:b/>
                <w:color w:val="1F2937"/>
                <w:sz w:val="17"/>
              </w:rPr>
              <w:t>€17.06M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€47k</w:t>
            </w:r>
          </w:p>
        </w:tc>
        <w:tc>
          <w:tcPr>
            <w:tcW w:type="dxa" w:w="1814"/>
          </w:tcPr>
          <w:p>
            <w:pPr>
              <w:spacing w:after="40" w:before="40"/>
            </w:pPr>
            <w:r/>
            <w:r>
              <w:rPr>
                <w:b w:val="0"/>
                <w:color w:val="1F2937"/>
                <w:sz w:val="17"/>
              </w:rPr>
              <w:t>€168k</w:t>
            </w:r>
          </w:p>
        </w:tc>
        <w:tc>
          <w:tcPr>
            <w:tcW w:type="dxa" w:w="1814"/>
          </w:tcPr>
          <w:p>
            <w:pPr>
              <w:spacing w:after="40" w:before="40"/>
            </w:pPr>
            <w:r/>
            <w:r>
              <w:rPr>
                <w:b w:val="0"/>
                <w:color w:val="1F2937"/>
                <w:sz w:val="17"/>
              </w:rPr>
              <w:t>€359k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€17k</w:t>
            </w:r>
          </w:p>
        </w:tc>
        <w:tc>
          <w:tcPr>
            <w:tcW w:type="dxa" w:w="1814"/>
          </w:tcPr>
          <w:p>
            <w:pPr>
              <w:spacing w:after="40" w:before="40"/>
            </w:pPr>
            <w:r/>
            <w:r>
              <w:rPr>
                <w:b/>
                <w:color w:val="1F2937"/>
                <w:sz w:val="17"/>
              </w:rPr>
              <w:t>€191k</w:t>
            </w:r>
          </w:p>
        </w:tc>
        <w:tc>
          <w:tcPr>
            <w:tcW w:type="dxa" w:w="1814"/>
          </w:tcPr>
          <w:p>
            <w:pPr>
              <w:spacing w:after="40" w:before="40"/>
            </w:pPr>
            <w:r/>
            <w:r>
              <w:rPr>
                <w:b/>
                <w:color w:val="1F2937"/>
                <w:sz w:val="17"/>
              </w:rPr>
              <w:t>€1.16M</w:t>
            </w:r>
          </w:p>
        </w:tc>
        <w:tc>
          <w:tcPr>
            <w:tcW w:type="dxa" w:w="1814"/>
          </w:tcPr>
          <w:p>
            <w:pPr>
              <w:spacing w:after="40" w:before="40"/>
            </w:pPr>
            <w:r/>
            <w:r>
              <w:rPr>
                <w:b/>
                <w:color w:val="1F2937"/>
                <w:sz w:val="17"/>
              </w:rPr>
              <w:t>€3.59M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€2.60M</w:t>
            </w:r>
          </w:p>
        </w:tc>
        <w:tc>
          <w:tcPr>
            <w:tcW w:type="dxa" w:w="1814"/>
          </w:tcPr>
          <w:p>
            <w:pPr>
              <w:spacing w:after="40" w:before="40"/>
            </w:pPr>
            <w:r/>
            <w:r>
              <w:rPr>
                <w:b w:val="0"/>
                <w:color w:val="1F2937"/>
                <w:sz w:val="17"/>
              </w:rPr>
              <w:t>€10.60M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€-552k</w:t>
            </w:r>
          </w:p>
        </w:tc>
        <w:tc>
          <w:tcPr>
            <w:tcW w:type="dxa" w:w="1814"/>
          </w:tcPr>
          <w:p>
            <w:pPr>
              <w:spacing w:after="40" w:before="40"/>
            </w:pPr>
            <w:r/>
            <w:r>
              <w:rPr>
                <w:b w:val="0"/>
                <w:color w:val="1F2937"/>
                <w:sz w:val="17"/>
              </w:rPr>
              <w:t>€-642k</w:t>
            </w:r>
          </w:p>
        </w:tc>
        <w:tc>
          <w:tcPr>
            <w:tcW w:type="dxa" w:w="1814"/>
          </w:tcPr>
          <w:p>
            <w:pPr>
              <w:spacing w:after="40" w:before="40"/>
            </w:pPr>
            <w:r/>
            <w:r>
              <w:rPr>
                <w:b w:val="0"/>
                <w:color w:val="1F2937"/>
                <w:sz w:val="17"/>
              </w:rPr>
              <w:t>€2.88M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€499k</w:t>
            </w:r>
          </w:p>
        </w:tc>
        <w:tc>
          <w:tcPr>
            <w:tcW w:type="dxa" w:w="1814"/>
          </w:tcPr>
          <w:p>
            <w:pPr>
              <w:spacing w:after="40" w:before="40"/>
            </w:pPr>
            <w:r/>
            <w:r>
              <w:rPr>
                <w:b/>
                <w:color w:val="1F2937"/>
                <w:sz w:val="17"/>
              </w:rPr>
              <w:t>€48k</w:t>
            </w:r>
          </w:p>
        </w:tc>
        <w:tc>
          <w:tcPr>
            <w:tcW w:type="dxa" w:w="1814"/>
          </w:tcPr>
          <w:p>
            <w:pPr>
              <w:spacing w:after="40" w:before="40"/>
            </w:pPr>
            <w:r/>
            <w:r>
              <w:rPr>
                <w:b/>
                <w:color w:val="1F2937"/>
                <w:sz w:val="17"/>
              </w:rPr>
              <w:t>€1.96M</w:t>
            </w:r>
          </w:p>
        </w:tc>
        <w:tc>
          <w:tcPr>
            <w:tcW w:type="dxa" w:w="1814"/>
          </w:tcPr>
          <w:p>
            <w:pPr>
              <w:spacing w:after="40" w:before="40"/>
            </w:pPr>
            <w:r/>
            <w:r>
              <w:rPr>
                <w:b/>
                <w:color w:val="1F2937"/>
                <w:sz w:val="17"/>
              </w:rPr>
              <w:t>€13.48M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 30% of people cost, amortised over three years —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pStyle w:val="Heading2"/>
        <w:keepNext/>
        <w:spacing w:before="320" w:after="100"/>
      </w:pPr>
      <w:r>
        <w:rPr>
          <w:b/>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indirect method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Net profit</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−€265k</w:t>
            </w:r>
          </w:p>
        </w:tc>
        <w:tc>
          <w:tcPr>
            <w:tcW w:type="dxa" w:w="1814"/>
          </w:tcPr>
          <w:p>
            <w:pPr>
              <w:spacing w:after="40" w:before="40"/>
            </w:pPr>
            <w:r/>
            <w:r>
              <w:rPr>
                <w:b w:val="0"/>
                <w:color w:val="1F2937"/>
                <w:sz w:val="17"/>
              </w:rPr>
              <w:t>€153k</w:t>
            </w:r>
          </w:p>
        </w:tc>
        <w:tc>
          <w:tcPr>
            <w:tcW w:type="dxa" w:w="1814"/>
          </w:tcPr>
          <w:p>
            <w:pPr>
              <w:spacing w:after="40" w:before="40"/>
            </w:pPr>
            <w:r/>
            <w:r>
              <w:rPr>
                <w:b w:val="0"/>
                <w:color w:val="1F2937"/>
                <w:sz w:val="17"/>
              </w:rPr>
              <w:t>€2.38M</w:t>
            </w:r>
          </w:p>
        </w:tc>
      </w:tr>
      <w:tr>
        <w:tc>
          <w:tcPr>
            <w:tcW w:type="dxa" w:w="1814"/>
          </w:tcPr>
          <w:p>
            <w:pPr>
              <w:spacing w:after="40" w:before="40"/>
            </w:pPr>
            <w:r/>
            <w:r>
              <w:rPr>
                <w:b w:val="0"/>
                <w:color w:val="1F2937"/>
                <w:sz w:val="17"/>
              </w:rPr>
              <w:t>Add back amortisation</w:t>
            </w:r>
          </w:p>
        </w:tc>
        <w:tc>
          <w:tcPr>
            <w:tcW w:type="dxa" w:w="1814"/>
          </w:tcPr>
          <w:p>
            <w:pPr>
              <w:spacing w:after="40" w:before="40"/>
            </w:pPr>
            <w:r/>
            <w:r>
              <w:rPr>
                <w:b w:val="0"/>
                <w:color w:val="1F2937"/>
                <w:sz w:val="17"/>
              </w:rPr>
              <w:t>€6k</w:t>
            </w:r>
          </w:p>
        </w:tc>
        <w:tc>
          <w:tcPr>
            <w:tcW w:type="dxa" w:w="1814"/>
          </w:tcPr>
          <w:p>
            <w:pPr>
              <w:spacing w:after="40" w:before="40"/>
            </w:pPr>
            <w:r/>
            <w:r>
              <w:rPr>
                <w:b w:val="0"/>
                <w:color w:val="1F2937"/>
                <w:sz w:val="17"/>
              </w:rPr>
              <w:t>€37k</w:t>
            </w:r>
          </w:p>
        </w:tc>
        <w:tc>
          <w:tcPr>
            <w:tcW w:type="dxa" w:w="1814"/>
          </w:tcPr>
          <w:p>
            <w:pPr>
              <w:spacing w:after="40" w:before="40"/>
            </w:pPr>
            <w:r/>
            <w:r>
              <w:rPr>
                <w:b w:val="0"/>
                <w:color w:val="1F2937"/>
                <w:sz w:val="17"/>
              </w:rPr>
              <w:t>€125k</w:t>
            </w:r>
          </w:p>
        </w:tc>
        <w:tc>
          <w:tcPr>
            <w:tcW w:type="dxa" w:w="1814"/>
          </w:tcPr>
          <w:p>
            <w:pPr>
              <w:spacing w:after="40" w:before="40"/>
            </w:pPr>
            <w:r/>
            <w:r>
              <w:rPr>
                <w:b w:val="0"/>
                <w:color w:val="1F2937"/>
                <w:sz w:val="17"/>
              </w:rPr>
              <w:t>€322k</w:t>
            </w:r>
          </w:p>
        </w:tc>
      </w:tr>
      <w:tr>
        <w:tc>
          <w:tcPr>
            <w:tcW w:type="dxa" w:w="1814"/>
          </w:tcPr>
          <w:p>
            <w:pPr>
              <w:spacing w:after="40" w:before="40"/>
            </w:pPr>
            <w:r/>
            <w:r>
              <w:rPr>
                <w:b w:val="0"/>
                <w:color w:val="1F2937"/>
                <w:sz w:val="17"/>
              </w:rPr>
              <w:t>Change in working capital</w:t>
            </w:r>
          </w:p>
        </w:tc>
        <w:tc>
          <w:tcPr>
            <w:tcW w:type="dxa" w:w="1814"/>
          </w:tcPr>
          <w:p>
            <w:pPr>
              <w:spacing w:after="40" w:before="40"/>
            </w:pPr>
            <w:r/>
            <w:r>
              <w:rPr>
                <w:b w:val="0"/>
                <w:color w:val="1F2937"/>
                <w:sz w:val="17"/>
              </w:rPr>
              <w:t>€16k</w:t>
            </w:r>
          </w:p>
        </w:tc>
        <w:tc>
          <w:tcPr>
            <w:tcW w:type="dxa" w:w="1814"/>
          </w:tcPr>
          <w:p>
            <w:pPr>
              <w:spacing w:after="40" w:before="40"/>
            </w:pPr>
            <w:r/>
            <w:r>
              <w:rPr>
                <w:b w:val="0"/>
                <w:color w:val="1F2937"/>
                <w:sz w:val="17"/>
              </w:rPr>
              <w:t>€110k</w:t>
            </w:r>
          </w:p>
        </w:tc>
        <w:tc>
          <w:tcPr>
            <w:tcW w:type="dxa" w:w="1814"/>
          </w:tcPr>
          <w:p>
            <w:pPr>
              <w:spacing w:after="40" w:before="40"/>
            </w:pPr>
            <w:r/>
            <w:r>
              <w:rPr>
                <w:b w:val="0"/>
                <w:color w:val="1F2937"/>
                <w:sz w:val="17"/>
              </w:rPr>
              <w:t>€516k</w:t>
            </w:r>
          </w:p>
        </w:tc>
        <w:tc>
          <w:tcPr>
            <w:tcW w:type="dxa" w:w="1814"/>
          </w:tcPr>
          <w:p>
            <w:pPr>
              <w:spacing w:after="40" w:before="40"/>
            </w:pPr>
            <w:r/>
            <w:r>
              <w:rPr>
                <w:b w:val="0"/>
                <w:color w:val="1F2937"/>
                <w:sz w:val="17"/>
              </w:rPr>
              <w:t>€1.09M</w:t>
            </w:r>
          </w:p>
        </w:tc>
      </w:tr>
      <w:tr>
        <w:tc>
          <w:tcPr>
            <w:tcW w:type="dxa" w:w="1814"/>
          </w:tcPr>
          <w:p>
            <w:pPr>
              <w:spacing w:after="40" w:before="40"/>
            </w:pPr>
            <w:r/>
            <w:r>
              <w:rPr>
                <w:b/>
                <w:color w:val="1F2937"/>
                <w:sz w:val="17"/>
              </w:rPr>
              <w:t>Operating Cash Flow</w:t>
            </w:r>
          </w:p>
        </w:tc>
        <w:tc>
          <w:tcPr>
            <w:tcW w:type="dxa" w:w="1814"/>
          </w:tcPr>
          <w:p>
            <w:pPr>
              <w:spacing w:after="40" w:before="40"/>
            </w:pPr>
            <w:r/>
            <w:r>
              <w:rPr>
                <w:b/>
                <w:color w:val="1F2937"/>
                <w:sz w:val="17"/>
              </w:rPr>
              <w:t>−€79k</w:t>
            </w:r>
          </w:p>
        </w:tc>
        <w:tc>
          <w:tcPr>
            <w:tcW w:type="dxa" w:w="1814"/>
          </w:tcPr>
          <w:p>
            <w:pPr>
              <w:spacing w:after="40" w:before="40"/>
            </w:pPr>
            <w:r/>
            <w:r>
              <w:rPr>
                <w:b/>
                <w:color w:val="1F2937"/>
                <w:sz w:val="17"/>
              </w:rPr>
              <w:t>−€118k</w:t>
            </w:r>
          </w:p>
        </w:tc>
        <w:tc>
          <w:tcPr>
            <w:tcW w:type="dxa" w:w="1814"/>
          </w:tcPr>
          <w:p>
            <w:pPr>
              <w:spacing w:after="40" w:before="40"/>
            </w:pPr>
            <w:r/>
            <w:r>
              <w:rPr>
                <w:b/>
                <w:color w:val="1F2937"/>
                <w:sz w:val="17"/>
              </w:rPr>
              <w:t>€794k</w:t>
            </w:r>
          </w:p>
        </w:tc>
        <w:tc>
          <w:tcPr>
            <w:tcW w:type="dxa" w:w="1814"/>
          </w:tcPr>
          <w:p>
            <w:pPr>
              <w:spacing w:after="40" w:before="40"/>
            </w:pPr>
            <w:r/>
            <w:r>
              <w:rPr>
                <w:b/>
                <w:color w:val="1F2937"/>
                <w:sz w:val="17"/>
              </w:rPr>
              <w:t>€3.79M</w:t>
            </w:r>
          </w:p>
        </w:tc>
      </w:tr>
      <w:tr>
        <w:tc>
          <w:tcPr>
            <w:tcW w:type="dxa" w:w="1814"/>
          </w:tcPr>
          <w:p>
            <w:pPr>
              <w:spacing w:after="40" w:before="40"/>
            </w:pPr>
            <w:r/>
            <w:r>
              <w:rPr>
                <w:b w:val="0"/>
                <w:color w:val="1F2937"/>
                <w:sz w:val="17"/>
              </w:rPr>
              <w:t>Capital expenditure</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−€63k</w:t>
            </w:r>
          </w:p>
        </w:tc>
        <w:tc>
          <w:tcPr>
            <w:tcW w:type="dxa" w:w="1814"/>
          </w:tcPr>
          <w:p>
            <w:pPr>
              <w:spacing w:after="40" w:before="40"/>
            </w:pPr>
            <w:r/>
            <w:r>
              <w:rPr>
                <w:b w:val="0"/>
                <w:color w:val="1F2937"/>
                <w:sz w:val="17"/>
              </w:rPr>
              <w:t>−€198k</w:t>
            </w:r>
          </w:p>
        </w:tc>
        <w:tc>
          <w:tcPr>
            <w:tcW w:type="dxa" w:w="1814"/>
          </w:tcPr>
          <w:p>
            <w:pPr>
              <w:spacing w:after="40" w:before="40"/>
            </w:pPr>
            <w:r/>
            <w:r>
              <w:rPr>
                <w:b w:val="0"/>
                <w:color w:val="1F2937"/>
                <w:sz w:val="17"/>
              </w:rPr>
              <w:t>−€462k</w:t>
            </w:r>
          </w:p>
        </w:tc>
      </w:tr>
      <w:tr>
        <w:tc>
          <w:tcPr>
            <w:tcW w:type="dxa" w:w="1814"/>
          </w:tcPr>
          <w:p>
            <w:pPr>
              <w:spacing w:after="40" w:before="40"/>
            </w:pPr>
            <w:r/>
            <w:r>
              <w:rPr>
                <w:b/>
                <w:color w:val="1F2937"/>
                <w:sz w:val="17"/>
              </w:rPr>
              <w:t>Free Cash Flow</w:t>
            </w:r>
          </w:p>
        </w:tc>
        <w:tc>
          <w:tcPr>
            <w:tcW w:type="dxa" w:w="1814"/>
          </w:tcPr>
          <w:p>
            <w:pPr>
              <w:spacing w:after="40" w:before="40"/>
            </w:pPr>
            <w:r/>
            <w:r>
              <w:rPr>
                <w:b/>
                <w:color w:val="1F2937"/>
                <w:sz w:val="17"/>
              </w:rPr>
              <w:t>−€96k</w:t>
            </w:r>
          </w:p>
        </w:tc>
        <w:tc>
          <w:tcPr>
            <w:tcW w:type="dxa" w:w="1814"/>
          </w:tcPr>
          <w:p>
            <w:pPr>
              <w:spacing w:after="40" w:before="40"/>
            </w:pPr>
            <w:r/>
            <w:r>
              <w:rPr>
                <w:b/>
                <w:color w:val="1F2937"/>
                <w:sz w:val="17"/>
              </w:rPr>
              <w:t>−€181k</w:t>
            </w:r>
          </w:p>
        </w:tc>
        <w:tc>
          <w:tcPr>
            <w:tcW w:type="dxa" w:w="1814"/>
          </w:tcPr>
          <w:p>
            <w:pPr>
              <w:spacing w:after="40" w:before="40"/>
            </w:pPr>
            <w:r/>
            <w:r>
              <w:rPr>
                <w:b/>
                <w:color w:val="1F2937"/>
                <w:sz w:val="17"/>
              </w:rPr>
              <w:t>€596k</w:t>
            </w:r>
          </w:p>
        </w:tc>
        <w:tc>
          <w:tcPr>
            <w:tcW w:type="dxa" w:w="1814"/>
          </w:tcPr>
          <w:p>
            <w:pPr>
              <w:spacing w:after="40" w:before="40"/>
            </w:pPr>
            <w:r/>
            <w:r>
              <w:rPr>
                <w:b/>
                <w:color w:val="1F2937"/>
                <w:sz w:val="17"/>
              </w:rPr>
              <w:t>€3.33M</w:t>
            </w:r>
          </w:p>
        </w:tc>
      </w:tr>
      <w:tr>
        <w:tc>
          <w:tcPr>
            <w:tcW w:type="dxa" w:w="1814"/>
          </w:tcPr>
          <w:p>
            <w:pPr>
              <w:spacing w:after="40" w:before="40"/>
            </w:pPr>
            <w:r/>
            <w:r>
              <w:rPr>
                <w:b w:val="0"/>
                <w:color w:val="1F2937"/>
                <w:sz w:val="17"/>
              </w:rPr>
              <w:t>Equity raised</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r>
      <w:tr>
        <w:tc>
          <w:tcPr>
            <w:tcW w:type="dxa" w:w="1814"/>
          </w:tcPr>
          <w:p>
            <w:pPr>
              <w:spacing w:after="40" w:before="40"/>
            </w:pPr>
            <w:r/>
            <w:r>
              <w:rPr>
                <w:b/>
                <w:color w:val="1F2937"/>
                <w:sz w:val="17"/>
              </w:rPr>
              <w:t>Closing Cash</w:t>
            </w:r>
          </w:p>
        </w:tc>
        <w:tc>
          <w:tcPr>
            <w:tcW w:type="dxa" w:w="1814"/>
          </w:tcPr>
          <w:p>
            <w:pPr>
              <w:spacing w:after="40" w:before="40"/>
            </w:pPr>
            <w:r/>
            <w:r>
              <w:rPr>
                <w:b/>
                <w:color w:val="1F2937"/>
                <w:sz w:val="17"/>
              </w:rPr>
              <w:t>€504k</w:t>
            </w:r>
          </w:p>
        </w:tc>
        <w:tc>
          <w:tcPr>
            <w:tcW w:type="dxa" w:w="1814"/>
          </w:tcPr>
          <w:p>
            <w:pPr>
              <w:spacing w:after="40" w:before="40"/>
            </w:pPr>
            <w:r/>
            <w:r>
              <w:rPr>
                <w:b/>
                <w:color w:val="1F2937"/>
                <w:sz w:val="17"/>
              </w:rPr>
              <w:t>€161k</w:t>
            </w:r>
          </w:p>
        </w:tc>
        <w:tc>
          <w:tcPr>
            <w:tcW w:type="dxa" w:w="1814"/>
          </w:tcPr>
          <w:p>
            <w:pPr>
              <w:spacing w:after="40" w:before="40"/>
            </w:pPr>
            <w:r/>
            <w:r>
              <w:rPr>
                <w:b/>
                <w:color w:val="1F2937"/>
                <w:sz w:val="17"/>
              </w:rPr>
              <w:t>€2.73M</w:t>
            </w:r>
          </w:p>
        </w:tc>
        <w:tc>
          <w:tcPr>
            <w:tcW w:type="dxa" w:w="1814"/>
          </w:tcPr>
          <w:p>
            <w:pPr>
              <w:spacing w:after="40" w:before="40"/>
            </w:pPr>
            <w:r/>
            <w:r>
              <w:rPr>
                <w:b/>
                <w:color w:val="1F2937"/>
                <w:sz w:val="17"/>
              </w:rPr>
              <w:t>€15.93M</w:t>
            </w:r>
          </w:p>
        </w:tc>
      </w:tr>
    </w:tbl>
    <w:p>
      <w:pPr>
        <w:spacing w:after="160" w:before="0"/>
      </w:pPr>
    </w:p>
    <w:p>
      <w:pPr>
        <w:spacing w:after="140" w:line="276" w:lineRule="auto"/>
        <w:jc w:val="both"/>
      </w:pPr>
      <w:r>
        <w:rPr>
          <w:b w:val="0"/>
          <w:color w:val="1F2937"/>
          <w:sz w:val="20"/>
        </w:rPr>
        <w:t xml:space="preserve">Free cash flow turns positive in </w:t>
      </w:r>
      <w:r>
        <w:rPr>
          <w:b/>
          <w:color w:val="1F2937"/>
          <w:sz w:val="20"/>
        </w:rPr>
        <w:t>Y5</w:t>
      </w:r>
      <w:r>
        <w:rPr>
          <w:b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pPr>
        <w:pStyle w:val="Heading2"/>
        <w:keepNext/>
        <w:spacing w:before="320" w:after="100"/>
      </w:pPr>
      <w:r>
        <w:rPr>
          <w:b/>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10" name="Picture 10"/>
            <wp:cNvGraphicFramePr>
              <a:graphicFrameLocks noChangeAspect="1"/>
            </wp:cNvGraphicFramePr>
            <a:graphic>
              <a:graphicData uri="http://schemas.openxmlformats.org/drawingml/2006/picture">
                <pic:pic>
                  <pic:nvPicPr>
                    <pic:cNvPr id="0" name="g8-cash-and-capital.png"/>
                    <pic:cNvPicPr/>
                  </pic:nvPicPr>
                  <pic:blipFill>
                    <a:blip r:embed="rId19"/>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10 —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€464k, in Y4</w:t>
      </w:r>
      <w:r>
        <w:rPr>
          <w:b w:val="0"/>
          <w:color w:val="1F2937"/>
          <w:sz w:val="20"/>
        </w:rPr>
        <w:t xml:space="preserve">. A </w:t>
      </w:r>
      <w:r>
        <w:rPr>
          <w:b/>
          <w:color w:val="1F2937"/>
          <w:sz w:val="20"/>
        </w:rPr>
        <w:t>€600k pre-seed covers that with €136k to spare</w:t>
      </w:r>
      <w:r>
        <w:rPr>
          <w:b w:val="0"/>
          <w:color w:val="1F2937"/>
          <w:sz w:val="20"/>
        </w:rPr>
        <w:t>, and free cash flow turns positive in Y5.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€600k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€464k trough on its own. The </w:t>
      </w:r>
      <w:r>
        <w:rPr>
          <w:b w:val="0"/>
          <w:i/>
          <w:color w:val="1F2937"/>
          <w:sz w:val="20"/>
        </w:rPr>
        <w:t>Ley de Startups</w:t>
      </w:r>
      <w:r>
        <w:rPr>
          <w:b w:val="0"/>
          <w:color w:val="1F2937"/>
          <w:sz w:val="20"/>
        </w:rPr>
        <w:t xml:space="preserve"> 15% rate is already in the model and is worth €1.57M across Y6–Y9.</w:t>
      </w:r>
    </w:p>
    <w:p>
      <w:pPr>
        <w:spacing w:after="140" w:line="276" w:lineRule="auto"/>
        <w:jc w:val="both"/>
      </w:pPr>
      <w:r>
        <w:rPr>
          <w:b/>
          <w:color w:val="1F2937"/>
          <w:sz w:val="20"/>
        </w:rPr>
        <w:t>Dilution.</w:t>
      </w:r>
      <w:r>
        <w:rPr>
          <w:b w:val="0"/>
          <w:color w:val="1F2937"/>
          <w:sz w:val="20"/>
        </w:rPr>
        <w:t xml:space="preserve"> The founder holds 79% after the pre-seed and 2% advisory grant, 66% after the seed, 55% after the Series A, and </w:t>
      </w:r>
      <w:r>
        <w:rPr>
          <w:b/>
          <w:color w:val="1F2937"/>
          <w:sz w:val="20"/>
        </w:rPr>
        <w:t>~49%</w:t>
      </w:r>
      <w:r>
        <w:rPr>
          <w:b w:val="0"/>
          <w:color w:val="1F2937"/>
          <w:sz w:val="20"/>
        </w:rPr>
        <w:t xml:space="preserve"> after the 10% ESOP.</w:t>
      </w:r>
    </w:p>
    <w:p>
      <w:pPr>
        <w:pStyle w:val="Heading2"/>
        <w:keepNext/>
        <w:spacing w:before="320" w:after="100"/>
      </w:pPr>
      <w:r>
        <w:rPr>
          <w:b/>
          <w:color w:val="1F2937"/>
          <w:sz w:val="25"/>
        </w:rPr>
        <w:t>7.6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keepNext/>
        <w:spacing w:before="160" w:after="20"/>
        <w:ind w:left="227"/>
        <w:shd w:val="clear" w:fill="F6F7F9"/>
        <w:pBdr>
          <w:left w:val="single" w:sz="18" w:space="8" w:color="D97706"/>
        </w:pBdr>
      </w:pPr>
      <w:r>
        <w:rPr>
          <w:b/>
          <w:color w:val="D97706"/>
          <w:sz w:val="19"/>
        </w:rPr>
        <w:t>The model understates its own central risk, by construction</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w:t>
      </w:r>
      <w:r>
        <w:rPr>
          <w:b/>
          <w:color w:val="1F2937"/>
          <w:sz w:val="19"/>
        </w:rPr>
        <w:t>At benchmark churn, holding the same Y10 fan base needs 0.79M gross adds a year instead of 0.64M</w:t>
      </w:r>
      <w:r>
        <w:rPr>
          <w:b w:val="0"/>
          <w:color w:val="1F2937"/>
          <w:sz w:val="19"/>
        </w:rPr>
        <w:t xml:space="preserve"> — a quarter more acquisition, every year, forever. Because the model charges nothing for fan acquisition, that burden does not appear as a cost. Being wrong about churn changes how hard the plan is to hold, not the destination, and that is a weaker claim than it first appears.</w:t>
      </w:r>
    </w:p>
    <w:p>
      <w:pPr>
        <w:pStyle w:val="Heading2"/>
        <w:keepNext/>
        <w:spacing w:before="320" w:after="100"/>
      </w:pPr>
      <w:r>
        <w:rPr>
          <w:b/>
          <w:color w:val="1F2937"/>
          <w:sz w:val="25"/>
        </w:rPr>
        <w:t>7.7 Valuation</w:t>
      </w:r>
    </w:p>
    <w:p>
      <w:pPr>
        <w:spacing w:before="120" w:after="40"/>
        <w:jc w:val="center"/>
      </w:pPr>
      <w:r>
        <w:drawing>
          <wp:inline xmlns:a="http://schemas.openxmlformats.org/drawingml/2006/main" xmlns:pic="http://schemas.openxmlformats.org/drawingml/2006/picture">
            <wp:extent cx="5760000" cy="3114419"/>
            <wp:docPr id="11" name="Picture 11"/>
            <wp:cNvGraphicFramePr>
              <a:graphicFrameLocks noChangeAspect="1"/>
            </wp:cNvGraphicFramePr>
            <a:graphic>
              <a:graphicData uri="http://schemas.openxmlformats.org/drawingml/2006/picture">
                <pic:pic>
                  <pic:nvPicPr>
                    <pic:cNvPr id="0" name="g10-valuation.png"/>
                    <pic:cNvPicPr/>
                  </pic:nvPicPr>
                  <pic:blipFill>
                    <a:blip r:embed="rId20"/>
                    <a:stretch>
                      <a:fillRect/>
                    </a:stretch>
                  </pic:blipFill>
                  <pic:spPr>
                    <a:xfrm>
                      <a:off x="0" y="0"/>
                      <a:ext cx="5760000" cy="3114419"/>
                    </a:xfrm>
                    <a:prstGeom prst="rect"/>
                  </pic:spPr>
                </pic:pic>
              </a:graphicData>
            </a:graphic>
          </wp:inline>
        </w:drawing>
      </w:r>
    </w:p>
    <w:p>
      <w:pPr>
        <w:spacing w:after="200"/>
        <w:jc w:val="center"/>
      </w:pPr>
      <w:r>
        <w:rPr>
          <w:b w:val="0"/>
          <w:color w:val="6B7280"/>
          <w:sz w:val="16"/>
        </w:rPr>
        <w:t>Figure 11 — Two methods that disagree, for a reason.</w:t>
      </w:r>
    </w:p>
    <w:p>
      <w:pPr>
        <w:spacing w:after="140" w:line="276" w:lineRule="auto"/>
        <w:jc w:val="both"/>
      </w:pPr>
      <w:r>
        <w:rPr>
          <w:b w:val="0"/>
          <w:color w:val="1F2937"/>
          <w:sz w:val="20"/>
        </w:rPr>
        <w:t xml:space="preserve">The DCF says </w:t>
      </w:r>
      <w:r>
        <w:rPr>
          <w:b/>
          <w:color w:val="1F2937"/>
          <w:sz w:val="20"/>
        </w:rPr>
        <w:t>€8.37M</w:t>
      </w:r>
      <w:r>
        <w:rPr>
          <w:b w:val="0"/>
          <w:color w:val="1F2937"/>
          <w:sz w:val="20"/>
        </w:rPr>
        <w:t xml:space="preserve"> today; the blended exit multiple says €165.0M at Y10. This is not an error in either —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pStyle w:val="Heading1"/>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(Legal aspects) and §12 (Company growth and business development strategy). The regulatory analysis — VAT, GDPR, the age model and sponsorship rules — is in [§8 of the full plan](stride-business-plan-draft.md) and is not repeated here; this section covers the corporate and IP questions that document does not, and then the growth path.</w:t>
      </w:r>
    </w:p>
    <w:p>
      <w:pPr>
        <w:spacing w:after="120" w:before="0"/>
      </w:pPr>
    </w:p>
    <w:p>
      <w:pPr>
        <w:pStyle w:val="Heading3"/>
        <w:keepNext/>
        <w:spacing w:before="200" w:after="100"/>
      </w:pPr>
      <w:r>
        <w:rPr>
          <w:b/>
          <w:color w:val="6B7280"/>
          <w:sz w:val="22"/>
        </w:rPr>
        <w:t>8.1 Legal form and structure</w:t>
      </w:r>
    </w:p>
    <w:p>
      <w:pPr>
        <w:pStyle w:val="Heading4"/>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the Ley de Startups (2022)</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eligibility for the </w:t>
      </w:r>
      <w:r>
        <w:rPr>
          <w:b/>
          <w:color w:val="1F2937"/>
          <w:sz w:val="20"/>
        </w:rPr>
        <w:t>Ley de Startups</w:t>
      </w:r>
      <w:r>
        <w:rPr>
          <w:b w:val="0"/>
          <w:color w:val="1F2937"/>
          <w:sz w:val="20"/>
        </w:rPr>
        <w:t xml:space="preserve"> regime (15% corporate tax for the first four taxable years, worth €1.57M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pStyle w:val="Heading4"/>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 no convertible notes, no SAFEs — an S.L. handles them badly under Spanish law 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 shares. Unusual to self-impose, and exactly what a pre-seed investor will ask 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pPr>
        <w:pStyle w:val="Heading4"/>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pStyle w:val="Heading3"/>
        <w:keepNext/>
        <w:spacing w:before="200" w:after="100"/>
      </w:pPr>
      <w:r>
        <w:rPr>
          <w:b/>
          <w:color w:val="6B7280"/>
          <w:sz w:val="22"/>
        </w:rPr>
        <w:t>8.2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pStyle w:val="Heading4"/>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the first class, €50 for the second, €150 for each beyond it — </w:t>
            </w:r>
            <w:r>
              <w:rPr>
                <w:b/>
                <w:color w:val="1F2937"/>
                <w:sz w:val="17"/>
              </w:rPr>
              <w:t>€1,200</w:t>
            </w:r>
            <w:r>
              <w:rPr>
                <w:b w:val="0"/>
                <w:color w:val="1F2937"/>
                <w:sz w:val="17"/>
              </w:rPr>
              <w:t xml:space="preserve"> for four</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pStyle w:val="Heading4"/>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 Spanish law, employee-created works generally vest in the employer, but contractor-created works do not by default. Every contractor agreement 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 No copyleft dependency ships in the served product. This is checked, not 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 authenticated, athlete-consented API connections. That is a product decision with a legal dividend: there is no scraping exposure and no terms-of-service breach in the data position.</w:t>
      </w:r>
    </w:p>
    <w:p>
      <w:pPr>
        <w:spacing w:after="120" w:before="0"/>
      </w:pPr>
    </w:p>
    <w:p>
      <w:pPr>
        <w:pStyle w:val="Heading3"/>
        <w:keepNext/>
        <w:spacing w:before="200" w:after="100"/>
      </w:pPr>
      <w:r>
        <w:rPr>
          <w:b/>
          <w:color w:val="6B7280"/>
          <w:sz w:val="22"/>
        </w:rPr>
        <w:t>8.3 Growth and business development strategy</w:t>
      </w:r>
    </w:p>
    <w:p>
      <w:pPr>
        <w:spacing w:after="140" w:line="276" w:lineRule="auto"/>
        <w:jc w:val="both"/>
      </w:pPr>
      <w:r>
        <w:rPr>
          <w:b w:val="0"/>
          <w:color w:val="1F2937"/>
          <w:sz w:val="20"/>
        </w:rPr>
        <w:t>Growth is sequenced along three axes, and only one moves at a time.</w:t>
      </w:r>
    </w:p>
    <w:p>
      <w:pPr>
        <w:pStyle w:val="Heading4"/>
        <w:keepNext/>
        <w:spacing w:before="200" w:after="100"/>
      </w:pPr>
      <w:r>
        <w:rPr>
          <w:b/>
          <w:color w:val="6B7280"/>
          <w:sz w:val="20"/>
        </w:rPr>
        <w:t>Axis 1 —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r>
              <w:rPr>
                <w:b w:val="0"/>
                <w:color w:val="1F2937"/>
                <w:sz w:val="17"/>
              </w:rPr>
              <w:t>—</w:t>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+1 market (Portugal)</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(Italy first),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pStyle w:val="Heading4"/>
        <w:keepNext/>
        <w:spacing w:before="200" w:after="100"/>
      </w:pPr>
      <w:r>
        <w:rPr>
          <w:b/>
          <w:color w:val="6B7280"/>
          <w:sz w:val="20"/>
        </w:rPr>
        <w:t>Axis 2 —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5.11</w:t>
      </w:r>
      <w:r>
        <w:rPr>
          <w:b w:val="0"/>
          <w:color w:val="1F2937"/>
          <w:sz w:val="20"/>
        </w:rPr>
        <w:t>: tiers and billing, then one-off unlocks, then video, then events and the club revenue split.</w:t>
      </w:r>
    </w:p>
    <w:p>
      <w:pPr>
        <w:pStyle w:val="Heading4"/>
        <w:keepNext/>
        <w:spacing w:before="200" w:after="100"/>
      </w:pPr>
      <w:r>
        <w:rPr>
          <w:b/>
          <w:color w:val="6B7280"/>
          <w:sz w:val="20"/>
        </w:rPr>
        <w:t>Axis 3 —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 the club vouches for its own roster. That is why club nomination exists in the admission model, and why the B2B2C motion is where the plan expects operating leverage to come from after Y3.</w:t>
      </w:r>
    </w:p>
    <w:p>
      <w:pPr>
        <w:pStyle w:val="Heading4"/>
        <w:keepNext/>
        <w:spacing w:before="200" w:after="100"/>
      </w:pPr>
      <w:r>
        <w:rPr>
          <w:b/>
          <w:color w:val="6B7280"/>
          <w:sz w:val="20"/>
        </w:rPr>
        <w:t>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 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 us. The model does not spend on fan acquisition, which is disclosed as 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 federation or an agency would rent out the one thing that is hard to copy.</w:t>
      </w:r>
    </w:p>
    <w:p>
      <w:pPr>
        <w:pStyle w:val="Heading4"/>
        <w:keepNext/>
        <w:spacing w:before="200" w:after="100"/>
      </w:pPr>
      <w:r>
        <w:rPr>
          <w:b/>
          <w:color w:val="6B7280"/>
          <w:sz w:val="20"/>
        </w:rPr>
        <w:t>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€10.8M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 a vertical, sports-data companies buying a consumer surface, or a sponsorship 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 </w:t>
      </w: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pStyle w:val="Heading1"/>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2" name="Picture 12"/>
            <wp:cNvGraphicFramePr>
              <a:graphicFrameLocks noChangeAspect="1"/>
            </wp:cNvGraphicFramePr>
            <a:graphic>
              <a:graphicData uri="http://schemas.openxmlformats.org/drawingml/2006/picture">
                <pic:pic>
                  <pic:nvPicPr>
                    <pic:cNvPr id="0" name="g12-risk-map.png"/>
                    <pic:cNvPicPr/>
                  </pic:nvPicPr>
                  <pic:blipFill>
                    <a:blip r:embed="rId21"/>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12 —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pStyle w:val="Heading1"/>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color w:val="1F2937"/>
          <w:sz w:val="20"/>
        </w:rPr>
        <w:t xml:space="preserve">The growth strategy is set out in full at </w:t>
      </w:r>
      <w:r>
        <w:rPr>
          <w:b/>
          <w:color w:val="1F2937"/>
          <w:sz w:val="20"/>
        </w:rPr>
        <w:t>§8.3</w:t>
      </w:r>
      <w:r>
        <w:rPr>
          <w:b w:val="0"/>
          <w:color w:val="1F2937"/>
          <w:sz w:val="20"/>
        </w:rPr>
        <w:t xml:space="preserve"> above, where it sits directly beneath the corporate and intellectual property decisions that constrain it. In summary, growth moves along three axes and only one moves at a time: </w:t>
      </w:r>
      <w:r>
        <w:rPr>
          <w:b/>
          <w:color w:val="1F2937"/>
          <w:sz w:val="20"/>
        </w:rPr>
        <w:t>market</w:t>
      </w:r>
      <w:r>
        <w:rPr>
          <w:b w:val="0"/>
          <w:color w:val="1F2937"/>
          <w:sz w:val="20"/>
        </w:rPr>
        <w:t xml:space="preserve"> (Spain through the pre-seed gate, a second market chosen for sport-mix similarity rather than size, EU-wide from the Series A); </w:t>
      </w:r>
      <w:r>
        <w:rPr>
          <w:b/>
          <w:color w:val="1F2937"/>
          <w:sz w:val="20"/>
        </w:rPr>
        <w:t>product</w:t>
      </w:r>
      <w:r>
        <w:rPr>
          <w:b w:val="0"/>
          <w:color w:val="1F2937"/>
          <w:sz w:val="20"/>
        </w:rPr>
        <w:t xml:space="preserve"> (fan monetisation deepens before sponsorship widens); and </w:t>
      </w:r>
      <w:r>
        <w:rPr>
          <w:b/>
          <w:color w:val="1F2937"/>
          <w:sz w:val="20"/>
        </w:rPr>
        <w:t>channel</w:t>
      </w:r>
      <w:r>
        <w:rPr>
          <w:b w:val="0"/>
          <w:color w:val="1F2937"/>
          <w:sz w:val="20"/>
        </w:rPr>
        <w:t xml:space="preserve"> (the club channel is the growth strategy rather than a channel within it, because one club conversation brings a roster of 20 to 40 athletes with the verification problem already solved).</w:t>
      </w:r>
    </w:p>
    <w:p>
      <w:pPr>
        <w:pStyle w:val="Heading1"/>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 that fans of semi-professional athletes will pay —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pStyle w:val="Heading1"/>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 documentation and blog.</w:t>
      </w:r>
    </w:p>
    <w:p>
      <w:pPr>
        <w:pStyle w:val="ListBullet"/>
        <w:spacing w:after="60" w:line="264" w:lineRule="auto"/>
        <w:ind w:left="340"/>
      </w:pPr>
      <w:r>
        <w:rPr>
          <w:b w:val="0"/>
          <w:color w:val="1F2937"/>
          <w:sz w:val="20"/>
        </w:rPr>
        <w:t xml:space="preserve">OnlyFans / Fenix International Ltd. </w:t>
      </w:r>
      <w:r>
        <w:rPr>
          <w:b w:val="0"/>
          <w:i/>
          <w:color w:val="1F2937"/>
          <w:sz w:val="20"/>
        </w:rPr>
        <w:t>Annual accounts filed at Companies House</w:t>
      </w:r>
      <w:r>
        <w:rPr>
          <w:b w:val="0"/>
          <w:color w:val="1F2937"/>
          <w:sz w:val="20"/>
        </w:rPr>
        <w:t>,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r>
        <w:rPr>
          <w:b w:val="0"/>
          <w:color w:val="1F2937"/>
          <w:sz w:val="20"/>
        </w:rPr>
        <w:t xml:space="preserve"> 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 deemed supplier.</w:t>
      </w:r>
    </w:p>
    <w:p>
      <w:pPr>
        <w:pStyle w:val="ListBullet"/>
        <w:spacing w:after="60" w:line="264" w:lineRule="auto"/>
        <w:ind w:left="340"/>
      </w:pPr>
      <w:r>
        <w:rPr>
          <w:b w:val="0"/>
          <w:color w:val="1F2937"/>
          <w:sz w:val="20"/>
        </w:rPr>
        <w:t xml:space="preserve">Directive 96/9/EC —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 (</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rugby league (Lebanon) and CrossFit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2,520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pStyle w:val="Heading1"/>
        <w:keepNext/>
        <w:spacing w:before="320" w:after="100"/>
        <w:pBdr>
          <w:bottom w:val="single" w:sz="6" w:space="8" w:color="D1D5DB"/>
        </w:pBdr>
      </w:pPr>
      <w:r>
        <w:rPr>
          <w:b/>
          <w:color w:val="1F2937"/>
          <w:sz w:val="32"/>
        </w:rPr>
        <w:t>Appendix A — Revenue Model</w:t>
      </w:r>
    </w:p>
    <w:p>
      <w:pPr>
        <w:pStyle w:val="Heading2"/>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pStyle w:val="Heading2"/>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pStyle w:val="Heading2"/>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xml:space="preserve"> —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44% of our take after payment costs; €9.99 retains 64%.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 worth ~€2.75/fan/year, against €13.35 of total take. Pushing 30% of subscribers annual is roughly equivalent to raising the take rate by a point, without asking athletes for anything.</w:t>
      </w:r>
    </w:p>
    <w:p>
      <w:pPr>
        <w:spacing w:after="120" w:before="0"/>
      </w:pPr>
    </w:p>
    <w:p>
      <w:pPr>
        <w:pStyle w:val="Heading2"/>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€10.70M — 18% of revenue at close to 100% gross margin, which is roughly 26% of gross profit.</w:t>
      </w:r>
    </w:p>
    <w:p>
      <w:pPr>
        <w:spacing w:after="120" w:before="0"/>
      </w:pPr>
    </w:p>
    <w:p>
      <w:pPr>
        <w:pStyle w:val="Heading2"/>
        <w:keepNext/>
        <w:spacing w:before="320" w:after="100"/>
      </w:pPr>
      <w:r>
        <w:rPr>
          <w:b/>
          <w:color w:val="1F2937"/>
          <w:sz w:val="25"/>
        </w:rPr>
        <w:t>Take rate —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xml:space="preserve"> —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 both say 10% —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 and endorsement is exactly the work Stride's 15% replaces.</w:t>
      </w:r>
    </w:p>
    <w:p>
      <w:pPr>
        <w:pStyle w:val="Heading3"/>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xml:space="preserve"> —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 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pStyle w:val="Heading3"/>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€12.31M</w:t>
            </w:r>
          </w:p>
        </w:tc>
        <w:tc>
          <w:tcPr>
            <w:tcW w:type="dxa" w:w="2268"/>
          </w:tcPr>
          <w:p>
            <w:pPr>
              <w:spacing w:after="40" w:before="40"/>
            </w:pPr>
            <w:r/>
            <w:r>
              <w:rPr>
                <w:b w:val="0"/>
                <w:color w:val="1F2937"/>
                <w:sz w:val="17"/>
              </w:rPr>
              <w:t>€4.59M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€10.70M</w:t>
            </w:r>
          </w:p>
        </w:tc>
        <w:tc>
          <w:tcPr>
            <w:tcW w:type="dxa" w:w="2268"/>
          </w:tcPr>
          <w:p>
            <w:pPr>
              <w:spacing w:after="40" w:before="40"/>
            </w:pPr>
            <w:r/>
            <w:r>
              <w:rPr>
                <w:b/>
                <w:color w:val="1F2937"/>
                <w:sz w:val="17"/>
              </w:rPr>
              <w:t>€3.11M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€9.10M</w:t>
            </w:r>
          </w:p>
        </w:tc>
        <w:tc>
          <w:tcPr>
            <w:tcW w:type="dxa" w:w="2268"/>
          </w:tcPr>
          <w:p>
            <w:pPr>
              <w:spacing w:after="40" w:before="40"/>
            </w:pPr>
            <w:r/>
            <w:r>
              <w:rPr>
                <w:b w:val="0"/>
                <w:color w:val="1F2937"/>
                <w:sz w:val="17"/>
              </w:rPr>
              <w:t>€1.64M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 EBITDA falls 47%, from €3.11M to €1.64M.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 that 10% plus $0.30 a transaction plus $29 a month is worse than a flat 15% for any athlete earning under €1,380 a month —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 Sacra plus the rebrand release, both live and both primary — and on the crossover arithmetic, which is computed from the model rather than cited.*</w:t>
      </w:r>
    </w:p>
    <w:p>
      <w:pPr>
        <w:spacing w:after="120" w:before="0"/>
      </w:pPr>
    </w:p>
    <w:p>
      <w:pPr>
        <w:pStyle w:val="Heading2"/>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(11%)</w:t>
            </w:r>
          </w:p>
        </w:tc>
        <w:tc>
          <w:tcPr>
            <w:tcW w:type="dxa" w:w="1814"/>
          </w:tcPr>
          <w:p>
            <w:pPr>
              <w:spacing w:after="40" w:before="40"/>
            </w:pPr>
            <w:r/>
            <w:r>
              <w:rPr>
                <w:b w:val="0"/>
                <w:color w:val="1F2937"/>
                <w:sz w:val="17"/>
              </w:rPr>
              <w:t>€91k (17%)</w:t>
            </w:r>
          </w:p>
        </w:tc>
        <w:tc>
          <w:tcPr>
            <w:tcW w:type="dxa" w:w="1814"/>
          </w:tcPr>
          <w:p>
            <w:pPr>
              <w:spacing w:after="40" w:before="40"/>
            </w:pPr>
            <w:r/>
            <w:r>
              <w:rPr>
                <w:b w:val="0"/>
                <w:color w:val="1F2937"/>
                <w:sz w:val="17"/>
              </w:rPr>
              <w:t>€1.04M (30%)</w:t>
            </w:r>
          </w:p>
        </w:tc>
        <w:tc>
          <w:tcPr>
            <w:tcW w:type="dxa" w:w="1814"/>
          </w:tcPr>
          <w:p>
            <w:pPr>
              <w:spacing w:after="40" w:before="40"/>
            </w:pPr>
            <w:r/>
            <w:r>
              <w:rPr>
                <w:b w:val="0"/>
                <w:color w:val="1F2937"/>
                <w:sz w:val="17"/>
              </w:rPr>
              <w:t>€3.97M (37%)</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€3.43M</w:t>
            </w:r>
          </w:p>
        </w:tc>
        <w:tc>
          <w:tcPr>
            <w:tcW w:type="dxa" w:w="1814"/>
          </w:tcPr>
          <w:p>
            <w:pPr>
              <w:spacing w:after="40" w:before="40"/>
            </w:pPr>
            <w:r/>
            <w:r>
              <w:rPr>
                <w:b/>
                <w:color w:val="1F2937"/>
                <w:sz w:val="17"/>
              </w:rPr>
              <w:t>€10.70M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pStyle w:val="Heading2"/>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 ten to thirty athletes without ten to thirty 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 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pStyle w:val="Heading1"/>
        <w:keepNext/>
        <w:spacing w:before="320" w:after="100"/>
        <w:pBdr>
          <w:bottom w:val="single" w:sz="6" w:space="8" w:color="D1D5DB"/>
        </w:pBdr>
      </w:pPr>
      <w:r>
        <w:rPr>
          <w:b/>
          <w:color w:val="1F2937"/>
          <w:sz w:val="32"/>
        </w:rPr>
        <w:t>Appendix B — Cost Model</w:t>
      </w:r>
    </w:p>
    <w:p>
      <w:pPr>
        <w:spacing w:after="140" w:line="276" w:lineRule="auto"/>
        <w:jc w:val="both"/>
      </w:pPr>
      <w:r>
        <w:rPr>
          <w:b w:val="0"/>
          <w:color w:val="1F2937"/>
          <w:sz w:val="20"/>
        </w:rPr>
        <w:t>Two costs decide whether this business works. Neither is engineering salary.</w:t>
      </w:r>
    </w:p>
    <w:p>
      <w:pPr>
        <w:spacing w:after="120" w:before="0"/>
      </w:pPr>
    </w:p>
    <w:p>
      <w:pPr>
        <w:pStyle w:val="Heading2"/>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 retained take —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 worth ~€2.75 per subscriber per year. Patreon reports annual patrons churn at </w:t>
      </w:r>
      <w:r>
        <w:rPr>
          <w:b/>
          <w:color w:val="1F2937"/>
          <w:sz w:val="20"/>
        </w:rPr>
        <w:t>one third</w:t>
      </w:r>
      <w:r>
        <w:rPr>
          <w:b w:val="0"/>
          <w:color w:val="1F2937"/>
          <w:sz w:val="20"/>
        </w:rPr>
        <w:t xml:space="preserve"> the rate of monthly ones, 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 available. Not modelled — upside.</w:t>
      </w:r>
    </w:p>
    <w:p>
      <w:pPr>
        <w:spacing w:after="140" w:line="276" w:lineRule="auto"/>
        <w:jc w:val="both"/>
      </w:pPr>
      <w:r>
        <w:rPr>
          <w:b w:val="0"/>
          <w:color w:val="1F2937"/>
          <w:sz w:val="20"/>
        </w:rPr>
        <w:t xml:space="preserve">At Y7 the payment rail costs </w:t>
      </w:r>
      <w:r>
        <w:rPr>
          <w:b/>
          <w:color w:val="1F2937"/>
          <w:sz w:val="20"/>
        </w:rPr>
        <w:t>€2.55M against €10.70M of revenue</w:t>
      </w:r>
      <w:r>
        <w:rPr>
          <w:b w:val="0"/>
          <w:color w:val="1F2937"/>
          <w:sz w:val="20"/>
        </w:rP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pStyle w:val="Heading2"/>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pPr>
        <w:spacing w:after="140" w:line="276" w:lineRule="auto"/>
        <w:jc w:val="both"/>
      </w:pPr>
      <w:r>
        <w:rPr>
          <w:b/>
          <w:color w:val="1F2937"/>
          <w:sz w:val="20"/>
        </w:rPr>
        <w:t>€402k a year is most of this plan's entire €464k cash trough, spent annually and decided by one architectural choice</w:t>
      </w:r>
      <w:r>
        <w:rPr>
          <w:b w:val="0"/>
          <w:color w:val="1F2937"/>
          <w:sz w:val="20"/>
        </w:rPr>
        <w:t xml:space="preserve"> — €3.1M across the ten years.</w:t>
      </w:r>
    </w:p>
    <w:p>
      <w:pPr>
        <w:spacing w:after="140" w:line="276" w:lineRule="auto"/>
        <w:jc w:val="both"/>
      </w:pPr>
      <w:r>
        <w:rPr>
          <w:b w:val="0"/>
          <w:color w:val="1F2937"/>
          <w:sz w:val="20"/>
        </w:rPr>
        <w:t>The recommendation is AWS for compute and database — where its managed services genuinely earn their premium — and a zero-egress provider for media delivery. Hybrid, deliberately.</w:t>
      </w:r>
    </w:p>
    <w:p>
      <w:pPr>
        <w:spacing w:after="120" w:before="0"/>
      </w:pPr>
    </w:p>
    <w:p>
      <w:pPr>
        <w:pStyle w:val="Heading2"/>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pStyle w:val="Heading3"/>
        <w:keepNext/>
        <w:spacing w:before="200" w:after="100"/>
      </w:pPr>
      <w:r>
        <w:rPr>
          <w:b/>
          <w:color w:val="6B7280"/>
          <w:sz w:val="22"/>
        </w:rPr>
        <w:t>Stage 1 —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pStyle w:val="Heading3"/>
        <w:keepNext/>
        <w:spacing w:before="200" w:after="100"/>
      </w:pPr>
      <w:r>
        <w:rPr>
          <w:b/>
          <w:color w:val="6B7280"/>
          <w:sz w:val="22"/>
        </w:rPr>
        <w:t>Stage 2 —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pStyle w:val="Heading3"/>
        <w:keepNext/>
        <w:spacing w:before="200" w:after="100"/>
      </w:pPr>
      <w:r>
        <w:rPr>
          <w:b/>
          <w:color w:val="6B7280"/>
          <w:sz w:val="22"/>
        </w:rPr>
        <w:t>Stage 3 —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 worth roughly €60–90k/yr by Y7. Treated as upside, not as plan.</w:t>
      </w:r>
    </w:p>
    <w:p>
      <w:pPr>
        <w:spacing w:after="120" w:before="0"/>
      </w:pPr>
    </w:p>
    <w:p>
      <w:pPr>
        <w:pStyle w:val="Heading2"/>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pPr>
        <w:spacing w:after="120" w:before="0"/>
      </w:pPr>
    </w:p>
    <w:p>
      <w:pPr>
        <w:pStyle w:val="Heading2"/>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 from 20% to 32% purely because club nominations grow as a share of applicants, and a nominated applicant arrives with a verified club's credibility floor behind them. Club partnerships are not just a cheaper channel; they are a </w:t>
      </w: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 sitting in the queue is not listed, not matchable and not earning. At 0.6 FTE nobody automates to save the salary; you automate so supply goes live the day it applies.</w:t>
      </w:r>
    </w:p>
    <w:p>
      <w:pPr>
        <w:spacing w:after="120" w:before="0"/>
      </w:pPr>
    </w:p>
    <w:p>
      <w:pPr>
        <w:pStyle w:val="Heading2"/>
        <w:keepNext/>
        <w:spacing w:before="320" w:after="100"/>
      </w:pPr>
      <w:r>
        <w:rPr>
          <w:b/>
          <w:color w:val="1F2937"/>
          <w:sz w:val="25"/>
        </w:rPr>
        <w:t>Customer acquisition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 one conversation, a whole roster.</w:t>
      </w:r>
    </w:p>
    <w:p>
      <w:pPr>
        <w:spacing w:after="120" w:before="0"/>
      </w:pPr>
    </w:p>
    <w:p>
      <w:pPr>
        <w:pStyle w:val="Heading2"/>
        <w:keepNext/>
        <w:spacing w:before="320" w:after="100"/>
      </w:pPr>
      <w:r>
        <w:rPr>
          <w:b/>
          <w:color w:val="1F2937"/>
          <w:sz w:val="25"/>
        </w:rPr>
        <w:t>Cost structure at maturity (Y7)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15.9%</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€1.54M</w:t>
            </w:r>
          </w:p>
        </w:tc>
        <w:tc>
          <w:tcPr>
            <w:tcW w:type="dxa" w:w="3024"/>
          </w:tcPr>
          <w:p>
            <w:pPr>
              <w:spacing w:after="40" w:before="40"/>
            </w:pPr>
            <w:r/>
            <w:r>
              <w:rPr>
                <w:b w:val="0"/>
                <w:color w:val="1F2937"/>
                <w:sz w:val="17"/>
              </w:rPr>
              <w:t>14.4%</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€856k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€3.12M</w:t>
            </w:r>
          </w:p>
        </w:tc>
        <w:tc>
          <w:tcPr>
            <w:tcW w:type="dxa" w:w="3024"/>
          </w:tcPr>
          <w:p>
            <w:pPr>
              <w:spacing w:after="40" w:before="40"/>
            </w:pPr>
            <w:r/>
            <w:r>
              <w:rPr>
                <w:b/>
                <w:color w:val="1F2937"/>
                <w:sz w:val="17"/>
              </w:rPr>
              <w:t>29.1%</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r>
        <w:br w:type="page"/>
      </w:r>
    </w:p>
    <w:p>
      <w:pPr>
        <w:pStyle w:val="Heading1"/>
        <w:keepNext/>
        <w:spacing w:before="320" w:after="100"/>
        <w:pBdr>
          <w:bottom w:val="single" w:sz="6" w:space="8" w:color="D1D5DB"/>
        </w:pBdr>
      </w:pPr>
      <w:r>
        <w:rPr>
          <w:b/>
          <w:color w:val="1F2937"/>
          <w:sz w:val="32"/>
        </w:rPr>
        <w:t>Appendix C —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pStyle w:val="Heading2"/>
        <w:keepNext/>
        <w:spacing w:before="320" w:after="100"/>
      </w:pPr>
      <w:r>
        <w:rPr>
          <w:b/>
          <w:color w:val="1F2937"/>
          <w:sz w:val="25"/>
        </w:rPr>
        <w:t>Drivers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10.0</w:t>
            </w:r>
          </w:p>
        </w:tc>
        <w:tc>
          <w:tcPr>
            <w:tcW w:type="dxa" w:w="825"/>
          </w:tcPr>
          <w:p>
            <w:pPr>
              <w:spacing w:after="40" w:before="40"/>
            </w:pPr>
            <w:r/>
            <w:r>
              <w:rPr>
                <w:b w:val="0"/>
                <w:color w:val="1F2937"/>
                <w:sz w:val="17"/>
              </w:rPr>
              <w:t>15.0</w:t>
            </w:r>
          </w:p>
        </w:tc>
        <w:tc>
          <w:tcPr>
            <w:tcW w:type="dxa" w:w="825"/>
          </w:tcPr>
          <w:p>
            <w:pPr>
              <w:spacing w:after="40" w:before="40"/>
            </w:pPr>
            <w:r/>
            <w:r>
              <w:rPr>
                <w:b w:val="0"/>
                <w:color w:val="1F2937"/>
                <w:sz w:val="17"/>
              </w:rPr>
              <w:t>22.0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33.0</w:t>
            </w:r>
          </w:p>
        </w:tc>
        <w:tc>
          <w:tcPr>
            <w:tcW w:type="dxa" w:w="825"/>
          </w:tcPr>
          <w:p>
            <w:pPr>
              <w:spacing w:after="40" w:before="40"/>
            </w:pPr>
            <w:r/>
            <w:r>
              <w:rPr>
                <w:b w:val="0"/>
                <w:color w:val="1F2937"/>
                <w:sz w:val="17"/>
              </w:rPr>
              <w:t>38.0</w:t>
            </w:r>
          </w:p>
        </w:tc>
      </w:tr>
    </w:tbl>
    <w:p>
      <w:pPr>
        <w:spacing w:after="160" w:before="0"/>
      </w:pPr>
    </w:p>
    <w:p>
      <w:pPr>
        <w:spacing w:after="120" w:before="0"/>
      </w:pPr>
    </w:p>
    <w:p>
      <w:pPr>
        <w:pStyle w:val="Heading2"/>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pStyle w:val="Heading2"/>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pPr>
        <w:pStyle w:val="Heading3"/>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pStyle w:val="Heading2"/>
        <w:keepNext/>
        <w:spacing w:before="320" w:after="100"/>
      </w:pPr>
      <w:r>
        <w:rPr>
          <w:b/>
          <w:color w:val="1F2937"/>
          <w:sz w:val="25"/>
        </w:rPr>
        <w:t>Marketplace volume (GMV)</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pStyle w:val="Heading2"/>
        <w:keepNext/>
        <w:spacing w:before="320" w:after="100"/>
      </w:pPr>
      <w:r>
        <w:rPr>
          <w:b/>
          <w:color w:val="1F2937"/>
          <w:sz w:val="25"/>
        </w:rPr>
        <w:t>Net revenue</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(10%)</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€91k</w:t>
            </w:r>
          </w:p>
        </w:tc>
        <w:tc>
          <w:tcPr>
            <w:tcW w:type="dxa" w:w="825"/>
          </w:tcPr>
          <w:p>
            <w:pPr>
              <w:spacing w:after="40" w:before="40"/>
            </w:pPr>
            <w:r/>
            <w:r>
              <w:rPr>
                <w:b w:val="0"/>
                <w:color w:val="1F2937"/>
                <w:sz w:val="17"/>
              </w:rPr>
              <w:t>€362k</w:t>
            </w:r>
          </w:p>
        </w:tc>
        <w:tc>
          <w:tcPr>
            <w:tcW w:type="dxa" w:w="825"/>
          </w:tcPr>
          <w:p>
            <w:pPr>
              <w:spacing w:after="40" w:before="40"/>
            </w:pPr>
            <w:r/>
            <w:r>
              <w:rPr>
                <w:b w:val="0"/>
                <w:color w:val="1F2937"/>
                <w:sz w:val="17"/>
              </w:rPr>
              <w:t>€1.04M</w:t>
            </w:r>
          </w:p>
        </w:tc>
        <w:tc>
          <w:tcPr>
            <w:tcW w:type="dxa" w:w="825"/>
          </w:tcPr>
          <w:p>
            <w:pPr>
              <w:spacing w:after="40" w:before="40"/>
            </w:pPr>
            <w:r/>
            <w:r>
              <w:rPr>
                <w:b w:val="0"/>
                <w:color w:val="1F2937"/>
                <w:sz w:val="17"/>
              </w:rPr>
              <w:t>€2.30M</w:t>
            </w:r>
          </w:p>
        </w:tc>
        <w:tc>
          <w:tcPr>
            <w:tcW w:type="dxa" w:w="825"/>
          </w:tcPr>
          <w:p>
            <w:pPr>
              <w:spacing w:after="40" w:before="40"/>
            </w:pPr>
            <w:r/>
            <w:r>
              <w:rPr>
                <w:b w:val="0"/>
                <w:color w:val="1F2937"/>
                <w:sz w:val="17"/>
              </w:rPr>
              <w:t>€3.97M</w:t>
            </w:r>
          </w:p>
        </w:tc>
        <w:tc>
          <w:tcPr>
            <w:tcW w:type="dxa" w:w="825"/>
          </w:tcPr>
          <w:p>
            <w:pPr>
              <w:spacing w:after="40" w:before="40"/>
            </w:pPr>
            <w:r/>
            <w:r>
              <w:rPr>
                <w:b w:val="0"/>
                <w:color w:val="1F2937"/>
                <w:sz w:val="17"/>
              </w:rPr>
              <w:t>€5.89M</w:t>
            </w:r>
          </w:p>
        </w:tc>
        <w:tc>
          <w:tcPr>
            <w:tcW w:type="dxa" w:w="825"/>
          </w:tcPr>
          <w:p>
            <w:pPr>
              <w:spacing w:after="40" w:before="40"/>
            </w:pPr>
            <w:r/>
            <w:r>
              <w:rPr>
                <w:b w:val="0"/>
                <w:color w:val="1F2937"/>
                <w:sz w:val="17"/>
              </w:rPr>
              <w:t>€7.60M</w:t>
            </w:r>
          </w:p>
        </w:tc>
        <w:tc>
          <w:tcPr>
            <w:tcW w:type="dxa" w:w="825"/>
          </w:tcPr>
          <w:p>
            <w:pPr>
              <w:spacing w:after="40" w:before="40"/>
            </w:pPr>
            <w:r/>
            <w:r>
              <w:rPr>
                <w:b w:val="0"/>
                <w:color w:val="1F2937"/>
                <w:sz w:val="17"/>
              </w:rPr>
              <w:t>€10.21M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bl>
    <w:p>
      <w:pPr>
        <w:spacing w:after="160" w:before="0"/>
      </w:pPr>
    </w:p>
    <w:p>
      <w:pPr>
        <w:spacing w:after="140" w:line="276" w:lineRule="auto"/>
        <w:jc w:val="both"/>
      </w:pPr>
      <w:r>
        <w:rPr>
          <w:b w:val="0"/>
          <w:color w:val="1F2937"/>
          <w:sz w:val="20"/>
        </w:rPr>
        <w:t>Growth: Y2 +442%, Y3 +298%, Y4 +181%, Y5 +128%, Y6 +90%, Y7 +64%. A decelerating curve that stays above 50% through Y7 is what a Series B buyer wants to see.</w:t>
      </w:r>
    </w:p>
    <w:p>
      <w:pPr>
        <w:spacing w:after="120" w:before="0"/>
      </w:pPr>
    </w:p>
    <w:p>
      <w:pPr>
        <w:pStyle w:val="Heading2"/>
        <w:keepNext/>
        <w:spacing w:before="320" w:after="100"/>
      </w:pPr>
      <w:r>
        <w:rPr>
          <w:b/>
          <w:color w:val="1F2937"/>
          <w:sz w:val="25"/>
        </w:rPr>
        <w:t>Profit and loss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€344k</w:t>
            </w:r>
          </w:p>
        </w:tc>
        <w:tc>
          <w:tcPr>
            <w:tcW w:type="dxa" w:w="825"/>
          </w:tcPr>
          <w:p>
            <w:pPr>
              <w:spacing w:after="40" w:before="40"/>
            </w:pPr>
            <w:r/>
            <w:r>
              <w:rPr>
                <w:b w:val="0"/>
                <w:color w:val="1F2937"/>
                <w:sz w:val="17"/>
              </w:rPr>
              <w:t>€1.00M</w:t>
            </w:r>
          </w:p>
        </w:tc>
        <w:tc>
          <w:tcPr>
            <w:tcW w:type="dxa" w:w="825"/>
          </w:tcPr>
          <w:p>
            <w:pPr>
              <w:spacing w:after="40" w:before="40"/>
            </w:pPr>
            <w:r/>
            <w:r>
              <w:rPr>
                <w:b w:val="0"/>
                <w:color w:val="1F2937"/>
                <w:sz w:val="17"/>
              </w:rPr>
              <w:t>€2.33M</w:t>
            </w:r>
          </w:p>
        </w:tc>
        <w:tc>
          <w:tcPr>
            <w:tcW w:type="dxa" w:w="825"/>
          </w:tcPr>
          <w:p>
            <w:pPr>
              <w:spacing w:after="40" w:before="40"/>
            </w:pPr>
            <w:r/>
            <w:r>
              <w:rPr>
                <w:b w:val="0"/>
                <w:color w:val="1F2937"/>
                <w:sz w:val="17"/>
              </w:rPr>
              <w:t>€4.52M</w:t>
            </w:r>
          </w:p>
        </w:tc>
        <w:tc>
          <w:tcPr>
            <w:tcW w:type="dxa" w:w="825"/>
          </w:tcPr>
          <w:p>
            <w:pPr>
              <w:spacing w:after="40" w:before="40"/>
            </w:pPr>
            <w:r/>
            <w:r>
              <w:rPr>
                <w:b w:val="0"/>
                <w:color w:val="1F2937"/>
                <w:sz w:val="17"/>
              </w:rPr>
              <w:t>€7.49M</w:t>
            </w:r>
          </w:p>
        </w:tc>
        <w:tc>
          <w:tcPr>
            <w:tcW w:type="dxa" w:w="825"/>
          </w:tcPr>
          <w:p>
            <w:pPr>
              <w:spacing w:after="40" w:before="40"/>
            </w:pPr>
            <w:r/>
            <w:r>
              <w:rPr>
                <w:b w:val="0"/>
                <w:color w:val="1F2937"/>
                <w:sz w:val="17"/>
              </w:rPr>
              <w:t>€10.85M</w:t>
            </w:r>
          </w:p>
        </w:tc>
        <w:tc>
          <w:tcPr>
            <w:tcW w:type="dxa" w:w="825"/>
          </w:tcPr>
          <w:p>
            <w:pPr>
              <w:spacing w:after="40" w:before="40"/>
            </w:pPr>
            <w:r/>
            <w:r>
              <w:rPr>
                <w:b w:val="0"/>
                <w:color w:val="1F2937"/>
                <w:sz w:val="17"/>
              </w:rPr>
              <w:t>€14.05M</w:t>
            </w:r>
          </w:p>
        </w:tc>
        <w:tc>
          <w:tcPr>
            <w:tcW w:type="dxa" w:w="825"/>
          </w:tcPr>
          <w:p>
            <w:pPr>
              <w:spacing w:after="40" w:before="40"/>
            </w:pPr>
            <w:r/>
            <w:r>
              <w:rPr>
                <w:b w:val="0"/>
                <w:color w:val="1F2937"/>
                <w:sz w:val="17"/>
              </w:rPr>
              <w:t>€18.01M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71%</w:t>
            </w:r>
          </w:p>
        </w:tc>
        <w:tc>
          <w:tcPr>
            <w:tcW w:type="dxa" w:w="825"/>
          </w:tcPr>
          <w:p>
            <w:pPr>
              <w:spacing w:after="40" w:before="40"/>
            </w:pPr>
            <w:r/>
            <w:r>
              <w:rPr>
                <w:b w:val="0"/>
                <w:color w:val="1F2937"/>
                <w:sz w:val="17"/>
              </w:rPr>
              <w:t>71%</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€57k</w:t>
            </w:r>
          </w:p>
        </w:tc>
        <w:tc>
          <w:tcPr>
            <w:tcW w:type="dxa" w:w="825"/>
          </w:tcPr>
          <w:p>
            <w:pPr>
              <w:spacing w:after="40" w:before="40"/>
            </w:pPr>
            <w:r/>
            <w:r>
              <w:rPr>
                <w:b w:val="0"/>
                <w:color w:val="1F2937"/>
                <w:sz w:val="17"/>
              </w:rPr>
              <w:t>€104k</w:t>
            </w:r>
          </w:p>
        </w:tc>
        <w:tc>
          <w:tcPr>
            <w:tcW w:type="dxa" w:w="825"/>
          </w:tcPr>
          <w:p>
            <w:pPr>
              <w:spacing w:after="40" w:before="40"/>
            </w:pPr>
            <w:r/>
            <w:r>
              <w:rPr>
                <w:b w:val="0"/>
                <w:color w:val="1F2937"/>
                <w:sz w:val="17"/>
              </w:rPr>
              <w:t>€210k</w:t>
            </w:r>
          </w:p>
        </w:tc>
        <w:tc>
          <w:tcPr>
            <w:tcW w:type="dxa" w:w="825"/>
          </w:tcPr>
          <w:p>
            <w:pPr>
              <w:spacing w:after="40" w:before="40"/>
            </w:pPr>
            <w:r/>
            <w:r>
              <w:rPr>
                <w:b w:val="0"/>
                <w:color w:val="1F2937"/>
                <w:sz w:val="17"/>
              </w:rPr>
              <w:t>€384k</w:t>
            </w:r>
          </w:p>
        </w:tc>
        <w:tc>
          <w:tcPr>
            <w:tcW w:type="dxa" w:w="825"/>
          </w:tcPr>
          <w:p>
            <w:pPr>
              <w:spacing w:after="40" w:before="40"/>
            </w:pPr>
            <w:r/>
            <w:r>
              <w:rPr>
                <w:b w:val="0"/>
                <w:color w:val="1F2937"/>
                <w:sz w:val="17"/>
              </w:rPr>
              <w:t>€660k</w:t>
            </w:r>
          </w:p>
        </w:tc>
        <w:tc>
          <w:tcPr>
            <w:tcW w:type="dxa" w:w="825"/>
          </w:tcPr>
          <w:p>
            <w:pPr>
              <w:spacing w:after="40" w:before="40"/>
            </w:pPr>
            <w:r/>
            <w:r>
              <w:rPr>
                <w:b w:val="0"/>
                <w:color w:val="1F2937"/>
                <w:sz w:val="17"/>
              </w:rPr>
              <w:t>€1.02M</w:t>
            </w:r>
          </w:p>
        </w:tc>
        <w:tc>
          <w:tcPr>
            <w:tcW w:type="dxa" w:w="825"/>
          </w:tcPr>
          <w:p>
            <w:pPr>
              <w:spacing w:after="40" w:before="40"/>
            </w:pPr>
            <w:r/>
            <w:r>
              <w:rPr>
                <w:b w:val="0"/>
                <w:color w:val="1F2937"/>
                <w:sz w:val="17"/>
              </w:rPr>
              <w:t>€1.54M</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€2.44M</w:t>
            </w:r>
          </w:p>
        </w:tc>
        <w:tc>
          <w:tcPr>
            <w:tcW w:type="dxa" w:w="825"/>
          </w:tcPr>
          <w:p>
            <w:pPr>
              <w:spacing w:after="40" w:before="40"/>
            </w:pPr>
            <w:r/>
            <w:r>
              <w:rPr>
                <w:b w:val="0"/>
                <w:color w:val="1F2937"/>
                <w:sz w:val="17"/>
              </w:rPr>
              <w:t>€2.89M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€43k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€274k</w:t>
            </w:r>
          </w:p>
        </w:tc>
        <w:tc>
          <w:tcPr>
            <w:tcW w:type="dxa" w:w="825"/>
          </w:tcPr>
          <w:p>
            <w:pPr>
              <w:spacing w:after="40" w:before="40"/>
            </w:pPr>
            <w:r/>
            <w:r>
              <w:rPr>
                <w:b w:val="0"/>
                <w:color w:val="1F2937"/>
                <w:sz w:val="17"/>
              </w:rPr>
              <w:t>€522k</w:t>
            </w:r>
          </w:p>
        </w:tc>
        <w:tc>
          <w:tcPr>
            <w:tcW w:type="dxa" w:w="825"/>
          </w:tcPr>
          <w:p>
            <w:pPr>
              <w:spacing w:after="40" w:before="40"/>
            </w:pPr>
            <w:r/>
            <w:r>
              <w:rPr>
                <w:b w:val="0"/>
                <w:color w:val="1F2937"/>
                <w:sz w:val="17"/>
              </w:rPr>
              <w:t>€856k</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€1.59M</w:t>
            </w:r>
          </w:p>
        </w:tc>
        <w:tc>
          <w:tcPr>
            <w:tcW w:type="dxa" w:w="825"/>
          </w:tcPr>
          <w:p>
            <w:pPr>
              <w:spacing w:after="40" w:before="40"/>
            </w:pPr>
            <w:r/>
            <w:r>
              <w:rPr>
                <w:b w:val="0"/>
                <w:color w:val="1F2937"/>
                <w:sz w:val="17"/>
              </w:rPr>
              <w:t>€2.03M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€-95k</w:t>
            </w:r>
          </w:p>
        </w:tc>
        <w:tc>
          <w:tcPr>
            <w:tcW w:type="dxa" w:w="825"/>
          </w:tcPr>
          <w:p>
            <w:pPr>
              <w:spacing w:after="40" w:before="40"/>
            </w:pPr>
            <w:r/>
            <w:r>
              <w:rPr>
                <w:b w:val="0"/>
                <w:color w:val="1F2937"/>
                <w:sz w:val="17"/>
              </w:rPr>
              <w:t>€-169k</w:t>
            </w:r>
          </w:p>
        </w:tc>
        <w:tc>
          <w:tcPr>
            <w:tcW w:type="dxa" w:w="825"/>
          </w:tcPr>
          <w:p>
            <w:pPr>
              <w:spacing w:after="40" w:before="40"/>
            </w:pPr>
            <w:r/>
            <w:r>
              <w:rPr>
                <w:b w:val="0"/>
                <w:color w:val="1F2937"/>
                <w:sz w:val="17"/>
              </w:rPr>
              <w:t>€-228k</w:t>
            </w:r>
          </w:p>
        </w:tc>
        <w:tc>
          <w:tcPr>
            <w:tcW w:type="dxa" w:w="825"/>
          </w:tcPr>
          <w:p>
            <w:pPr>
              <w:spacing w:after="40" w:before="40"/>
            </w:pPr>
            <w:r/>
            <w:r>
              <w:rPr>
                <w:b w:val="0"/>
                <w:color w:val="1F2937"/>
                <w:sz w:val="17"/>
              </w:rPr>
              <w:t>€-173k</w:t>
            </w:r>
          </w:p>
        </w:tc>
        <w:tc>
          <w:tcPr>
            <w:tcW w:type="dxa" w:w="825"/>
          </w:tcPr>
          <w:p>
            <w:pPr>
              <w:spacing w:after="40" w:before="40"/>
            </w:pPr>
            <w:r/>
            <w:r>
              <w:rPr>
                <w:b w:val="0"/>
                <w:color w:val="1F2937"/>
                <w:sz w:val="17"/>
              </w:rPr>
              <w:t>€278k</w:t>
            </w:r>
          </w:p>
        </w:tc>
        <w:tc>
          <w:tcPr>
            <w:tcW w:type="dxa" w:w="825"/>
          </w:tcPr>
          <w:p>
            <w:pPr>
              <w:spacing w:after="40" w:before="40"/>
            </w:pPr>
            <w:r/>
            <w:r>
              <w:rPr>
                <w:b w:val="0"/>
                <w:color w:val="1F2937"/>
                <w:sz w:val="17"/>
              </w:rPr>
              <w:t>€1.44M</w:t>
            </w:r>
          </w:p>
        </w:tc>
        <w:tc>
          <w:tcPr>
            <w:tcW w:type="dxa" w:w="825"/>
          </w:tcPr>
          <w:p>
            <w:pPr>
              <w:spacing w:after="40" w:before="40"/>
            </w:pPr>
            <w:r/>
            <w:r>
              <w:rPr>
                <w:b w:val="0"/>
                <w:color w:val="1F2937"/>
                <w:sz w:val="17"/>
              </w:rPr>
              <w:t>€3.12M</w:t>
            </w:r>
          </w:p>
        </w:tc>
        <w:tc>
          <w:tcPr>
            <w:tcW w:type="dxa" w:w="825"/>
          </w:tcPr>
          <w:p>
            <w:pPr>
              <w:spacing w:after="40" w:before="40"/>
            </w:pPr>
            <w:r/>
            <w:r>
              <w:rPr>
                <w:b w:val="0"/>
                <w:color w:val="1F2937"/>
                <w:sz w:val="17"/>
              </w:rPr>
              <w:t>€5.45M</w:t>
            </w:r>
          </w:p>
        </w:tc>
        <w:tc>
          <w:tcPr>
            <w:tcW w:type="dxa" w:w="825"/>
          </w:tcPr>
          <w:p>
            <w:pPr>
              <w:spacing w:after="40" w:before="40"/>
            </w:pPr>
            <w:r/>
            <w:r>
              <w:rPr>
                <w:b w:val="0"/>
                <w:color w:val="1F2937"/>
                <w:sz w:val="17"/>
              </w:rPr>
              <w:t>€7.89M</w:t>
            </w:r>
          </w:p>
        </w:tc>
        <w:tc>
          <w:tcPr>
            <w:tcW w:type="dxa" w:w="825"/>
          </w:tcPr>
          <w:p>
            <w:pPr>
              <w:spacing w:after="40" w:before="40"/>
            </w:pPr>
            <w:r/>
            <w:r>
              <w:rPr>
                <w:b w:val="0"/>
                <w:color w:val="1F2937"/>
                <w:sz w:val="17"/>
              </w:rPr>
              <w:t>€10.80M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€419k</w:t>
            </w:r>
          </w:p>
        </w:tc>
        <w:tc>
          <w:tcPr>
            <w:tcW w:type="dxa" w:w="825"/>
          </w:tcPr>
          <w:p>
            <w:pPr>
              <w:spacing w:after="40" w:before="40"/>
            </w:pPr>
            <w:r/>
            <w:r>
              <w:rPr>
                <w:b w:val="0"/>
                <w:color w:val="1F2937"/>
                <w:sz w:val="17"/>
              </w:rPr>
              <w:t>€748k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€2.52M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€-110k</w:t>
            </w:r>
          </w:p>
        </w:tc>
        <w:tc>
          <w:tcPr>
            <w:tcW w:type="dxa" w:w="825"/>
          </w:tcPr>
          <w:p>
            <w:pPr>
              <w:spacing w:after="40" w:before="40"/>
            </w:pPr>
            <w:r/>
            <w:r>
              <w:rPr>
                <w:b w:val="0"/>
                <w:color w:val="1F2937"/>
                <w:sz w:val="17"/>
              </w:rPr>
              <w:t>€-264k</w:t>
            </w:r>
          </w:p>
        </w:tc>
        <w:tc>
          <w:tcPr>
            <w:tcW w:type="dxa" w:w="825"/>
          </w:tcPr>
          <w:p>
            <w:pPr>
              <w:spacing w:after="40" w:before="40"/>
            </w:pPr>
            <w:r/>
            <w:r>
              <w:rPr>
                <w:b w:val="0"/>
                <w:color w:val="1F2937"/>
                <w:sz w:val="17"/>
              </w:rPr>
              <w:t>€-516k</w:t>
            </w:r>
          </w:p>
        </w:tc>
        <w:tc>
          <w:tcPr>
            <w:tcW w:type="dxa" w:w="825"/>
          </w:tcPr>
          <w:p>
            <w:pPr>
              <w:spacing w:after="40" w:before="40"/>
            </w:pPr>
            <w:r/>
            <w:r>
              <w:rPr>
                <w:b w:val="0"/>
                <w:color w:val="1F2937"/>
                <w:sz w:val="17"/>
              </w:rPr>
              <w:t>€-821k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€-1.46M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€17k</w:t>
            </w:r>
          </w:p>
        </w:tc>
        <w:tc>
          <w:tcPr>
            <w:tcW w:type="dxa" w:w="825"/>
          </w:tcPr>
          <w:p>
            <w:pPr>
              <w:spacing w:after="40" w:before="40"/>
            </w:pPr>
            <w:r/>
            <w:r>
              <w:rPr>
                <w:b w:val="0"/>
                <w:color w:val="1F2937"/>
                <w:sz w:val="17"/>
              </w:rPr>
              <w:t>€31k</w:t>
            </w:r>
          </w:p>
        </w:tc>
        <w:tc>
          <w:tcPr>
            <w:tcW w:type="dxa" w:w="825"/>
          </w:tcPr>
          <w:p>
            <w:pPr>
              <w:spacing w:after="40" w:before="40"/>
            </w:pPr>
            <w:r/>
            <w:r>
              <w:rPr>
                <w:b w:val="0"/>
                <w:color w:val="1F2937"/>
                <w:sz w:val="17"/>
              </w:rPr>
              <w:t>€63k</w:t>
            </w:r>
          </w:p>
        </w:tc>
        <w:tc>
          <w:tcPr>
            <w:tcW w:type="dxa" w:w="825"/>
          </w:tcPr>
          <w:p>
            <w:pPr>
              <w:spacing w:after="40" w:before="40"/>
            </w:pPr>
            <w:r/>
            <w:r>
              <w:rPr>
                <w:b w:val="0"/>
                <w:color w:val="1F2937"/>
                <w:sz w:val="17"/>
              </w:rPr>
              <w:t>€115k</w:t>
            </w:r>
          </w:p>
        </w:tc>
        <w:tc>
          <w:tcPr>
            <w:tcW w:type="dxa" w:w="825"/>
          </w:tcPr>
          <w:p>
            <w:pPr>
              <w:spacing w:after="40" w:before="40"/>
            </w:pPr>
            <w:r/>
            <w:r>
              <w:rPr>
                <w:b w:val="0"/>
                <w:color w:val="1F2937"/>
                <w:sz w:val="17"/>
              </w:rPr>
              <w:t>€198k</w:t>
            </w:r>
          </w:p>
        </w:tc>
        <w:tc>
          <w:tcPr>
            <w:tcW w:type="dxa" w:w="825"/>
          </w:tcPr>
          <w:p>
            <w:pPr>
              <w:spacing w:after="40" w:before="40"/>
            </w:pPr>
            <w:r/>
            <w:r>
              <w:rPr>
                <w:b w:val="0"/>
                <w:color w:val="1F2937"/>
                <w:sz w:val="17"/>
              </w:rPr>
              <w:t>€306k</w:t>
            </w:r>
          </w:p>
        </w:tc>
        <w:tc>
          <w:tcPr>
            <w:tcW w:type="dxa" w:w="825"/>
          </w:tcPr>
          <w:p>
            <w:pPr>
              <w:spacing w:after="40" w:before="40"/>
            </w:pPr>
            <w:r/>
            <w:r>
              <w:rPr>
                <w:b w:val="0"/>
                <w:color w:val="1F2937"/>
                <w:sz w:val="17"/>
              </w:rPr>
              <w:t>€462k</w:t>
            </w:r>
          </w:p>
        </w:tc>
        <w:tc>
          <w:tcPr>
            <w:tcW w:type="dxa" w:w="825"/>
          </w:tcPr>
          <w:p>
            <w:pPr>
              <w:spacing w:after="40" w:before="40"/>
            </w:pPr>
            <w:r/>
            <w:r>
              <w:rPr>
                <w:b w:val="0"/>
                <w:color w:val="1F2937"/>
                <w:sz w:val="17"/>
              </w:rPr>
              <w:t>€605k</w:t>
            </w:r>
          </w:p>
        </w:tc>
        <w:tc>
          <w:tcPr>
            <w:tcW w:type="dxa" w:w="825"/>
          </w:tcPr>
          <w:p>
            <w:pPr>
              <w:spacing w:after="40" w:before="40"/>
            </w:pPr>
            <w:r/>
            <w:r>
              <w:rPr>
                <w:b w:val="0"/>
                <w:color w:val="1F2937"/>
                <w:sz w:val="17"/>
              </w:rPr>
              <w:t>€733k</w:t>
            </w:r>
          </w:p>
        </w:tc>
        <w:tc>
          <w:tcPr>
            <w:tcW w:type="dxa" w:w="825"/>
          </w:tcPr>
          <w:p>
            <w:pPr>
              <w:spacing w:after="40" w:before="40"/>
            </w:pPr>
            <w:r/>
            <w:r>
              <w:rPr>
                <w:b w:val="0"/>
                <w:color w:val="1F2937"/>
                <w:sz w:val="17"/>
              </w:rPr>
              <w:t>€866k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€-96k</w:t>
            </w:r>
          </w:p>
        </w:tc>
        <w:tc>
          <w:tcPr>
            <w:tcW w:type="dxa" w:w="825"/>
          </w:tcPr>
          <w:p>
            <w:pPr>
              <w:spacing w:after="40" w:before="40"/>
            </w:pPr>
            <w:r/>
            <w:r>
              <w:rPr>
                <w:b w:val="0"/>
                <w:color w:val="1F2937"/>
                <w:sz w:val="17"/>
              </w:rPr>
              <w:t>€-162k</w:t>
            </w:r>
          </w:p>
        </w:tc>
        <w:tc>
          <w:tcPr>
            <w:tcW w:type="dxa" w:w="825"/>
          </w:tcPr>
          <w:p>
            <w:pPr>
              <w:spacing w:after="40" w:before="40"/>
            </w:pPr>
            <w:r/>
            <w:r>
              <w:rPr>
                <w:b w:val="0"/>
                <w:color w:val="1F2937"/>
                <w:sz w:val="17"/>
              </w:rPr>
              <w:t>€-181k</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€596k</w:t>
            </w:r>
          </w:p>
        </w:tc>
        <w:tc>
          <w:tcPr>
            <w:tcW w:type="dxa" w:w="825"/>
          </w:tcPr>
          <w:p>
            <w:pPr>
              <w:spacing w:after="40" w:before="40"/>
            </w:pPr>
            <w:r/>
            <w:r>
              <w:rPr>
                <w:b w:val="0"/>
                <w:color w:val="1F2937"/>
                <w:sz w:val="17"/>
              </w:rPr>
              <w:t>€1.87M</w:t>
            </w:r>
          </w:p>
        </w:tc>
        <w:tc>
          <w:tcPr>
            <w:tcW w:type="dxa" w:w="825"/>
          </w:tcPr>
          <w:p>
            <w:pPr>
              <w:spacing w:after="40" w:before="40"/>
            </w:pPr>
            <w:r/>
            <w:r>
              <w:rPr>
                <w:b w:val="0"/>
                <w:color w:val="1F2937"/>
                <w:sz w:val="17"/>
              </w:rPr>
              <w:t>€3.33M</w:t>
            </w:r>
          </w:p>
        </w:tc>
        <w:tc>
          <w:tcPr>
            <w:tcW w:type="dxa" w:w="825"/>
          </w:tcPr>
          <w:p>
            <w:pPr>
              <w:spacing w:after="40" w:before="40"/>
            </w:pPr>
            <w:r/>
            <w:r>
              <w:rPr>
                <w:b w:val="0"/>
                <w:color w:val="1F2937"/>
                <w:sz w:val="17"/>
              </w:rPr>
              <w:t>€5.30M</w:t>
            </w:r>
          </w:p>
        </w:tc>
        <w:tc>
          <w:tcPr>
            <w:tcW w:type="dxa" w:w="825"/>
          </w:tcPr>
          <w:p>
            <w:pPr>
              <w:spacing w:after="40" w:before="40"/>
            </w:pPr>
            <w:r/>
            <w:r>
              <w:rPr>
                <w:b w:val="0"/>
                <w:color w:val="1F2937"/>
                <w:sz w:val="17"/>
              </w:rPr>
              <w:t>€7.23M</w:t>
            </w:r>
          </w:p>
        </w:tc>
        <w:tc>
          <w:tcPr>
            <w:tcW w:type="dxa" w:w="825"/>
          </w:tcPr>
          <w:p>
            <w:pPr>
              <w:spacing w:after="40" w:before="40"/>
            </w:pPr>
            <w:r/>
            <w:r>
              <w:rPr>
                <w:b w:val="0"/>
                <w:color w:val="1F2937"/>
                <w:sz w:val="17"/>
              </w:rPr>
              <w:t>€8.87M</w:t>
            </w:r>
          </w:p>
        </w:tc>
      </w:tr>
    </w:tbl>
    <w:p>
      <w:pPr>
        <w:spacing w:after="160" w:before="0"/>
      </w:pPr>
    </w:p>
    <w:p>
      <w:pPr>
        <w:spacing w:after="140" w:line="276" w:lineRule="auto"/>
        <w:jc w:val="both"/>
      </w:pPr>
      <w:r>
        <w:rPr>
          <w:b w:val="0"/>
          <w:color w:val="1F2937"/>
          <w:sz w:val="20"/>
        </w:rPr>
        <w:t xml:space="preserve">Free cash flow is EBITDA less tax, working capital movement and capex —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pStyle w:val="Heading2"/>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€-96k</w:t>
            </w:r>
          </w:p>
        </w:tc>
        <w:tc>
          <w:tcPr>
            <w:tcW w:type="dxa" w:w="3024"/>
          </w:tcPr>
          <w:p>
            <w:pPr>
              <w:spacing w:after="40" w:before="40"/>
            </w:pPr>
            <w:r/>
            <w:r>
              <w:rPr>
                <w:b w:val="0"/>
                <w:color w:val="1F2937"/>
                <w:sz w:val="17"/>
              </w:rPr>
              <w:t>€-96k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€-162k</w:t>
            </w:r>
          </w:p>
        </w:tc>
        <w:tc>
          <w:tcPr>
            <w:tcW w:type="dxa" w:w="3024"/>
          </w:tcPr>
          <w:p>
            <w:pPr>
              <w:spacing w:after="40" w:before="40"/>
            </w:pPr>
            <w:r/>
            <w:r>
              <w:rPr>
                <w:b w:val="0"/>
                <w:color w:val="1F2937"/>
                <w:sz w:val="17"/>
              </w:rPr>
              <w:t>€-258k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€-181k</w:t>
            </w:r>
          </w:p>
        </w:tc>
        <w:tc>
          <w:tcPr>
            <w:tcW w:type="dxa" w:w="3024"/>
          </w:tcPr>
          <w:p>
            <w:pPr>
              <w:spacing w:after="40" w:before="40"/>
            </w:pPr>
            <w:r/>
            <w:r>
              <w:rPr>
                <w:b w:val="0"/>
                <w:color w:val="1F2937"/>
                <w:sz w:val="17"/>
              </w:rPr>
              <w:t>€-439k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€-464k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€596k</w:t>
            </w:r>
          </w:p>
        </w:tc>
        <w:tc>
          <w:tcPr>
            <w:tcW w:type="dxa" w:w="3024"/>
          </w:tcPr>
          <w:p>
            <w:pPr>
              <w:spacing w:after="40" w:before="40"/>
            </w:pPr>
            <w:r/>
            <w:r>
              <w:rPr>
                <w:b w:val="0"/>
                <w:color w:val="1F2937"/>
                <w:sz w:val="17"/>
              </w:rPr>
              <w:t>€132k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€1.87M</w:t>
            </w:r>
          </w:p>
        </w:tc>
        <w:tc>
          <w:tcPr>
            <w:tcW w:type="dxa" w:w="3024"/>
          </w:tcPr>
          <w:p>
            <w:pPr>
              <w:spacing w:after="40" w:before="40"/>
            </w:pPr>
            <w:r/>
            <w:r>
              <w:rPr>
                <w:b w:val="0"/>
                <w:color w:val="1F2937"/>
                <w:sz w:val="17"/>
              </w:rPr>
              <w:t>€2.00M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€3.33M</w:t>
            </w:r>
          </w:p>
        </w:tc>
        <w:tc>
          <w:tcPr>
            <w:tcW w:type="dxa" w:w="3024"/>
          </w:tcPr>
          <w:p>
            <w:pPr>
              <w:spacing w:after="40" w:before="40"/>
            </w:pPr>
            <w:r/>
            <w:r>
              <w:rPr>
                <w:b w:val="0"/>
                <w:color w:val="1F2937"/>
                <w:sz w:val="17"/>
              </w:rPr>
              <w:t>€5.33M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€5.30M</w:t>
            </w:r>
          </w:p>
        </w:tc>
        <w:tc>
          <w:tcPr>
            <w:tcW w:type="dxa" w:w="3024"/>
          </w:tcPr>
          <w:p>
            <w:pPr>
              <w:spacing w:after="40" w:before="40"/>
            </w:pPr>
            <w:r/>
            <w:r>
              <w:rPr>
                <w:b w:val="0"/>
                <w:color w:val="1F2937"/>
                <w:sz w:val="17"/>
              </w:rPr>
              <w:t>€10.63M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€7.23M</w:t>
            </w:r>
          </w:p>
        </w:tc>
        <w:tc>
          <w:tcPr>
            <w:tcW w:type="dxa" w:w="3024"/>
          </w:tcPr>
          <w:p>
            <w:pPr>
              <w:spacing w:after="40" w:before="40"/>
            </w:pPr>
            <w:r/>
            <w:r>
              <w:rPr>
                <w:b w:val="0"/>
                <w:color w:val="1F2937"/>
                <w:sz w:val="17"/>
              </w:rPr>
              <w:t>€17.86M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€8.87M</w:t>
            </w:r>
          </w:p>
        </w:tc>
        <w:tc>
          <w:tcPr>
            <w:tcW w:type="dxa" w:w="3024"/>
          </w:tcPr>
          <w:p>
            <w:pPr>
              <w:spacing w:after="40" w:before="40"/>
            </w:pPr>
            <w:r/>
            <w:r>
              <w:rPr>
                <w:b w:val="0"/>
                <w:color w:val="1F2937"/>
                <w:sz w:val="17"/>
              </w:rPr>
              <w:t>€26.73M</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€-464k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Y4</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€186k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€649k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color w:val="1F2937"/>
          <w:sz w:val="20"/>
        </w:rPr>
        <w:t>€649k is a small number for a plan that reaches €10.7M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pStyle w:val="Heading2"/>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pStyle w:val="Heading2"/>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 in practice the athletes who join in Y6 are unlikely to convert as well as the hand-picked ones in Y1.</w:t>
      </w:r>
    </w:p>
    <w:p>
      <w:r>
        <w:br w:type="page"/>
      </w:r>
    </w:p>
    <w:p>
      <w:pPr>
        <w:pStyle w:val="Heading1"/>
        <w:keepNext/>
        <w:spacing w:before="320" w:after="100"/>
        <w:pBdr>
          <w:bottom w:val="single" w:sz="6" w:space="8" w:color="D1D5DB"/>
        </w:pBdr>
      </w:pPr>
      <w:r>
        <w:rPr>
          <w:b/>
          <w:color w:val="1F2937"/>
          <w:sz w:val="32"/>
        </w:rPr>
        <w:t>Appendix D — Capital &amp; Valuation</w:t>
      </w:r>
    </w:p>
    <w:p>
      <w:pPr>
        <w:spacing w:after="120" w:before="0"/>
      </w:pPr>
    </w:p>
    <w:p>
      <w:pPr>
        <w:pStyle w:val="Heading2"/>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 because the scarce input is not the money.</w:t>
      </w:r>
    </w:p>
    <w:p>
      <w:pPr>
        <w:pStyle w:val="Heading3"/>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pStyle w:val="Heading3"/>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 take the job, invest the €80k —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~49% through the Series A holds that share of the enterprise value — </w:t>
      </w:r>
      <w:r>
        <w:rPr>
          <w:b/>
          <w:color w:val="1F2937"/>
          <w:sz w:val="20"/>
        </w:rPr>
        <w:t>€4.11M against the DCF floor of €8.37M</w:t>
      </w:r>
      <w:r>
        <w:rPr>
          <w:b w:val="0"/>
          <w:color w:val="1F2937"/>
          <w:sz w:val="20"/>
        </w:rPr>
        <w:t xml:space="preserve">, and €5.4–12.1M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pStyle w:val="Heading2"/>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€600k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€649k. The rounds above raise €2.6M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€464k trough in Y4</w:t>
      </w:r>
      <w:r>
        <w:rPr>
          <w:b w:val="0"/>
          <w:color w:val="1F2937"/>
          <w:sz w:val="20"/>
        </w:rP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€600k clears the trough the model produces; €649k is that trough plus the 40% buffer.</w:t>
      </w:r>
      <w:r>
        <w:rPr>
          <w:b w:val="0"/>
          <w:color w:val="1F2937"/>
          <w:sz w:val="20"/>
        </w:rPr>
        <w:t xml:space="preserve"> The seed is optional against the plan as modelled — not against the conservative case the buffer exists for. If the buffer is needed, the €49k gap is what the non-dilutive stack above is for.</w:t>
      </w:r>
    </w:p>
    <w:p>
      <w:pPr>
        <w:pStyle w:val="Heading3"/>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pStyle w:val="Heading2"/>
        <w:keepNext/>
        <w:spacing w:before="320" w:after="100"/>
      </w:pPr>
      <w:r>
        <w:rPr>
          <w:b/>
          <w:color w:val="1F2937"/>
          <w:sz w:val="25"/>
        </w:rPr>
        <w:t>Spanish instruments —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r>
              <w:rPr>
                <w:b w:val="0"/>
                <w:color w:val="1F2937"/>
                <w:sz w:val="17"/>
              </w:rPr>
              <w:t>—</w:t>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 worth €1.57M across Y6–Y9</w:t>
            </w:r>
          </w:p>
        </w:tc>
      </w:tr>
      <w:tr>
        <w:tc>
          <w:tcPr>
            <w:tcW w:type="dxa" w:w="2268"/>
          </w:tcPr>
          <w:p>
            <w:pPr>
              <w:spacing w:after="40" w:before="40"/>
            </w:pPr>
            <w:r/>
            <w:r>
              <w:rPr>
                <w:b w:val="0"/>
                <w:color w:val="1F2937"/>
                <w:sz w:val="17"/>
              </w:rPr>
              <w:t>Beckham Law</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€464k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 they are upside, and grant timelines are unreliable enough that no plan should depend on them.</w:t>
      </w:r>
    </w:p>
    <w:p>
      <w:pPr>
        <w:spacing w:after="120" w:before="0"/>
      </w:pPr>
    </w:p>
    <w:p>
      <w:pPr>
        <w:pStyle w:val="Heading2"/>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pStyle w:val="Heading3"/>
        <w:keepNext/>
        <w:spacing w:before="200" w:after="100"/>
      </w:pPr>
      <w:r>
        <w:rPr>
          <w:b/>
          <w:color w:val="6B7280"/>
          <w:sz w:val="22"/>
        </w:rPr>
        <w:t>Discounted cash flow</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€3.91M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€41.53M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€4.46M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€8.37M</w:t>
            </w:r>
          </w:p>
        </w:tc>
      </w:tr>
    </w:tbl>
    <w:p>
      <w:pPr>
        <w:spacing w:after="160" w:before="0"/>
      </w:pPr>
    </w:p>
    <w:p>
      <w:pPr>
        <w:pStyle w:val="Heading3"/>
        <w:keepNext/>
        <w:spacing w:before="200" w:after="100"/>
      </w:pPr>
      <w:r>
        <w:rPr>
          <w:b/>
          <w:color w:val="6B7280"/>
          <w:sz w:val="22"/>
        </w:rPr>
        <w:t>Exit multiple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€101.53M</w:t>
            </w:r>
          </w:p>
        </w:tc>
        <w:tc>
          <w:tcPr>
            <w:tcW w:type="dxa" w:w="2268"/>
          </w:tcPr>
          <w:p>
            <w:pPr>
              <w:spacing w:after="40" w:before="40"/>
            </w:pPr>
            <w:r/>
            <w:r>
              <w:rPr>
                <w:b w:val="0"/>
                <w:color w:val="1F2937"/>
                <w:sz w:val="17"/>
              </w:rPr>
              <w:t>€10.90M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€164.99M</w:t>
            </w:r>
          </w:p>
        </w:tc>
        <w:tc>
          <w:tcPr>
            <w:tcW w:type="dxa" w:w="2268"/>
          </w:tcPr>
          <w:p>
            <w:pPr>
              <w:spacing w:after="40" w:before="40"/>
            </w:pPr>
            <w:r/>
            <w:r>
              <w:rPr>
                <w:b w:val="0"/>
                <w:color w:val="1F2937"/>
                <w:sz w:val="17"/>
              </w:rPr>
              <w:t>€17.72M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€228.45M</w:t>
            </w:r>
          </w:p>
        </w:tc>
        <w:tc>
          <w:tcPr>
            <w:tcW w:type="dxa" w:w="2268"/>
          </w:tcPr>
          <w:p>
            <w:pPr>
              <w:spacing w:after="40" w:before="40"/>
            </w:pPr>
            <w:r/>
            <w:r>
              <w:rPr>
                <w:b w:val="0"/>
                <w:color w:val="1F2937"/>
                <w:sz w:val="17"/>
              </w:rPr>
              <w:t>€24.53M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€151.13M</w:t>
            </w:r>
          </w:p>
        </w:tc>
        <w:tc>
          <w:tcPr>
            <w:tcW w:type="dxa" w:w="2268"/>
          </w:tcPr>
          <w:p>
            <w:pPr>
              <w:spacing w:after="40" w:before="40"/>
            </w:pPr>
            <w:r/>
            <w:r>
              <w:rPr>
                <w:b w:val="0"/>
                <w:color w:val="1F2937"/>
                <w:sz w:val="17"/>
              </w:rPr>
              <w:t>€16.23M</w:t>
            </w:r>
          </w:p>
        </w:tc>
      </w:tr>
    </w:tbl>
    <w:p>
      <w:pPr>
        <w:spacing w:after="160" w:before="0"/>
      </w:pPr>
    </w:p>
    <w:p>
      <w:pPr>
        <w:pStyle w:val="Heading3"/>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€8.4M; the blended exit multiple says €165.0M. </w:t>
      </w:r>
      <w:r>
        <w:rPr>
          <w:b/>
          <w:color w:val="1F2937"/>
          <w:sz w:val="20"/>
        </w:rPr>
        <w:t>This is not an error in either —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€8.4M today.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€13.67M</w:t>
            </w:r>
          </w:p>
        </w:tc>
        <w:tc>
          <w:tcPr>
            <w:tcW w:type="dxa" w:w="2268"/>
          </w:tcPr>
          <w:p>
            <w:pPr>
              <w:spacing w:after="40" w:before="40"/>
            </w:pPr>
            <w:r/>
            <w:r>
              <w:rPr>
                <w:b w:val="0"/>
                <w:color w:val="1F2937"/>
                <w:sz w:val="17"/>
              </w:rPr>
              <w:t>€8.14M</w:t>
            </w:r>
          </w:p>
        </w:tc>
        <w:tc>
          <w:tcPr>
            <w:tcW w:type="dxa" w:w="2268"/>
          </w:tcPr>
          <w:p>
            <w:pPr>
              <w:spacing w:after="40" w:before="40"/>
            </w:pPr>
            <w:r/>
            <w:r>
              <w:rPr>
                <w:b w:val="0"/>
                <w:color w:val="1F2937"/>
                <w:sz w:val="17"/>
              </w:rPr>
              <w:t>€5.14M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€14.23M</w:t>
            </w:r>
          </w:p>
        </w:tc>
        <w:tc>
          <w:tcPr>
            <w:tcW w:type="dxa" w:w="2268"/>
          </w:tcPr>
          <w:p>
            <w:pPr>
              <w:spacing w:after="40" w:before="40"/>
            </w:pPr>
            <w:r/>
            <w:r>
              <w:rPr>
                <w:b/>
                <w:color w:val="1F2937"/>
                <w:sz w:val="17"/>
              </w:rPr>
              <w:t>€8.37M</w:t>
            </w:r>
          </w:p>
        </w:tc>
        <w:tc>
          <w:tcPr>
            <w:tcW w:type="dxa" w:w="2268"/>
          </w:tcPr>
          <w:p>
            <w:pPr>
              <w:spacing w:after="40" w:before="40"/>
            </w:pPr>
            <w:r/>
            <w:r>
              <w:rPr>
                <w:b w:val="0"/>
                <w:color w:val="1F2937"/>
                <w:sz w:val="17"/>
              </w:rPr>
              <w:t>€5.25M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€14.86M</w:t>
            </w:r>
          </w:p>
        </w:tc>
        <w:tc>
          <w:tcPr>
            <w:tcW w:type="dxa" w:w="2268"/>
          </w:tcPr>
          <w:p>
            <w:pPr>
              <w:spacing w:after="40" w:before="40"/>
            </w:pPr>
            <w:r/>
            <w:r>
              <w:rPr>
                <w:b w:val="0"/>
                <w:color w:val="1F2937"/>
                <w:sz w:val="17"/>
              </w:rPr>
              <w:t>€8.63M</w:t>
            </w:r>
          </w:p>
        </w:tc>
        <w:tc>
          <w:tcPr>
            <w:tcW w:type="dxa" w:w="2268"/>
          </w:tcPr>
          <w:p>
            <w:pPr>
              <w:spacing w:after="40" w:before="40"/>
            </w:pPr>
            <w:r/>
            <w:r>
              <w:rPr>
                <w:b w:val="0"/>
                <w:color w:val="1F2937"/>
                <w:sz w:val="17"/>
              </w:rPr>
              <w:t>€5.37M</w:t>
            </w:r>
          </w:p>
        </w:tc>
      </w:tr>
    </w:tbl>
    <w:p>
      <w:pPr>
        <w:spacing w:after="160" w:before="0"/>
      </w:pP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pStyle w:val="Heading2"/>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xml:space="preserve"> — an extra 0.5% if they bring three clubs or 25 athletes. The cliff protects you if they lose interest after the launch photos.</w:t>
      </w:r>
    </w:p>
    <w:p>
      <w:pPr>
        <w:pStyle w:val="Heading3"/>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pStyle w:val="Heading2"/>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€600k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€3.1M</w:t>
            </w:r>
          </w:p>
        </w:tc>
        <w:tc>
          <w:tcPr>
            <w:tcW w:type="dxa" w:w="1512"/>
          </w:tcPr>
          <w:p>
            <w:pPr>
              <w:spacing w:after="40" w:before="40"/>
            </w:pPr>
            <w:r/>
            <w:r>
              <w:rPr>
                <w:b w:val="0"/>
                <w:color w:val="1F2937"/>
                <w:sz w:val="17"/>
              </w:rPr>
              <w:t>19.4%</w:t>
            </w:r>
          </w:p>
        </w:tc>
        <w:tc>
          <w:tcPr>
            <w:tcW w:type="dxa" w:w="1512"/>
          </w:tcPr>
          <w:p>
            <w:pPr>
              <w:spacing w:after="40" w:before="40"/>
            </w:pPr>
            <w:r/>
            <w:r>
              <w:rPr>
                <w:b w:val="0"/>
                <w:color w:val="1F2937"/>
                <w:sz w:val="17"/>
              </w:rPr>
              <w:t>79%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€2.0M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66%</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€8.0M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55%</w:t>
            </w:r>
          </w:p>
        </w:tc>
      </w:tr>
      <w:tr>
        <w:tc>
          <w:tcPr>
            <w:tcW w:type="dxa" w:w="1512"/>
          </w:tcPr>
          <w:p>
            <w:pPr>
              <w:spacing w:after="40" w:before="40"/>
            </w:pPr>
            <w:r/>
            <w:r>
              <w:rPr>
                <w:b w:val="0"/>
                <w:color w:val="1F2937"/>
                <w:sz w:val="17"/>
              </w:rPr>
              <w:t>ESOP (cumulative)</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~49%</w:t>
            </w:r>
          </w:p>
        </w:tc>
      </w:tr>
    </w:tbl>
    <w:p>
      <w:pPr>
        <w:spacing w:after="160" w:before="0"/>
      </w:pPr>
    </w:p>
    <w:p>
      <w:pPr>
        <w:spacing w:after="140" w:line="276" w:lineRule="auto"/>
        <w:jc w:val="both"/>
      </w:pPr>
      <w:r>
        <w:rPr>
          <w:b w:val="0"/>
          <w:color w:val="1F2937"/>
          <w:sz w:val="20"/>
        </w:rPr>
        <w:t>Retaining ~49%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€400k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grew by €200k and retention went </w:t>
      </w:r>
      <w:r>
        <w:rPr>
          <w:b/>
          <w:color w:val="1F2937"/>
          <w:sz w:val="19"/>
        </w:rPr>
        <w:t>up</w:t>
      </w:r>
      <w:r>
        <w:rPr>
          <w:b w:val="0"/>
          <w:color w:val="1F2937"/>
          <w:sz w:val="19"/>
        </w:rPr>
        <w:t>, because the arithmetic was wrong before, not because the round got cheaper.</w:t>
      </w:r>
    </w:p>
    <w:p>
      <w:r>
        <w:br w:type="page"/>
      </w:r>
    </w:p>
    <w:p>
      <w:pPr>
        <w:pStyle w:val="Heading1"/>
        <w:keepNext/>
        <w:spacing w:before="320" w:after="100"/>
        <w:pBdr>
          <w:bottom w:val="single" w:sz="6" w:space="8" w:color="D1D5DB"/>
        </w:pBdr>
      </w:pPr>
      <w:r>
        <w:rPr>
          <w:b/>
          <w:color w:val="1F2937"/>
          <w:sz w:val="32"/>
        </w:rPr>
        <w:t>Appendix E —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pStyle w:val="Heading2"/>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 posts, image upload, locked items, polls, products, follow versus subscribe, a fan feed, fan DMs —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 60% of Y7 revenue —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pStyle w:val="Heading2"/>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pPr>
        <w:spacing w:after="120" w:before="0"/>
      </w:pPr>
    </w:p>
    <w:p>
      <w:pPr>
        <w:pStyle w:val="Heading2"/>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pPr>
        <w:spacing w:after="120" w:before="0"/>
      </w:pPr>
    </w:p>
    <w:p>
      <w:pPr>
        <w:pStyle w:val="Heading2"/>
        <w:keepNext/>
        <w:spacing w:before="320" w:after="100"/>
      </w:pPr>
      <w:r>
        <w:rPr>
          <w:b/>
          <w:color w:val="1F2937"/>
          <w:sz w:val="25"/>
        </w:rPr>
        <w:t>Campaign measurement —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pStyle w:val="Heading3"/>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 a failed token refresh —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b w:val="0"/>
          <w:color w:val="1F2937"/>
          <w:sz w:val="18"/>
        </w:rPr>
        <w:t>—</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w:t>
      </w:r>
      <w:r>
        <w:rPr>
          <w:b w:val="0"/>
          <w:color w:val="1F2937"/>
          <w:sz w:val="20"/>
        </w:rPr>
        <w:t xml:space="preserve"> rather than as a zero variance —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pPr>
        <w:pStyle w:val="Heading3"/>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 of faith. Renewal rate is the difference between the base and conservative 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 outcomes (</w:t>
      </w:r>
      <w:r>
        <w:rPr>
          <w:b w:val="0"/>
          <w:color w:val="1F2937"/>
          <w:sz w:val="20"/>
        </w:rPr>
        <w:t>09</w:t>
      </w:r>
      <w:r>
        <w:rPr>
          <w:b w:val="0"/>
          <w:color w:val="1F2937"/>
          <w:sz w:val="20"/>
        </w:rPr>
        <w:t>); there were none to learn from, so 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 intelligence" is a claim. This one opens.</w:t>
      </w:r>
    </w:p>
    <w:p>
      <w:pPr>
        <w:pStyle w:val="Heading3"/>
        <w:keepNext/>
        <w:spacing w:before="200" w:after="100"/>
      </w:pPr>
      <w:r>
        <w:rPr>
          <w:b/>
          <w:color w:val="6B7280"/>
          <w:sz w:val="22"/>
        </w:rPr>
        <w:t>The two companions from the same reading —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pStyle w:val="Heading3"/>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 keeps accruing views keeps improving the deal's number. Honest, but not the same as a 30-day campaign measurement, and the difference should be named 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 attribution guard proves the post is the athlete's, not that it mentions the brand. Verifying that needs the disclosure tag or a campaign hashtag matched against post text —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 wants a campaign roll-up, which is a query over the same table.</w:t>
      </w:r>
    </w:p>
    <w:p>
      <w:pPr>
        <w:spacing w:after="120" w:before="0"/>
      </w:pPr>
    </w:p>
    <w:p>
      <w:pPr>
        <w:pStyle w:val="Heading2"/>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pStyle w:val="Heading3"/>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xml:space="preserve"> —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 only the deadline is uncertain.</w:t>
      </w:r>
    </w:p>
    <w:p>
      <w:pPr>
        <w:pStyle w:val="Heading3"/>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pStyle w:val="Heading3"/>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pStyle w:val="Heading3"/>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xml:space="preserve"> —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r>
        <w:rPr>
          <w:b w:val="0"/>
          <w:color w:val="1F2937"/>
          <w:sz w:val="20"/>
        </w:rPr>
        <w:t xml:space="preserve"> stays: </w:t>
      </w:r>
      <w:r>
        <w:rPr>
          <w:b/>
          <w:color w:val="1F2937"/>
          <w:sz w:val="20"/>
        </w:rPr>
        <w:t>the first partner should be over 18</w:t>
      </w:r>
      <w:r>
        <w:rPr>
          <w:b w:val="0"/>
          <w:color w:val="1F2937"/>
          <w:sz w:val="20"/>
        </w:rPr>
        <w:t>, because the pre-seed gate tests fan subscriptions and that surface is 18+ in v1.</w:t>
      </w:r>
    </w:p>
    <w:p>
      <w:pPr>
        <w:pStyle w:val="ListBullet"/>
        <w:spacing w:after="60" w:line="264" w:lineRule="auto"/>
        <w:ind w:left="340"/>
      </w:pPr>
      <w:r>
        <w:rPr>
          <w:b w:val="0"/>
          <w:color w:val="1F2937"/>
          <w:sz w:val="20"/>
        </w:rPr>
        <w:t xml:space="preserve">Under-18 athletes are still worth onboarding from day one. They build the analytics pool, they attract sponsors, and they convert to fan monetisation automatically on their eighteenth birthday. </w:t>
      </w:r>
      <w:r>
        <w:rPr>
          <w:b/>
          <w:color w:val="1F2937"/>
          <w:sz w:val="20"/>
        </w:rPr>
        <w:t>The cohort is an asset that matures on a known date.</w:t>
      </w:r>
    </w:p>
    <w:p>
      <w:pPr>
        <w:spacing w:after="120" w:before="0"/>
      </w:pPr>
    </w:p>
    <w:p>
      <w:pPr>
        <w:pStyle w:val="Heading2"/>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xml:space="preserve"> —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r>
              <w:rPr>
                <w:b w:val="0"/>
                <w:color w:val="1F2937"/>
                <w:sz w:val="17"/>
              </w:rPr>
              <w:t>—</w:t>
            </w:r>
          </w:p>
        </w:tc>
      </w:tr>
      <w:tr>
        <w:tc>
          <w:tcPr>
            <w:tcW w:type="dxa" w:w="2268"/>
          </w:tcPr>
          <w:p>
            <w:pPr>
              <w:spacing w:after="40" w:before="40"/>
            </w:pPr>
            <w:r/>
            <w:r>
              <w:rPr>
                <w:b/>
                <w:color w:val="1F2937"/>
                <w:sz w:val="17"/>
              </w:rPr>
              <w:t>P1</w:t>
            </w:r>
            <w:r>
              <w:rPr>
                <w:b w:val="0"/>
                <w:color w:val="1F2937"/>
                <w:sz w:val="17"/>
              </w:rPr>
              <w:t xml:space="preserve"> —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xml:space="preserve"> —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xml:space="preserve"> —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xml:space="preserve"> —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 one the product already supports today.</w:t>
      </w:r>
    </w:p>
    <w:p>
      <w:r>
        <w:br w:type="page"/>
      </w:r>
    </w:p>
    <w:p>
      <w:pPr>
        <w:pStyle w:val="Heading1"/>
        <w:keepNext/>
        <w:spacing w:before="320" w:after="100"/>
        <w:pBdr>
          <w:bottom w:val="single" w:sz="6" w:space="8" w:color="D1D5DB"/>
        </w:pBdr>
      </w:pPr>
      <w:r>
        <w:rPr>
          <w:b/>
          <w:color w:val="1F2937"/>
          <w:sz w:val="32"/>
        </w:rPr>
        <w:t>Appendix F —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xml:space="preserve"> —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xml:space="preserve"> — keep more, matched on evidence</w:t>
            </w:r>
          </w:p>
        </w:tc>
        <w:tc>
          <w:tcPr>
            <w:tcW w:type="dxa" w:w="3024"/>
          </w:tcPr>
          <w:p>
            <w:pPr>
              <w:spacing w:after="40" w:before="40"/>
            </w:pPr>
            <w:r/>
            <w:r>
              <w:rPr>
                <w:b/>
                <w:color w:val="1F2937"/>
                <w:sz w:val="17"/>
              </w:rPr>
              <w:t>Market creation</w:t>
            </w:r>
            <w:r>
              <w:rPr>
                <w:b w:val="0"/>
                <w:color w:val="1F2937"/>
                <w:sz w:val="17"/>
              </w:rPr>
              <w:t xml:space="preserve"> —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 must beat an incumbent relationship</w:t>
            </w:r>
          </w:p>
        </w:tc>
        <w:tc>
          <w:tcPr>
            <w:tcW w:type="dxa" w:w="3024"/>
          </w:tcPr>
          <w:p>
            <w:pPr>
              <w:spacing w:after="40" w:before="40"/>
            </w:pPr>
            <w:r/>
            <w:r>
              <w:rPr>
                <w:b/>
                <w:color w:val="1F2937"/>
                <w:sz w:val="17"/>
              </w:rPr>
              <w:t>Lower</w:t>
            </w:r>
            <w:r>
              <w:rPr>
                <w:b w:val="0"/>
                <w:color w:val="1F2937"/>
                <w:sz w:val="17"/>
              </w:rPr>
              <w:t xml:space="preserve"> —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 but no one else is competing for it</w:t>
            </w:r>
          </w:p>
        </w:tc>
      </w:tr>
    </w:tbl>
    <w:p>
      <w:pPr>
        <w:spacing w:after="160" w:before="0"/>
      </w:pPr>
    </w:p>
    <w:p>
      <w:pPr>
        <w:spacing w:after="120" w:before="0"/>
      </w:pPr>
    </w:p>
    <w:p>
      <w:pPr>
        <w:pStyle w:val="Heading2"/>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xml:space="preserve"> — success with a famous athlete proves only that fame monetises, which nobody doubted and which does not generalise to the long tail the model is built on.</w:t>
      </w:r>
    </w:p>
    <w:p>
      <w:pPr>
        <w:spacing w:after="120" w:before="0"/>
      </w:pPr>
    </w:p>
    <w:p>
      <w:pPr>
        <w:pStyle w:val="Heading2"/>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 one segment, cheap CAC</w:t>
            </w:r>
          </w:p>
        </w:tc>
        <w:tc>
          <w:tcPr>
            <w:tcW w:type="dxa" w:w="3024"/>
          </w:tcPr>
          <w:p>
            <w:pPr>
              <w:spacing w:after="40" w:before="40"/>
            </w:pPr>
            <w:r/>
            <w:r>
              <w:rPr>
                <w:b w:val="0"/>
                <w:color w:val="1F2937"/>
                <w:sz w:val="17"/>
              </w:rPr>
              <w:t>Large —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pStyle w:val="Heading2"/>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pStyle w:val="Heading2"/>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 audience, consistency, professionalism, willingness to publish —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pStyle w:val="Heading2"/>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pStyle w:val="Heading1"/>
        <w:keepNext/>
        <w:spacing w:before="320" w:after="100"/>
        <w:pBdr>
          <w:bottom w:val="single" w:sz="6" w:space="8" w:color="D1D5DB"/>
        </w:pBdr>
      </w:pPr>
      <w:r>
        <w:rPr>
          <w:b/>
          <w:color w:val="1F2937"/>
          <w:sz w:val="32"/>
        </w:rPr>
        <w:t>Appendix G — Decisions &amp; Open Questions</w:t>
      </w:r>
    </w:p>
    <w:p>
      <w:pPr>
        <w:spacing w:after="120" w:before="0"/>
      </w:pPr>
    </w:p>
    <w:p>
      <w:pPr>
        <w:pStyle w:val="Heading2"/>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pStyle w:val="Heading3"/>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 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 first year or two. Bought: distance from the risk that has produced litigation against creator platforms. The cohort still builds the analytics pool and 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 upward, and no incumbent fighting back while the model is still fragile.</w:t>
      </w:r>
    </w:p>
    <w:p>
      <w:pPr>
        <w:spacing w:after="120" w:before="0"/>
      </w:pPr>
    </w:p>
    <w:p>
      <w:pPr>
        <w:pStyle w:val="Heading2"/>
        <w:keepNext/>
        <w:spacing w:before="320" w:after="100"/>
      </w:pPr>
      <w:r>
        <w:rPr>
          <w:b/>
          <w:color w:val="1F2937"/>
          <w:sz w:val="25"/>
        </w:rPr>
        <w:t>Still open</w:t>
      </w:r>
    </w:p>
    <w:p>
      <w:pPr>
        <w:pStyle w:val="Heading3"/>
        <w:keepNext/>
        <w:spacing w:before="200" w:after="100"/>
      </w:pPr>
      <w:r>
        <w:rPr>
          <w:b/>
          <w:color w:val="6B7280"/>
          <w:sz w:val="22"/>
        </w:rPr>
        <w:t>A2 —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 and a monthly athlete fee is precisely the Passes mistake we are pricing against. </w:t>
      </w:r>
      <w:r>
        <w:rPr>
          <w:b/>
          <w:color w:val="1F2937"/>
          <w:sz w:val="20"/>
        </w:rPr>
        <w:t>This is close to settled; flag it if you disagree.</w:t>
      </w:r>
    </w:p>
    <w:p>
      <w:pPr>
        <w:pStyle w:val="Heading3"/>
        <w:keepNext/>
        <w:spacing w:before="200" w:after="100"/>
      </w:pPr>
      <w:r>
        <w:rPr>
          <w:b/>
          <w:color w:val="6B7280"/>
          <w:sz w:val="22"/>
        </w:rPr>
        <w:t>A3 — Minimum tier price and annual billing</w:t>
      </w:r>
    </w:p>
    <w:p>
      <w:pPr>
        <w:spacing w:after="140" w:line="276" w:lineRule="auto"/>
        <w:jc w:val="both"/>
      </w:pPr>
      <w:r>
        <w:rPr>
          <w:b w:val="0"/>
          <w:color w:val="1F2937"/>
          <w:sz w:val="20"/>
        </w:rPr>
        <w:t>€4.99 retains 44% of our take after payment costs; €9.99 retains 64%; a €89 season pass retains 82%.</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pStyle w:val="Heading3"/>
        <w:keepNext/>
        <w:spacing w:before="200" w:after="100"/>
      </w:pPr>
      <w:r>
        <w:rPr>
          <w:b/>
          <w:color w:val="6B7280"/>
          <w:sz w:val="22"/>
        </w:rPr>
        <w:t>B1 —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 </w:t>
      </w:r>
      <w:r>
        <w:rPr>
          <w:b w:val="0"/>
          <w:i/>
          <w:color w:val="1F2937"/>
          <w:sz w:val="20"/>
        </w:rPr>
        <w:t>will fans pay?</w:t>
      </w:r>
      <w:r>
        <w:rPr>
          <w:b w:val="0"/>
          <w:color w:val="1F2937"/>
          <w:sz w:val="20"/>
        </w:rPr>
        <w:t xml:space="preserve"> — without a transcoding pipeline, a CDN decision, or video's moderation exposure. Commit to video only once P1 has three months of churn data. See </w:t>
      </w:r>
      <w:r>
        <w:rPr>
          <w:b w:val="0"/>
          <w:color w:val="1F2937"/>
          <w:sz w:val="20"/>
        </w:rPr>
        <w:t>05</w:t>
      </w:r>
      <w:r>
        <w:rPr>
          <w:b w:val="0"/>
          <w:color w:val="1F2937"/>
          <w:sz w:val="20"/>
        </w:rPr>
        <w:t>.</w:t>
      </w:r>
    </w:p>
    <w:p>
      <w:pPr>
        <w:pStyle w:val="Heading3"/>
        <w:keepNext/>
        <w:spacing w:before="200" w:after="100"/>
      </w:pPr>
      <w:r>
        <w:rPr>
          <w:b/>
          <w:color w:val="6B7280"/>
          <w:sz w:val="22"/>
        </w:rPr>
        <w:t>B3 —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 which makes this decision load-bearing for </w:t>
      </w:r>
      <w:r>
        <w:rPr>
          <w:b w:val="0"/>
          <w:color w:val="1F2937"/>
          <w:sz w:val="20"/>
        </w:rPr>
        <w:t>06</w:t>
      </w:r>
      <w:r>
        <w:rPr>
          <w:b w:val="0"/>
          <w:color w:val="1F2937"/>
          <w:sz w:val="20"/>
        </w:rPr>
        <w:t>, not just for revenue.</w:t>
      </w:r>
    </w:p>
    <w:p>
      <w:pPr>
        <w:pStyle w:val="Heading3"/>
        <w:keepNext/>
        <w:spacing w:before="200" w:after="100"/>
      </w:pPr>
      <w:r>
        <w:rPr>
          <w:b/>
          <w:color w:val="6B7280"/>
          <w:sz w:val="22"/>
        </w:rPr>
        <w:t>C1 —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pStyle w:val="Heading3"/>
        <w:keepNext/>
        <w:spacing w:before="200" w:after="100"/>
      </w:pPr>
      <w:r>
        <w:rPr>
          <w:b/>
          <w:color w:val="6B7280"/>
          <w:sz w:val="22"/>
        </w:rPr>
        <w:t>C3 —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pStyle w:val="Heading3"/>
        <w:keepNext/>
        <w:spacing w:before="200" w:after="100"/>
      </w:pPr>
      <w:r>
        <w:rPr>
          <w:b/>
          <w:color w:val="6B7280"/>
          <w:sz w:val="22"/>
        </w:rPr>
        <w:t>C4 —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xml:space="preserve"> — an agent still negotiates, we just make the introduction on evidence instead of on their contact list.</w:t>
      </w:r>
    </w:p>
    <w:p>
      <w:pPr>
        <w:pStyle w:val="Heading3"/>
        <w:keepNext/>
        <w:spacing w:before="200" w:after="100"/>
      </w:pPr>
      <w:r>
        <w:rPr>
          <w:b/>
          <w:color w:val="6B7280"/>
          <w:sz w:val="22"/>
        </w:rPr>
        <w:t>D1 — Raise €649k, or the €2.6M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pStyle w:val="Heading3"/>
        <w:keepNext/>
        <w:spacing w:before="200" w:after="100"/>
      </w:pPr>
      <w:r>
        <w:rPr>
          <w:b/>
          <w:color w:val="6B7280"/>
          <w:sz w:val="22"/>
        </w:rPr>
        <w:t>D2 — Founder salary in Y1?</w:t>
      </w:r>
    </w:p>
    <w:p>
      <w:pPr>
        <w:spacing w:after="140" w:line="276" w:lineRule="auto"/>
        <w:jc w:val="both"/>
      </w:pPr>
      <w:r>
        <w:rPr>
          <w:b w:val="0"/>
          <w:color w:val="1F2937"/>
          <w:sz w:val="20"/>
        </w:rPr>
        <w:t xml:space="preserve">The model assumes unpaid Y1 — €50k of forgone earnings. Given the plan's modest capital need, €24k of Y1 salary changes little in the model and quite a lot in sustainability. </w:t>
      </w:r>
      <w:r>
        <w:rPr>
          <w:b/>
          <w:color w:val="1F2937"/>
          <w:sz w:val="20"/>
        </w:rPr>
        <w:t>Worth deciding deliberately rather than by default.</w:t>
      </w:r>
    </w:p>
    <w:p>
      <w:pPr>
        <w:pStyle w:val="Heading3"/>
        <w:keepNext/>
        <w:spacing w:before="200" w:after="100"/>
      </w:pPr>
      <w:r>
        <w:rPr>
          <w:b/>
          <w:color w:val="6B7280"/>
          <w:sz w:val="22"/>
        </w:rPr>
        <w:t>D3 — Which valuation do we present?</w:t>
      </w:r>
    </w:p>
    <w:p>
      <w:pPr>
        <w:spacing w:after="140" w:line="276" w:lineRule="auto"/>
        <w:jc w:val="both"/>
      </w:pPr>
      <w:r>
        <w:rPr>
          <w:b/>
          <w:color w:val="1F2937"/>
          <w:sz w:val="20"/>
        </w:rPr>
        <w:t>Recommendation: lead with the exit multiple discounted back (€11–25M), present the DCF (€8.4M)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pStyle w:val="Heading2"/>
        <w:keepNext/>
        <w:spacing w:before="320" w:after="100"/>
      </w:pPr>
      <w:r>
        <w:rPr>
          <w:b/>
          <w:color w:val="1F2937"/>
          <w:sz w:val="25"/>
        </w:rPr>
        <w:t>New questions raised by the decisions just made</w:t>
      </w:r>
    </w:p>
    <w:p>
      <w:pPr>
        <w:pStyle w:val="Heading3"/>
        <w:keepNext/>
        <w:spacing w:before="200" w:after="100"/>
      </w:pPr>
      <w:r>
        <w:rPr>
          <w:b/>
          <w:color w:val="6B7280"/>
          <w:sz w:val="22"/>
        </w:rPr>
        <w:t>F1 —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pStyle w:val="Heading3"/>
        <w:keepNext/>
        <w:spacing w:before="200" w:after="100"/>
      </w:pPr>
      <w:r>
        <w:rPr>
          <w:b/>
          <w:color w:val="6B7280"/>
          <w:sz w:val="22"/>
        </w:rPr>
        <w:t>F2 —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pStyle w:val="Heading3"/>
        <w:keepNext/>
        <w:spacing w:before="200" w:after="100"/>
      </w:pPr>
      <w:r>
        <w:rPr>
          <w:b/>
          <w:color w:val="6B7280"/>
          <w:sz w:val="22"/>
        </w:rPr>
        <w:t xml:space="preserve">F3 —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pStyle w:val="Heading3"/>
        <w:keepNext/>
        <w:spacing w:before="200" w:after="100"/>
      </w:pPr>
      <w:r>
        <w:rPr>
          <w:b/>
          <w:color w:val="6B7280"/>
          <w:sz w:val="22"/>
        </w:rPr>
        <w:t>F4 —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 it is a genuine floor under the downside, and few pre-seed companies have one.</w:t>
      </w:r>
    </w:p>
    <w:p>
      <w:r>
        <w:br w:type="page"/>
      </w:r>
    </w:p>
    <w:p>
      <w:pPr>
        <w:pStyle w:val="Heading1"/>
        <w:keepNext/>
        <w:spacing w:before="320" w:after="100"/>
        <w:pBdr>
          <w:bottom w:val="single" w:sz="6" w:space="8" w:color="D1D5DB"/>
        </w:pBdr>
      </w:pPr>
      <w:r>
        <w:rPr>
          <w:b/>
          <w:color w:val="1F2937"/>
          <w:sz w:val="32"/>
        </w:rPr>
        <w:t>Appendix H — Sport Opportunity Index</w:t>
      </w:r>
    </w:p>
    <w:p>
      <w:pPr>
        <w:spacing w:after="140" w:line="276" w:lineRule="auto"/>
        <w:jc w:val="both"/>
      </w:pPr>
      <w:r>
        <w:rPr>
          <w:b/>
          <w:color w:val="1F2937"/>
          <w:sz w:val="20"/>
        </w:rPr>
        <w:t>714 country × sport pairs</w:t>
      </w:r>
      <w:r>
        <w:rPr>
          <w:b w:val="0"/>
          <w:color w:val="1F2937"/>
          <w:sz w:val="20"/>
        </w:rPr>
        <w:t xml:space="preserve"> —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 audience, consistency, professionalism, willingness to publish — and their sport is one input among those. What the index does is tell us, and them, how to read their numbers.</w:t>
      </w:r>
    </w:p>
    <w:p>
      <w:pPr>
        <w:spacing w:after="120" w:before="0"/>
      </w:pPr>
    </w:p>
    <w:p>
      <w:pPr>
        <w:pStyle w:val="Heading2"/>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pStyle w:val="Heading3"/>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 no hand-tuned ceilings.</w:t>
      </w:r>
    </w:p>
    <w:p>
      <w:pPr>
        <w:spacing w:after="120" w:before="0"/>
      </w:pPr>
    </w:p>
    <w:p>
      <w:pPr>
        <w:pStyle w:val="Heading2"/>
        <w:keepNext/>
        <w:spacing w:before="320" w:after="100"/>
      </w:pPr>
      <w:r>
        <w:rPr>
          <w:b/>
          <w:color w:val="1F2937"/>
          <w:sz w:val="25"/>
        </w:rPr>
        <w:t>Results</w:t>
      </w:r>
    </w:p>
    <w:p>
      <w:pPr>
        <w:pStyle w:val="Heading3"/>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 which is where intuition put them, now derived rather than asserted.</w:t>
      </w:r>
    </w:p>
    <w:p>
      <w:pPr>
        <w:pStyle w:val="Heading3"/>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pStyle w:val="Heading2"/>
        <w:keepNext/>
        <w:spacing w:before="320" w:after="100"/>
      </w:pPr>
      <w:r>
        <w:rPr>
          <w:b/>
          <w:color w:val="1F2937"/>
          <w:sz w:val="25"/>
        </w:rPr>
        <w:t>Three product uses</w:t>
      </w:r>
    </w:p>
    <w:p>
      <w:pPr>
        <w:pStyle w:val="Heading3"/>
        <w:keepNext/>
        <w:spacing w:before="200" w:after="100"/>
      </w:pPr>
      <w:r>
        <w:rPr>
          <w:b/>
          <w:color w:val="6B7280"/>
          <w:sz w:val="22"/>
        </w:rPr>
        <w:t>1. Athletes — content guidance</w:t>
      </w:r>
    </w:p>
    <w:p>
      <w:pPr>
        <w:spacing w:after="140" w:line="276" w:lineRule="auto"/>
        <w:jc w:val="both"/>
      </w:pPr>
      <w:r>
        <w:rPr>
          <w:b w:val="0"/>
          <w:color w:val="1F2937"/>
          <w:sz w:val="20"/>
        </w:rPr>
        <w:t xml:space="preserve">The athlete sees their audience type and what converts for it. Not "your sport is niche" — that is a positioning risk and tells them nothing useful —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pStyle w:val="Heading3"/>
        <w:keepNext/>
        <w:spacing w:before="200" w:after="100"/>
      </w:pPr>
      <w:r>
        <w:rPr>
          <w:b/>
          <w:color w:val="6B7280"/>
          <w:sz w:val="22"/>
        </w:rPr>
        <w:t>2. Sponsors —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pStyle w:val="Heading3"/>
        <w:keepNext/>
        <w:spacing w:before="200" w:after="100"/>
      </w:pPr>
      <w:r>
        <w:rPr>
          <w:b/>
          <w:color w:val="6B7280"/>
          <w:sz w:val="22"/>
        </w:rPr>
        <w:t>3. The scoring engine —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pPr>
        <w:spacing w:after="120" w:before="0"/>
      </w:pPr>
    </w:p>
    <w:p>
      <w:pPr>
        <w:pStyle w:val="Heading2"/>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xml:space="preserve"> — which is also why the index is defensible as a moat rather than a spreadsheet anyone could copy.</w:t>
      </w:r>
    </w:p>
    <w:p>
      <w:pPr>
        <w:pStyle w:val="Heading3"/>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 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 </w:t>
      </w:r>
      <w:r>
        <w:rPr>
          <w:rFonts w:ascii="Consolas" w:hAnsi="Consolas"/>
          <w:b w:val="0"/>
          <w:color w:val="1F2937"/>
          <w:sz w:val="18"/>
        </w:rPr>
        <w:t>appetite</w:t>
      </w:r>
      <w:r>
        <w:rPr>
          <w:b w:val="0"/>
          <w:color w:val="1F2937"/>
          <w:sz w:val="20"/>
        </w:rPr>
        <w:t xml:space="preserve"> — the signal the whole content-guidance feature rests on. First 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 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 heaviest single weight (0.25) alongside supply.</w:t>
      </w:r>
    </w:p>
    <w:p>
      <w:r>
        <w:br w:type="page"/>
      </w:r>
    </w:p>
    <w:p>
      <w:pPr>
        <w:pStyle w:val="Heading1"/>
        <w:keepNext/>
        <w:spacing w:before="320" w:after="100"/>
        <w:pBdr>
          <w:bottom w:val="single" w:sz="6" w:space="8" w:color="D1D5DB"/>
        </w:pBdr>
      </w:pPr>
      <w:r>
        <w:rPr>
          <w:b/>
          <w:color w:val="1F2937"/>
          <w:sz w:val="32"/>
        </w:rPr>
        <w:t>Appendix I — Analytics Strategy</w:t>
      </w:r>
    </w:p>
    <w:p>
      <w:pPr>
        <w:spacing w:after="140" w:line="276" w:lineRule="auto"/>
        <w:jc w:val="both"/>
      </w:pPr>
      <w:r>
        <w:rPr>
          <w:b/>
          <w:color w:val="1F2937"/>
          <w:sz w:val="20"/>
        </w:rPr>
        <w:t>Yes, phase it —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pStyle w:val="Heading2"/>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pStyle w:val="Heading2"/>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pStyle w:val="Heading3"/>
        <w:keepNext/>
        <w:spacing w:before="200" w:after="100"/>
      </w:pPr>
      <w:r>
        <w:rPr>
          <w:b/>
          <w:color w:val="6B7280"/>
          <w:sz w:val="22"/>
        </w:rPr>
        <w:t>Phase 0 —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pStyle w:val="Heading3"/>
        <w:keepNext/>
        <w:spacing w:before="200" w:after="100"/>
      </w:pPr>
      <w:r>
        <w:rPr>
          <w:b/>
          <w:color w:val="6B7280"/>
          <w:sz w:val="22"/>
        </w:rPr>
        <w:t>Phase 1 — Observed data (pre-seed → seed)</w:t>
      </w:r>
    </w:p>
    <w:p>
      <w:pPr>
        <w:spacing w:after="140" w:line="276" w:lineRule="auto"/>
        <w:jc w:val="both"/>
      </w:pPr>
      <w:r>
        <w:rPr>
          <w:b w:val="0"/>
          <w:color w:val="1F2937"/>
          <w:sz w:val="20"/>
        </w:rPr>
        <w:t>Once connectors are live, Stride measures what it currently estimates. The fandom layer of the sport index — its weakest input —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pStyle w:val="Heading3"/>
        <w:keepNext/>
        <w:spacing w:before="200" w:after="100"/>
      </w:pPr>
      <w:r>
        <w:rPr>
          <w:b/>
          <w:color w:val="6B7280"/>
          <w:sz w:val="22"/>
        </w:rPr>
        <w:t>Phase 2 —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 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pStyle w:val="Heading3"/>
        <w:keepNext/>
        <w:spacing w:before="200" w:after="100"/>
      </w:pPr>
      <w:r>
        <w:rPr>
          <w:b/>
          <w:color w:val="6B7280"/>
          <w:sz w:val="22"/>
        </w:rPr>
        <w:t>Phase 3 —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 revenue stream 8 in </w:t>
      </w:r>
      <w:r>
        <w:rPr>
          <w:b w:val="0"/>
          <w:color w:val="1F2937"/>
          <w:sz w:val="20"/>
        </w:rPr>
        <w:t>01</w:t>
      </w:r>
      <w:r>
        <w:rPr>
          <w:b w:val="0"/>
          <w:color w:val="1F2937"/>
          <w:sz w:val="20"/>
        </w:rPr>
        <w:t>, deliberately excluded from the base model so the plan never depended on it.</w:t>
      </w:r>
    </w:p>
    <w:p>
      <w:pPr>
        <w:spacing w:after="120" w:before="0"/>
      </w:pPr>
    </w:p>
    <w:p>
      <w:pPr>
        <w:pStyle w:val="Heading2"/>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pStyle w:val="Heading2"/>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xml:space="preserve"> —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pStyle w:val="Heading2"/>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pStyle w:val="Heading2"/>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xml:space="preserve"> — which is the most durable competitive argument in this plan, and it accrues automatically as long as the events are being written.</w:t>
      </w:r>
    </w:p>
    <w:p>
      <w:r>
        <w:br w:type="page"/>
      </w:r>
    </w:p>
    <w:p>
      <w:pPr>
        <w:pStyle w:val="Heading1"/>
        <w:keepNext/>
        <w:spacing w:before="320" w:after="100"/>
        <w:pBdr>
          <w:bottom w:val="single" w:sz="6" w:space="8" w:color="D1D5DB"/>
        </w:pBdr>
      </w:pPr>
      <w:r>
        <w:rPr>
          <w:b/>
          <w:color w:val="1F2937"/>
          <w:sz w:val="32"/>
        </w:rPr>
        <w:t>Appendix J —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xml:space="preserve"> —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xml:space="preserve"> —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pStyle w:val="Heading2"/>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 with "identify, activate and </w:t>
      </w:r>
      <w:r>
        <w:rPr>
          <w:b/>
          <w:color w:val="1F2937"/>
          <w:sz w:val="20"/>
        </w:rPr>
        <w:t>measure</w:t>
      </w:r>
      <w:r>
        <w:rPr>
          <w:b w:val="0"/>
          <w:color w:val="1F2937"/>
          <w:sz w:val="20"/>
        </w:rPr>
        <w:t>" and "one unified measurement framework". That is Stride's entire sponsor-side thesis, now being sold by a 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 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 development, transparent deal terms —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 brings universities and conferences, not individual athletes.</w:t>
      </w:r>
    </w:p>
    <w:p>
      <w:pPr>
        <w:pStyle w:val="Heading2"/>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xml:space="preserve"> — which is exactly why they are useful as validation rather than threatening as competition.</w:t>
      </w:r>
    </w:p>
    <w:p>
      <w:pPr>
        <w:spacing w:after="120" w:before="0"/>
      </w:pPr>
    </w:p>
    <w:p>
      <w:pPr>
        <w:pStyle w:val="Heading2"/>
        <w:keepNext/>
        <w:spacing w:before="320" w:after="100"/>
      </w:pPr>
      <w:r>
        <w:rPr>
          <w:b/>
          <w:color w:val="1F2937"/>
          <w:sz w:val="25"/>
        </w:rPr>
        <w:t>What Stride should take from this</w:t>
      </w:r>
    </w:p>
    <w:p>
      <w:pPr>
        <w:pStyle w:val="Heading3"/>
        <w:keepNext/>
        <w:spacing w:before="200" w:after="100"/>
      </w:pPr>
      <w:r>
        <w:rPr>
          <w:b/>
          <w:color w:val="6B7280"/>
          <w:sz w:val="22"/>
        </w:rPr>
        <w:t>1. Build measurement. This was the real gap. —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 outcomes, and before this there were none. They now accumulate per deal, and the candidate slate behind every offer is logged alongside them — which is 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 is an agency claim. Stride's would decompose to the posts behind it — the same discipline already applied to marketability scores.</w:t>
      </w:r>
    </w:p>
    <w:p>
      <w:pPr>
        <w:pStyle w:val="Heading3"/>
        <w:keepNext/>
        <w:spacing w:before="200" w:after="100"/>
      </w:pPr>
      <w:r>
        <w:rPr>
          <w:b/>
          <w:color w:val="6B7280"/>
          <w:sz w:val="22"/>
        </w:rPr>
        <w:t>2. Make speed the quantified claim —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 reported with the count of campaigns that have produced no offer at all, so the median cannot quietly become a survivorship number. Measured before it is claimed, which is the whole difference between this and an agency's brochure.</w:t>
      </w:r>
    </w:p>
    <w:p>
      <w:pPr>
        <w:pStyle w:val="Heading3"/>
        <w:keepNext/>
        <w:spacing w:before="200" w:after="100"/>
      </w:pPr>
      <w:r>
        <w:rPr>
          <w:b/>
          <w:color w:val="6B7280"/>
          <w:sz w:val="22"/>
        </w:rPr>
        <w:t>3. Use clubs the way they use universities —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 </w:t>
      </w:r>
      <w:r>
        <w:rPr>
          <w:rFonts w:ascii="Consolas" w:hAnsi="Consolas"/>
          <w:b w:val="0"/>
          <w:color w:val="1F2937"/>
          <w:sz w:val="18"/>
        </w:rPr>
        <w:t>clubs</w:t>
      </w:r>
      <w:r>
        <w:rPr>
          <w:b w:val="0"/>
          <w:color w:val="1F2937"/>
          <w:sz w:val="20"/>
        </w:rPr>
        <w:t>, rosters, and packages —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pStyle w:val="Heading3"/>
        <w:keepNext/>
        <w:spacing w:before="200" w:after="100"/>
      </w:pPr>
      <w:r>
        <w:rPr>
          <w:b/>
          <w:color w:val="6B7280"/>
          <w:sz w:val="22"/>
        </w:rPr>
        <w:t>4. Athlete education as retention, not charity —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xml:space="preserve"> — extend it into: what to charge, how to read your own analytics, tax basics for a Spanish athlete, what a fair deal looks like.</w:t>
      </w:r>
    </w:p>
    <w:p>
      <w:pPr>
        <w:pStyle w:val="Heading3"/>
        <w:keepNext/>
        <w:spacing w:before="200" w:after="100"/>
      </w:pPr>
      <w:r>
        <w:rPr>
          <w:b/>
          <w:color w:val="6B7280"/>
          <w:sz w:val="22"/>
        </w:rPr>
        <w:t>5. Target the brands an agency will not serve —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pStyle w:val="Heading3"/>
        <w:keepNext/>
        <w:spacing w:before="200" w:after="100"/>
      </w:pPr>
      <w:r>
        <w:rPr>
          <w:b/>
          <w:color w:val="6B7280"/>
          <w:sz w:val="22"/>
        </w:rPr>
        <w:t>6. Sell to agencies rather than fight them —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pStyle w:val="Heading2"/>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xml:space="preserve"> —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pStyle w:val="Heading2"/>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 against an agent's 10–20% and an undisclosed agency retainer —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pStyle w:val="Heading2"/>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 and to keep the long tail they cannot reach.</w:t>
      </w:r>
    </w:p>
    <w:p>
      <w:r>
        <w:br w:type="page"/>
      </w:r>
    </w:p>
    <w:p>
      <w:pPr>
        <w:pStyle w:val="Heading1"/>
        <w:keepNext/>
        <w:spacing w:before="320" w:after="100"/>
        <w:pBdr>
          <w:bottom w:val="single" w:sz="6" w:space="8" w:color="D1D5DB"/>
        </w:pBdr>
      </w:pPr>
      <w:r>
        <w:rPr>
          <w:b/>
          <w:color w:val="1F2937"/>
          <w:sz w:val="32"/>
        </w:rPr>
        <w:t>Appendix K —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pStyle w:val="Heading2"/>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 applicants lie</w:t>
            </w:r>
          </w:p>
        </w:tc>
        <w:tc>
          <w:tcPr>
            <w:tcW w:type="dxa" w:w="3024"/>
          </w:tcPr>
          <w:p>
            <w:pPr>
              <w:spacing w:after="40" w:before="40"/>
            </w:pPr>
            <w:r/>
            <w:r>
              <w:rPr>
                <w:b w:val="0"/>
                <w:color w:val="1F2937"/>
                <w:sz w:val="17"/>
              </w:rPr>
              <w:t>non-adversarial —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pStyle w:val="Heading2"/>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 just under the 25 review floor, by construction.</w:t>
      </w:r>
    </w:p>
    <w:p>
      <w:pPr>
        <w:spacing w:after="140" w:line="276" w:lineRule="auto"/>
        <w:jc w:val="both"/>
      </w:pPr>
      <w:r>
        <w:rPr>
          <w:b/>
          <w:color w:val="1F2937"/>
          <w:sz w:val="20"/>
        </w:rPr>
        <w:t>2. Missing is zero here —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pStyle w:val="Heading2"/>
        <w:keepNext/>
        <w:spacing w:before="320" w:after="100"/>
      </w:pPr>
      <w:r>
        <w:rPr>
          <w:b/>
          <w:color w:val="1F2937"/>
          <w:sz w:val="25"/>
        </w:rPr>
        <w:t>Formulas</w:t>
      </w:r>
    </w:p>
    <w:p>
      <w:pPr>
        <w:pStyle w:val="Heading3"/>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pStyle w:val="Heading3"/>
        <w:keepNext/>
        <w:spacing w:before="200" w:after="100"/>
      </w:pPr>
      <w:r>
        <w:rPr>
          <w:b/>
          <w:color w:val="6B7280"/>
          <w:sz w:val="22"/>
        </w:rPr>
        <w:t>Decision</w:t>
      </w:r>
    </w:p>
    <w:p>
      <w:pPr>
        <w:spacing w:after="140" w:line="276" w:lineRule="auto"/>
        <w:jc w:val="both"/>
      </w:pPr>
      <w:r>
        <w:rPr>
          <w:b w:val="0"/>
          <w:color w:val="1F2937"/>
          <w:sz w:val="20"/>
        </w:rPr>
        <w:t>Order matters —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 and at 0.70 a large enough claim clears the line unaided (see stress finding 3).</w:t>
      </w:r>
    </w:p>
    <w:p>
      <w:pPr>
        <w:pStyle w:val="Heading3"/>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 over the bar. Without it a fabricated club verifies itself and starts nominating (stress finding 4).</w:t>
      </w:r>
    </w:p>
    <w:p>
      <w:pPr>
        <w:pStyle w:val="Heading3"/>
        <w:keepNext/>
        <w:spacing w:before="200" w:after="100"/>
      </w:pPr>
      <w:r>
        <w:rPr>
          <w:b/>
          <w:color w:val="6B7280"/>
          <w:sz w:val="22"/>
        </w:rPr>
        <w:t>Nomination —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 state someone else's date of birth, so the 16+ gate still cannot be cleared by a third party and a nominated athlete who submitted nothing stays </w:t>
      </w:r>
      <w:r>
        <w:rPr>
          <w:rFonts w:ascii="Consolas" w:hAnsi="Consolas"/>
          <w:b w:val="0"/>
          <w:color w:val="1F2937"/>
          <w:sz w:val="18"/>
        </w:rPr>
        <w:t>pending</w:t>
      </w:r>
      <w:r>
        <w:rPr>
          <w:b w:val="0"/>
          <w:color w:val="1F2937"/>
          <w:sz w:val="20"/>
        </w:rPr>
        <w:t>. 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 nomination budget, which makes inflating it a checkable claim rather than free 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 to </w:t>
      </w:r>
      <w:r>
        <w:rPr>
          <w:rFonts w:ascii="Consolas" w:hAnsi="Consolas"/>
          <w:b w:val="0"/>
          <w:color w:val="1F2937"/>
          <w:sz w:val="18"/>
        </w:rPr>
        <w:t>review</w:t>
      </w:r>
      <w:r>
        <w:rPr>
          <w:b w:val="0"/>
          <w:color w:val="1F2937"/>
          <w:sz w:val="20"/>
        </w:rPr>
        <w:t xml:space="preserve"> exactly those athletes whose own credibility was below the admit line. Anyone who stood on their own evidence is untouched. Review, not 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 a third party's action costing someone their standing.</w:t>
      </w:r>
    </w:p>
    <w:p>
      <w:pPr>
        <w:pStyle w:val="Heading3"/>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pStyle w:val="Heading2"/>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pPr>
        <w:spacing w:after="120" w:before="0"/>
      </w:pPr>
    </w:p>
    <w:p>
      <w:pPr>
        <w:pStyle w:val="Heading2"/>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pStyle w:val="Heading2"/>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pPr>
        <w:pStyle w:val="Heading3"/>
        <w:keepNext/>
        <w:spacing w:before="200" w:after="100"/>
      </w:pPr>
      <w:r>
        <w:rPr>
          <w:b/>
          <w:color w:val="6B7280"/>
          <w:sz w:val="22"/>
        </w:rPr>
        <w:t>Finding 1 —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 not a lenient decision but the </w:t>
      </w:r>
      <w:r>
        <w:rPr>
          <w:b w:val="0"/>
          <w:i/>
          <w:color w:val="1F2937"/>
          <w:sz w:val="20"/>
        </w:rPr>
        <w:t>absence</w:t>
      </w:r>
      <w:r>
        <w:rPr>
          <w:b w:val="0"/>
          <w:color w:val="1F2937"/>
          <w:sz w:val="20"/>
        </w:rPr>
        <w:t xml:space="preserve"> of one. It occupies no reviewer and confers nothing, so stalling gains nothing.</w:t>
      </w:r>
    </w:p>
    <w:p>
      <w:pPr>
        <w:pStyle w:val="Heading3"/>
        <w:keepNext/>
        <w:spacing w:before="200" w:after="100"/>
      </w:pPr>
      <w:r>
        <w:rPr>
          <w:b/>
          <w:color w:val="6B7280"/>
          <w:sz w:val="22"/>
        </w:rPr>
        <w:t>Finding 2 —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pStyle w:val="Heading3"/>
        <w:keepNext/>
        <w:spacing w:before="200" w:after="100"/>
      </w:pPr>
      <w:r>
        <w:rPr>
          <w:b/>
          <w:color w:val="6B7280"/>
          <w:sz w:val="22"/>
        </w:rPr>
        <w:t xml:space="preserve">Findings 3 and 4 —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 and was admitted outright.</w:t>
      </w:r>
    </w:p>
    <w:p>
      <w:pPr>
        <w:pStyle w:val="ListBullet"/>
        <w:spacing w:after="60" w:line="264" w:lineRule="auto"/>
        <w:ind w:left="340"/>
      </w:pPr>
      <w:r>
        <w:rPr>
          <w:b w:val="0"/>
          <w:color w:val="1F2937"/>
          <w:sz w:val="20"/>
        </w:rPr>
        <w:t xml:space="preserve">A fully fabricated club — plausible registration number, federation id, founding year, team count, roster URL, none of them opened — scored </w:t>
      </w:r>
      <w:r>
        <w:rPr>
          <w:b/>
          <w:color w:val="1F2937"/>
          <w:sz w:val="20"/>
        </w:rPr>
        <w:t>70</w:t>
      </w:r>
      <w:r>
        <w:rPr>
          <w:b w:val="0"/>
          <w:color w:val="1F2937"/>
          <w:sz w:val="20"/>
        </w:rPr>
        <w:t>, 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pStyle w:val="Heading3"/>
        <w:keepNext/>
        <w:spacing w:before="200" w:after="100"/>
      </w:pPr>
      <w:r>
        <w:rPr>
          <w:b/>
          <w:color w:val="6B7280"/>
          <w:sz w:val="22"/>
        </w:rPr>
        <w:t>Finding 6 —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pStyle w:val="Heading2"/>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xml:space="preserve"> —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pStyle w:val="Heading2"/>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xml:space="preserve"> —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xml:space="preserve"> —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xml:space="preserve"> —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xml:space="preserve"> — needs real post text and a model dependency</w:t>
            </w:r>
          </w:p>
        </w:tc>
      </w:tr>
    </w:tbl>
    <w:p>
      <w:pPr>
        <w:spacing w:after="160" w:before="0"/>
      </w:pPr>
    </w:p>
    <w:p>
      <w:pPr>
        <w:spacing w:after="120" w:before="0"/>
      </w:pPr>
    </w:p>
    <w:p>
      <w:pPr>
        <w:pStyle w:val="Heading2"/>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 clears the bar — we just have not opened your proof link yet." The wording 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xml:space="preserve">, before the club spends its budget: nominees sit at </w:t>
      </w:r>
      <w:r>
        <w:rPr>
          <w:rFonts w:ascii="Consolas" w:hAnsi="Consolas"/>
          <w:b w:val="0"/>
          <w:color w:val="1F2937"/>
          <w:sz w:val="18"/>
        </w:rPr>
        <w:t>pending</w:t>
      </w:r>
      <w:r>
        <w:rPr>
          <w:b w:val="0"/>
          <w:color w:val="1F2937"/>
          <w:sz w:val="20"/>
        </w:rPr>
        <w:t xml:space="preserve"> until they complete their own form, because no club can supply someone else's date of birth. Without that, 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 than flush left and right. Flushing them told an applicant at 15 that 55 was 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