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pStyle w:val="Heading1"/>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Net revenue and EBITDA, Y1 to Y7. The company is loss-making for four years, and the losses are small.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€525k</w:t>
            </w:r>
          </w:p>
        </w:tc>
        <w:tc>
          <w:tcPr>
            <w:tcW w:type="dxa" w:w="3024"/>
          </w:tcPr>
          <w:p>
            <w:pPr>
              <w:spacing w:after="40" w:before="40"/>
            </w:pPr>
            <w:r/>
            <w:r>
              <w:rPr>
                <w:b w:val="0"/>
                <w:color w:val="1F2937"/>
                <w:sz w:val="17"/>
              </w:rPr>
              <w:t>€10.16M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€-147k</w:t>
            </w:r>
          </w:p>
        </w:tc>
        <w:tc>
          <w:tcPr>
            <w:tcW w:type="dxa" w:w="3024"/>
          </w:tcPr>
          <w:p>
            <w:pPr>
              <w:spacing w:after="40" w:before="40"/>
            </w:pPr>
            <w:r/>
            <w:r>
              <w:rPr>
                <w:b w:val="0"/>
                <w:color w:val="1F2937"/>
                <w:sz w:val="17"/>
              </w:rPr>
              <w:t>€3.25M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68%</w:t>
            </w:r>
          </w:p>
        </w:tc>
      </w:tr>
    </w:tbl>
    <w:p>
      <w:pPr>
        <w:spacing w:after="160" w:before="0"/>
      </w:pP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69%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€150k at €2.5M pre-money, and it is the first of two.</w:t>
      </w:r>
      <w:r>
        <w:rPr>
          <w:b w:val="0"/>
          <w:color w:val="1F2937"/>
          <w:sz w:val="20"/>
        </w:rPr>
        <w:t xml:space="preserve"> The plan needs €392k in total, a €280k cash trough in Y3 plus a 40% buffer, but it does not need it now: </w:t>
      </w:r>
      <w:r>
        <w:rPr>
          <w:b/>
          <w:color w:val="1F2937"/>
          <w:sz w:val="20"/>
        </w:rPr>
        <w:t>the cumulative cash requirement to the end of Y1 is €73k</w:t>
      </w:r>
      <w:r>
        <w:rPr>
          <w:b w:val="0"/>
          <w:color w:val="1F2937"/>
          <w:sz w:val="20"/>
        </w:rPr>
        <w:t>, and Y1 is the year that settles whether fans pay for a niche athlete at all.</w:t>
      </w:r>
    </w:p>
    <w:p>
      <w:pPr>
        <w:spacing w:after="140" w:line="276" w:lineRule="auto"/>
        <w:jc w:val="both"/>
      </w:pPr>
      <w:r>
        <w:rPr>
          <w:b w:val="0"/>
          <w:color w:val="1F2937"/>
          <w:sz w:val="20"/>
        </w:rPr>
        <w:t xml:space="preserve">So the raise is staged. €150k now carries the company through that question with room to spare. €250k follows in Y2, priced against three months of real subscription revenue rather than against a promise. Same €400k, and the founder holds </w:t>
      </w:r>
      <w:r>
        <w:rPr>
          <w:b/>
          <w:color w:val="1F2937"/>
          <w:sz w:val="20"/>
        </w:rPr>
        <w:t>55% through the Series A instead of 53%</w:t>
      </w:r>
      <w:r>
        <w:rPr>
          <w:b w:val="0"/>
          <w:color w:val="1F2937"/>
          <w:sz w:val="20"/>
        </w:rPr>
        <w:t>, because the second tranche is sold on evidence.</w:t>
      </w:r>
    </w:p>
    <w:p>
      <w:pPr>
        <w:spacing w:after="140" w:line="276" w:lineRule="auto"/>
        <w:jc w:val="both"/>
      </w:pPr>
      <w:r>
        <w:rPr>
          <w:b w:val="0"/>
          <w:color w:val="1F2937"/>
          <w:sz w:val="20"/>
        </w:rPr>
        <w:t>The Spanish non-dilutive instruments in Appendix D come before either of them. An ENISA participative loan is €25k to €75k against a Y1 need of €73k, which is most of the first year at no equity cost at all.</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not a feature, is the pre-seed gate.</w:t>
      </w:r>
    </w:p>
    <w:p>
      <w:pPr>
        <w:spacing w:after="120" w:before="0"/>
      </w:pPr>
    </w:p>
    <w:p>
      <w:pPr>
        <w:pStyle w:val="Heading1"/>
        <w:keepNext/>
        <w:spacing w:before="320" w:after="100"/>
        <w:pBdr>
          <w:bottom w:val="single" w:sz="6" w:space="8" w:color="D1D5DB"/>
        </w:pBdr>
      </w:pPr>
      <w:r>
        <w:rPr>
          <w:b/>
          <w:color w:val="1F2937"/>
          <w:sz w:val="32"/>
        </w:rPr>
        <w:t>2. The company</w:t>
      </w:r>
    </w:p>
    <w:p>
      <w:pPr>
        <w:pStyle w:val="Heading2"/>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pStyle w:val="Heading2"/>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€10.16M net revenue</w:t>
            </w:r>
          </w:p>
        </w:tc>
      </w:tr>
    </w:tbl>
    <w:p>
      <w:pPr>
        <w:spacing w:after="160" w:before="0"/>
      </w:pPr>
    </w:p>
    <w:p>
      <w:pPr>
        <w:spacing w:after="140" w:line="276" w:lineRule="auto"/>
        <w:jc w:val="both"/>
      </w:pPr>
      <w:r>
        <w:rPr>
          <w:b/>
          <w:color w:val="1F2937"/>
          <w:sz w:val="20"/>
        </w:rPr>
        <w:t>Social impact is the business model, not a programme attached to it.</w:t>
      </w:r>
      <w:r>
        <w:rPr>
          <w:b w:val="0"/>
          <w:color w:val="1F2937"/>
          <w:sz w:val="20"/>
        </w:rP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pPr>
        <w:spacing w:after="140" w:line="276" w:lineRule="auto"/>
        <w:jc w:val="both"/>
      </w:pPr>
      <w:r>
        <w:rPr>
          <w:b w:val="0"/>
          <w:color w:val="1F2937"/>
          <w:sz w:val="20"/>
        </w:rPr>
        <w:t xml:space="preserve">Three design decisions carry it, and each is argued where it is made rather than asserted here. Matching scores </w:t>
      </w:r>
      <w:r>
        <w:rPr>
          <w:b/>
          <w:color w:val="1F2937"/>
          <w:sz w:val="20"/>
        </w:rPr>
        <w:t>measured engagement rather than name recognition</w:t>
      </w:r>
      <w:r>
        <w:rPr>
          <w:b w:val="0"/>
          <w:color w:val="1F2937"/>
          <w:sz w:val="20"/>
        </w:rPr>
        <w:t xml:space="preserve"> (Appendix K, which documents the scoring), which is structurally fairer to under-monetised segments, women's sport most of all. Admission verifies that a person </w:t>
      </w:r>
      <w:r>
        <w:rPr>
          <w:b/>
          <w:color w:val="1F2937"/>
          <w:sz w:val="20"/>
        </w:rPr>
        <w:t>actually competes</w:t>
      </w:r>
      <w:r>
        <w:rPr>
          <w:b w:val="0"/>
          <w:color w:val="1F2937"/>
          <w:sz w:val="20"/>
        </w:rP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pPr>
        <w:pStyle w:val="Heading2"/>
        <w:keepNext/>
        <w:spacing w:before="320" w:after="100"/>
      </w:pPr>
      <w:r>
        <w:rPr>
          <w:b/>
          <w:color w:val="1F2937"/>
          <w:sz w:val="25"/>
        </w:rPr>
        <w:t>2.3 The entrepreneurial team</w:t>
      </w:r>
    </w:p>
    <w:p>
      <w:pPr>
        <w:spacing w:after="140" w:line="276" w:lineRule="auto"/>
        <w:jc w:val="both"/>
      </w:pPr>
      <w:r>
        <w:rPr>
          <w:b/>
          <w:color w:val="1F2937"/>
          <w:sz w:val="20"/>
        </w:rPr>
        <w:t>Jad Zoghaib,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 international tournament experience. He is not researching this market from the outside; he is in the segment the plan describes, and the athlete 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 the Lebanese American University. Python, SQL, AWS and the modelling stack 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 financial model are his own work, which is why the plan can make claims about 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(§6.2), and the 2% advisory grant at the pre-seed is reserved for a sports-industry profile rather than a technical one, because the code is not the weak point.</w:t>
      </w:r>
    </w:p>
    <w:p>
      <w:pPr>
        <w:spacing w:after="120" w:before="0"/>
      </w:pPr>
    </w:p>
    <w:p>
      <w:pPr>
        <w:pStyle w:val="Heading1"/>
        <w:keepNext/>
        <w:spacing w:before="320" w:after="100"/>
        <w:pBdr>
          <w:bottom w:val="single" w:sz="6" w:space="8" w:color="D1D5DB"/>
        </w:pBdr>
      </w:pPr>
      <w:r>
        <w:rPr>
          <w:b/>
          <w:color w:val="1F2937"/>
          <w:sz w:val="32"/>
        </w:rPr>
        <w:t>3. Opportunity and business model</w:t>
      </w:r>
    </w:p>
    <w:p>
      <w:pPr>
        <w:pStyle w:val="Heading2"/>
        <w:keepNext/>
        <w:spacing w:before="320" w:after="100"/>
      </w:pPr>
      <w:r>
        <w:rPr>
          <w:b/>
          <w:color w:val="1F2937"/>
          <w:sz w:val="25"/>
        </w:rPr>
        <w:t>3.1 Client and market</w:t>
      </w:r>
    </w:p>
    <w:p>
      <w:pPr>
        <w:pStyle w:val="Heading3"/>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 €9.99 or €24.99 a month, or €89 a year</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it is unserved.</w:t>
      </w:r>
    </w:p>
    <w:p>
      <w:pPr>
        <w:pStyle w:val="Heading3"/>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3030935"/>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3030935"/>
                    </a:xfrm>
                    <a:prstGeom prst="rect"/>
                  </pic:spPr>
                </pic:pic>
              </a:graphicData>
            </a:graphic>
          </wp:inline>
        </w:drawing>
      </w:r>
    </w:p>
    <w:p>
      <w:pPr>
        <w:spacing w:after="200"/>
        <w:jc w:val="center"/>
      </w:pPr>
      <w:r>
        <w:rPr>
          <w:b w:val="0"/>
          <w:color w:val="6B7280"/>
          <w:sz w:val="16"/>
        </w:rPr>
        <w:t>Figure 2: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pStyle w:val="Heading3"/>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10%, matched on evidence</w:t>
            </w:r>
          </w:p>
        </w:tc>
        <w:tc>
          <w:tcPr>
            <w:tcW w:type="dxa" w:w="3024"/>
          </w:tcPr>
          <w:p>
            <w:pPr>
              <w:spacing w:after="40" w:before="40"/>
            </w:pPr>
            <w:r/>
            <w:r>
              <w:rPr>
                <w:b w:val="0"/>
                <w:color w:val="1F2937"/>
                <w:sz w:val="17"/>
              </w:rPr>
              <w:t>Market creation: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pStyle w:val="Heading3"/>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follow in </w:t>
      </w:r>
      <w:r>
        <w:rPr>
          <w:b/>
          <w:color w:val="1F2937"/>
          <w:sz w:val="20"/>
        </w:rPr>
        <w:t>§3.1.5</w:t>
      </w:r>
      <w:r>
        <w:rPr>
          <w:b w:val="0"/>
          <w:color w:val="1F2937"/>
          <w:sz w:val="20"/>
        </w:rPr>
        <w:t>.</w:t>
      </w:r>
    </w:p>
    <w:p>
      <w:pPr>
        <w:spacing w:after="140" w:line="276" w:lineRule="auto"/>
        <w:jc w:val="both"/>
      </w:pPr>
      <w:r>
        <w:rPr>
          <w:b/>
          <w:color w:val="1F2937"/>
          <w:sz w:val="20"/>
        </w:rPr>
        <w:t>Expert,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and is live in the demo,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rugby league players in Spain and Lebanon and top-ranked Lebanese CrossFit athletes,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 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 who does have a sponsor did not get it as a rugby league player, because no 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 because there is no return on doing so. </w:t>
      </w:r>
      <w:r>
        <w:rPr>
          <w:b w:val="0"/>
          <w:i/>
          <w:color w:val="1F2937"/>
          <w:sz w:val="20"/>
        </w:rPr>
        <w:t>The absence of monetisation 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pStyle w:val="Heading3"/>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spacing w:after="120" w:before="0"/>
      </w:pPr>
    </w:p>
    <w:p>
      <w:pPr>
        <w:pStyle w:val="Heading4"/>
        <w:keepNext/>
        <w:spacing w:before="200" w:after="100"/>
      </w:pPr>
      <w:r>
        <w:rPr>
          <w:b/>
          <w:color w:val="6B7280"/>
          <w:sz w:val="20"/>
        </w:rPr>
        <w:t>3.1.5.1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Spain and Lebanon; top-ranked Lebanese CrossFit athletes, one competing at Asian level</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When</w:t>
            </w:r>
          </w:p>
        </w:tc>
        <w:tc>
          <w:tcPr>
            <w:tcW w:type="dxa" w:w="3024"/>
          </w:tcPr>
          <w:p>
            <w:pPr>
              <w:spacing w:after="40" w:before="40"/>
            </w:pPr>
            <w:r/>
            <w:r>
              <w:rPr>
                <w:b w:val="0"/>
                <w:color w:val="1F2937"/>
                <w:sz w:val="17"/>
              </w:rPr>
              <w:t>July 2026</w:t>
            </w:r>
          </w:p>
        </w:tc>
        <w:tc>
          <w:tcPr>
            <w:tcW w:type="dxa" w:w="3024"/>
          </w:tcPr>
          <w:p>
            <w:pPr>
              <w:spacing w:after="40" w:before="40"/>
            </w:pPr>
            <w:r/>
            <w:r>
              <w:rPr>
                <w:b w:val="0"/>
                <w:color w:val="1F2937"/>
                <w:sz w:val="17"/>
              </w:rPr>
              <w:t>Through 2026</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5</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sample spans both countries: the rugby league players include athletes competing in </w:t>
      </w:r>
      <w:r>
        <w:rPr>
          <w:b/>
          <w:color w:val="1F2937"/>
          <w:sz w:val="19"/>
        </w:rPr>
        <w:t>Spain</w:t>
      </w:r>
      <w:r>
        <w:rPr>
          <w:b w:val="0"/>
          <w:color w:val="1F2937"/>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rather than of any one country. Be precise about what the index does and does not contain: </w:t>
      </w:r>
      <w:r>
        <w:rPr>
          <w:b/>
          <w:color w:val="1F2937"/>
          <w:sz w:val="19"/>
        </w:rPr>
        <w:t>neither Lebanon nor rugby league is in it.</w:t>
      </w:r>
      <w:r>
        <w:rPr>
          <w:b w:val="0"/>
          <w:color w:val="1F2937"/>
          <w:sz w:val="19"/>
        </w:rPr>
        <w:t xml:space="preserve"> It covers 34 countries and 21 sports, and an examiner checking against </w:t>
      </w:r>
      <w:r>
        <w:rPr>
          <w:b w:val="0"/>
          <w:color w:val="1F2937"/>
          <w:sz w:val="19"/>
        </w:rPr>
        <w:t>08</w:t>
      </w:r>
      <w:r>
        <w:rPr>
          <w:b w:val="0"/>
          <w:color w:val="1F2937"/>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pStyle w:val="Heading4"/>
        <w:keepNext/>
        <w:spacing w:before="200" w:after="100"/>
      </w:pPr>
      <w:r>
        <w:rPr>
          <w:b/>
          <w:color w:val="6B7280"/>
          <w:sz w:val="20"/>
        </w:rPr>
        <w:t>3.1.5.2 Expert interview: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pStyle w:val="Heading4"/>
        <w:keepNext/>
        <w:spacing w:before="200" w:after="100"/>
      </w:pPr>
      <w:r>
        <w:rPr>
          <w:b/>
          <w:color w:val="6B7280"/>
          <w:sz w:val="20"/>
        </w:rPr>
        <w:t>Finding 1: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5.11</w:t>
      </w:r>
      <w:r>
        <w:rPr>
          <w:b w:val="0"/>
          <w:color w:val="1F2937"/>
          <w:sz w:val="20"/>
        </w:rPr>
        <w:t xml:space="preserve"> corrects the order; the demo has not caught up.</w:t>
      </w:r>
    </w:p>
    <w:p>
      <w:pPr>
        <w:pStyle w:val="Heading4"/>
        <w:keepNext/>
        <w:spacing w:before="200" w:after="100"/>
      </w:pPr>
      <w:r>
        <w:rPr>
          <w:b/>
          <w:color w:val="6B7280"/>
          <w:sz w:val="20"/>
        </w:rPr>
        <w:t>Finding 2: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pStyle w:val="Heading4"/>
        <w:keepNext/>
        <w:spacing w:before="200" w:after="100"/>
      </w:pPr>
      <w:r>
        <w:rPr>
          <w:b/>
          <w:color w:val="6B7280"/>
          <w:sz w:val="20"/>
        </w:rPr>
        <w:t>Finding 3: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10.4</w:t>
      </w:r>
      <w:r>
        <w:rPr>
          <w:b w:val="0"/>
          <w:color w:val="1F2937"/>
          <w:sz w:val="20"/>
        </w:rPr>
        <w:t xml:space="preserve"> plans to open at Y3. It is listed as an opportunity, not as a dependency.</w:t>
      </w:r>
    </w:p>
    <w:p>
      <w:pPr>
        <w:spacing w:after="120" w:before="0"/>
      </w:pPr>
    </w:p>
    <w:p>
      <w:pPr>
        <w:pStyle w:val="Heading4"/>
        <w:keepNext/>
        <w:spacing w:before="200" w:after="100"/>
      </w:pPr>
      <w:r>
        <w:rPr>
          <w:b/>
          <w:color w:val="6B7280"/>
          <w:sz w:val="20"/>
        </w:rPr>
        <w:t>3.1.5.3 Athlete interviews: the segment itself</w:t>
      </w:r>
    </w:p>
    <w:p>
      <w:pPr>
        <w:spacing w:after="140" w:line="276" w:lineRule="auto"/>
        <w:jc w:val="both"/>
      </w:pPr>
      <w:r>
        <w:rPr>
          <w:b w:val="0"/>
          <w:color w:val="1F2937"/>
          <w:sz w:val="20"/>
        </w:rP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pPr>
        <w:pStyle w:val="Heading4"/>
        <w:keepNext/>
        <w:spacing w:before="200" w:after="100"/>
      </w:pPr>
      <w:r>
        <w:rPr>
          <w:b/>
          <w:color w:val="6B7280"/>
          <w:sz w:val="20"/>
        </w:rPr>
        <w:t>Finding 1: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pStyle w:val="Heading4"/>
        <w:keepNext/>
        <w:spacing w:before="200" w:after="100"/>
      </w:pPr>
      <w:r>
        <w:rPr>
          <w:b/>
          <w:color w:val="6B7280"/>
          <w:sz w:val="20"/>
        </w:rPr>
        <w:t>Finding 2: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pStyle w:val="Heading4"/>
        <w:keepNext/>
        <w:spacing w:before="200" w:after="100"/>
      </w:pPr>
      <w:r>
        <w:rPr>
          <w:b/>
          <w:color w:val="6B7280"/>
          <w:sz w:val="20"/>
        </w:rPr>
        <w:t>Finding 3: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pStyle w:val="Heading4"/>
        <w:keepNext/>
        <w:spacing w:before="200" w:after="100"/>
      </w:pPr>
      <w:r>
        <w:rPr>
          <w:b/>
          <w:color w:val="6B7280"/>
          <w:sz w:val="20"/>
        </w:rPr>
        <w:t>Finding 4: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pStyle w:val="Heading4"/>
        <w:keepNext/>
        <w:spacing w:before="200" w:after="100"/>
      </w:pPr>
      <w:r>
        <w:rPr>
          <w:b/>
          <w:color w:val="6B7280"/>
          <w:sz w:val="20"/>
        </w:rPr>
        <w:t>3.1.5.4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 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 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 the whole plan rests on; it is named as such in </w:t>
      </w:r>
      <w:r>
        <w:rPr>
          <w:b w:val="0"/>
          <w:color w:val="1F2937"/>
          <w:sz w:val="20"/>
        </w:rPr>
        <w:t>07</w:t>
      </w:r>
      <w:r>
        <w:rPr>
          <w:b w:val="0"/>
          <w:color w:val="1F2937"/>
          <w:sz w:val="20"/>
        </w:rPr>
        <w:t xml:space="preserve"> as risk R1, and only three months of real subscription data from one anchor athlete resolves it. That is the pre-seed gate, and it is a gate precisely 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 been conducted. This is the largest hole in the research and is acknowledged rather than papered over.</w:t>
      </w:r>
    </w:p>
    <w:p>
      <w:pPr>
        <w:pStyle w:val="ListBullet"/>
        <w:spacing w:after="60" w:line="264" w:lineRule="auto"/>
        <w:ind w:left="340"/>
      </w:pPr>
      <w:r>
        <w:rPr>
          <w:b/>
          <w:color w:val="1F2937"/>
          <w:sz w:val="20"/>
        </w:rPr>
        <w:t>Spanish market specifics.</w:t>
      </w:r>
      <w:r>
        <w:rPr>
          <w:b w:val="0"/>
          <w:color w:val="1F2937"/>
          <w:sz w:val="20"/>
        </w:rPr>
        <w:t xml:space="preserve"> Part of the sample competes in Spain, but five athletes recruited through one network cannot describe a market. The structural finding transfers (§3.1.1); the pricing and budget figures do not, and none of them rests on this research.</w:t>
      </w:r>
    </w:p>
    <w:p>
      <w:pPr>
        <w:spacing w:after="120" w:before="0"/>
      </w:pPr>
    </w:p>
    <w:p>
      <w:pPr>
        <w:pStyle w:val="Heading4"/>
        <w:keepNext/>
        <w:spacing w:before="200" w:after="100"/>
      </w:pPr>
      <w:r>
        <w:rPr>
          <w:b/>
          <w:color w:val="6B7280"/>
          <w:sz w:val="20"/>
        </w:rPr>
        <w:t>3.1.5.5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pStyle w:val="Heading2"/>
        <w:keepNext/>
        <w:spacing w:before="320" w:after="100"/>
      </w:pPr>
      <w:r>
        <w:rPr>
          <w:b/>
          <w:color w:val="1F2937"/>
          <w:sz w:val="25"/>
        </w:rPr>
        <w:t>3.2 Value proposition</w:t>
      </w:r>
    </w:p>
    <w:p>
      <w:pPr>
        <w:pStyle w:val="Heading3"/>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64582"/>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64582"/>
                    </a:xfrm>
                    <a:prstGeom prst="rect"/>
                  </pic:spPr>
                </pic:pic>
              </a:graphicData>
            </a:graphic>
          </wp:inline>
        </w:drawing>
      </w:r>
    </w:p>
    <w:p>
      <w:pPr>
        <w:spacing w:after="200"/>
        <w:jc w:val="center"/>
      </w:pPr>
      <w:r>
        <w:rPr>
          <w:b w:val="0"/>
          <w:color w:val="6B7280"/>
          <w:sz w:val="16"/>
        </w:rPr>
        <w:t>Figure 4: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pStyle w:val="Heading3"/>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2158985"/>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2158985"/>
                    </a:xfrm>
                    <a:prstGeom prst="rect"/>
                  </pic:spPr>
                </pic:pic>
              </a:graphicData>
            </a:graphic>
          </wp:inline>
        </w:drawing>
      </w:r>
    </w:p>
    <w:p>
      <w:pPr>
        <w:spacing w:after="200"/>
        <w:jc w:val="center"/>
      </w:pPr>
      <w:r>
        <w:rPr>
          <w:b w:val="0"/>
          <w:color w:val="6B7280"/>
          <w:sz w:val="16"/>
        </w:rPr>
        <w:t>Figure 5: Nobody occupies all three. Patreon matches us on both axes and has neither a sponsor side nor sport context.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(§5.10).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pPr>
        <w:pStyle w:val="Heading3"/>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 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 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 human. A rejected proof cannot be cleared by re-submitting the form.</w:t>
      </w:r>
    </w:p>
    <w:p>
      <w:pPr>
        <w:pStyle w:val="Heading2"/>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 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 decomposable score shortens the sales cycle in a market that runs on 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 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 are built in, not retrofitted.</w:t>
      </w:r>
    </w:p>
    <w:p>
      <w:pPr>
        <w:pStyle w:val="Heading2"/>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€392k</w:t>
      </w:r>
      <w:r>
        <w:rPr>
          <w:b w:val="0"/>
          <w:color w:val="1F2937"/>
          <w:sz w:val="20"/>
        </w:rPr>
        <w:t xml:space="preserve">: a €280k cash trough in Y3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pPr>
        <w:pStyle w:val="Heading2"/>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 7% on Scout Pro, 5% on Scout Agency</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color w:val="1F2937"/>
          <w:sz w:val="20"/>
        </w:rPr>
        <w:t>The two sponsor streams add, they do not substitute.</w:t>
      </w:r>
      <w:r>
        <w:rPr>
          <w:b w:val="0"/>
          <w:color w:val="1F2937"/>
          <w:sz w:val="20"/>
        </w:rP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pStyle w:val="Heading1"/>
        <w:keepNext/>
        <w:spacing w:before="320" w:after="100"/>
        <w:pBdr>
          <w:bottom w:val="single" w:sz="6" w:space="8" w:color="D1D5DB"/>
        </w:pBdr>
      </w:pPr>
      <w:r>
        <w:rPr>
          <w:b/>
          <w:color w:val="1F2937"/>
          <w:sz w:val="32"/>
        </w:rPr>
        <w:t>4. Marketing plan</w:t>
      </w:r>
    </w:p>
    <w:p>
      <w:pPr>
        <w:pStyle w:val="Heading2"/>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already built, compounds behind it.</w:t>
      </w:r>
    </w:p>
    <w:p>
      <w:pPr>
        <w:pStyle w:val="Heading2"/>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spacing w:before="120" w:after="40"/>
        <w:jc w:val="center"/>
      </w:pPr>
      <w:r>
        <w:drawing>
          <wp:inline xmlns:a="http://schemas.openxmlformats.org/drawingml/2006/main" xmlns:pic="http://schemas.openxmlformats.org/drawingml/2006/picture">
            <wp:extent cx="5760000" cy="2853578"/>
            <wp:docPr id="8" name="Picture 8"/>
            <wp:cNvGraphicFramePr>
              <a:graphicFrameLocks noChangeAspect="1"/>
            </wp:cNvGraphicFramePr>
            <a:graphic>
              <a:graphicData uri="http://schemas.openxmlformats.org/drawingml/2006/picture">
                <pic:pic>
                  <pic:nvPicPr>
                    <pic:cNvPr id="0" name="g7-unit-economics.png"/>
                    <pic:cNvPicPr/>
                  </pic:nvPicPr>
                  <pic:blipFill>
                    <a:blip r:embed="rId17"/>
                    <a:stretch>
                      <a:fillRect/>
                    </a:stretch>
                  </pic:blipFill>
                  <pic:spPr>
                    <a:xfrm>
                      <a:off x="0" y="0"/>
                      <a:ext cx="5760000" cy="2853578"/>
                    </a:xfrm>
                    <a:prstGeom prst="rect"/>
                  </pic:spPr>
                </pic:pic>
              </a:graphicData>
            </a:graphic>
          </wp:inline>
        </w:drawing>
      </w:r>
    </w:p>
    <w:p>
      <w:pPr>
        <w:spacing w:after="200"/>
        <w:jc w:val="center"/>
      </w:pPr>
      <w:r>
        <w:rPr>
          <w:b w:val="0"/>
          <w:color w:val="6B7280"/>
          <w:sz w:val="16"/>
        </w:rPr>
        <w:t>Figure 8: Why niche first, in two lines: acquisition cost and the share of athletes who monetise, niche against popular.</w:t>
      </w:r>
    </w:p>
    <w:p>
      <w:pPr>
        <w:spacing w:after="140" w:line="276" w:lineRule="auto"/>
        <w:jc w:val="both"/>
      </w:pPr>
      <w:r>
        <w:rPr>
          <w:b w:val="0"/>
          <w:color w:val="1F2937"/>
          <w:sz w:val="20"/>
        </w:rP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pPr>
        <w:pStyle w:val="Heading2"/>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pStyle w:val="Heading2"/>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pStyle w:val="Heading2"/>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€3.29M</w:t>
            </w:r>
          </w:p>
        </w:tc>
        <w:tc>
          <w:tcPr>
            <w:tcW w:type="dxa" w:w="1512"/>
          </w:tcPr>
          <w:p>
            <w:pPr>
              <w:spacing w:after="40" w:before="40"/>
            </w:pPr>
            <w:r/>
            <w:r>
              <w:rPr>
                <w:b/>
                <w:color w:val="1F2937"/>
                <w:sz w:val="17"/>
              </w:rPr>
              <w:t>€10.16M</w:t>
            </w:r>
          </w:p>
        </w:tc>
        <w:tc>
          <w:tcPr>
            <w:tcW w:type="dxa" w:w="1512"/>
          </w:tcPr>
          <w:p>
            <w:pPr>
              <w:spacing w:after="40" w:before="40"/>
            </w:pPr>
            <w:r/>
            <w:r>
              <w:rPr>
                <w:b/>
                <w:color w:val="1F2937"/>
                <w:sz w:val="17"/>
              </w:rPr>
              <w:t>€23.91M</w:t>
            </w:r>
          </w:p>
        </w:tc>
      </w:tr>
    </w:tbl>
    <w:p>
      <w:pPr>
        <w:spacing w:after="160" w:before="0"/>
      </w:pPr>
    </w:p>
    <w:p>
      <w:pPr>
        <w:pStyle w:val="Heading2"/>
        <w:keepNext/>
        <w:spacing w:before="320" w:after="100"/>
      </w:pPr>
      <w:r>
        <w:rPr>
          <w:b/>
          <w:color w:val="1F2937"/>
          <w:sz w:val="25"/>
        </w:rPr>
        <w:t>4.6 Sales plan</w:t>
      </w:r>
    </w:p>
    <w:p>
      <w:pPr>
        <w:spacing w:after="140" w:line="276" w:lineRule="auto"/>
        <w:jc w:val="both"/>
      </w:pPr>
      <w:r>
        <w:rPr>
          <w:b w:val="0"/>
          <w:color w:val="1F2937"/>
          <w:sz w:val="20"/>
        </w:rPr>
        <w:t>The forecast above is the commitment. This is the activity that reaches it.</w:t>
      </w:r>
    </w:p>
    <w:p>
      <w:pPr>
        <w:spacing w:after="140" w:line="276" w:lineRule="auto"/>
        <w:jc w:val="both"/>
      </w:pPr>
      <w:r>
        <w:rPr>
          <w:b w:val="0"/>
          <w:color w:val="1F2937"/>
          <w:sz w:val="20"/>
        </w:rP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pPr>
        <w:pStyle w:val="Heading3"/>
        <w:keepNext/>
        <w:spacing w:before="200" w:after="100"/>
      </w:pPr>
      <w:r>
        <w:rPr>
          <w:b/>
          <w:color w:val="6B7280"/>
          <w:sz w:val="22"/>
        </w:rPr>
        <w:t>Supply: the funnel replaces churn before it adds growth</w:t>
      </w:r>
    </w:p>
    <w:p>
      <w:pPr>
        <w:spacing w:after="140" w:line="276" w:lineRule="auto"/>
        <w:jc w:val="both"/>
      </w:pPr>
      <w:r>
        <w:rPr>
          <w:b w:val="0"/>
          <w:color w:val="1F2937"/>
          <w:sz w:val="20"/>
        </w:rPr>
        <w:t xml:space="preserve">The number that matters is not net growth. Athletes leave, and by Y7 the plan loses </w:t>
      </w:r>
      <w:r>
        <w:rPr>
          <w:b/>
          <w:color w:val="1F2937"/>
          <w:sz w:val="20"/>
        </w:rPr>
        <w:t>3,200 a year</w:t>
      </w:r>
      <w:r>
        <w:rPr>
          <w:b w:val="0"/>
          <w:color w:val="1F2937"/>
          <w:sz w:val="20"/>
        </w:rPr>
        <w:t xml:space="preserve">, so showing 6,000 net additions requires </w:t>
      </w:r>
      <w:r>
        <w:rPr>
          <w:b/>
          <w:color w:val="1F2937"/>
          <w:sz w:val="20"/>
        </w:rPr>
        <w:t>9,200 gross</w:t>
      </w:r>
      <w:r>
        <w:rPr>
          <w:b w:val="0"/>
          <w:color w:val="1F2937"/>
          <w:sz w:val="20"/>
        </w:rPr>
        <w:t>. Sizing the funnel from net growth would under-book it by a third. Every figure below is gross.</w:t>
      </w:r>
    </w:p>
    <w:p>
      <w:pPr>
        <w:spacing w:after="140" w:line="276" w:lineRule="auto"/>
        <w:jc w:val="both"/>
      </w:pPr>
      <w:r>
        <w:rPr>
          <w:b w:val="0"/>
          <w:color w:val="1F2937"/>
          <w:sz w:val="20"/>
        </w:rPr>
        <w:t xml:space="preserve">Athletes arrive either directly or through a club, and the two convert very differently. </w:t>
      </w:r>
      <w:r>
        <w:rPr>
          <w:b/>
          <w:color w:val="1F2937"/>
          <w:sz w:val="20"/>
        </w:rPr>
        <w:t>20% of direct applicants are admitted against 45% of those a club nominates</w:t>
      </w:r>
      <w:r>
        <w:rPr>
          <w:b w:val="0"/>
          <w:color w:val="1F2937"/>
          <w:sz w:val="20"/>
        </w:rP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p>
        </w:tc>
        <w:tc>
          <w:tcPr>
            <w:tcW w:type="dxa" w:w="1296"/>
            <w:shd w:val="clear" w:fill="EFF1F3"/>
          </w:tcPr>
          <w:p>
            <w:pPr>
              <w:spacing w:after="40" w:before="40"/>
            </w:pPr>
            <w:r/>
            <w:r>
              <w:rPr>
                <w:b/>
                <w:color w:val="1F2937"/>
                <w:sz w:val="17"/>
              </w:rPr>
              <w:t>Athletes lost</w:t>
            </w:r>
          </w:p>
        </w:tc>
        <w:tc>
          <w:tcPr>
            <w:tcW w:type="dxa" w:w="1296"/>
            <w:shd w:val="clear" w:fill="EFF1F3"/>
          </w:tcPr>
          <w:p>
            <w:pPr>
              <w:spacing w:after="40" w:before="40"/>
            </w:pPr>
            <w:r/>
            <w:r>
              <w:rPr>
                <w:b/>
                <w:color w:val="1F2937"/>
                <w:sz w:val="17"/>
              </w:rPr>
              <w:t>Gross adds needed</w:t>
            </w:r>
          </w:p>
        </w:tc>
        <w:tc>
          <w:tcPr>
            <w:tcW w:type="dxa" w:w="1296"/>
            <w:shd w:val="clear" w:fill="EFF1F3"/>
          </w:tcPr>
          <w:p>
            <w:pPr>
              <w:spacing w:after="40" w:before="40"/>
            </w:pPr>
            <w:r/>
            <w:r>
              <w:rPr>
                <w:b/>
                <w:color w:val="1F2937"/>
                <w:sz w:val="17"/>
              </w:rPr>
              <w:t>Applications</w:t>
            </w:r>
          </w:p>
        </w:tc>
        <w:tc>
          <w:tcPr>
            <w:tcW w:type="dxa" w:w="1296"/>
            <w:shd w:val="clear" w:fill="EFF1F3"/>
          </w:tcPr>
          <w:p>
            <w:pPr>
              <w:spacing w:after="40" w:before="40"/>
            </w:pPr>
            <w:r/>
            <w:r>
              <w:rPr>
                <w:b/>
                <w:color w:val="1F2937"/>
                <w:sz w:val="17"/>
              </w:rPr>
              <w:t>of which club-nominated</w:t>
            </w:r>
          </w:p>
        </w:tc>
        <w:tc>
          <w:tcPr>
            <w:tcW w:type="dxa" w:w="1296"/>
            <w:shd w:val="clear" w:fill="EFF1F3"/>
          </w:tcPr>
          <w:p>
            <w:pPr>
              <w:spacing w:after="40" w:before="40"/>
            </w:pPr>
            <w:r/>
            <w:r>
              <w:rPr>
                <w:b/>
                <w:color w:val="1F2937"/>
                <w:sz w:val="17"/>
              </w:rPr>
              <w:t>Blended admit rate</w:t>
            </w:r>
          </w:p>
        </w:tc>
        <w:tc>
          <w:tcPr>
            <w:tcW w:type="dxa" w:w="1296"/>
            <w:shd w:val="clear" w:fill="EFF1F3"/>
          </w:tcPr>
          <w:p>
            <w:pPr>
              <w:spacing w:after="40" w:before="40"/>
            </w:pPr>
            <w:r/>
            <w:r>
              <w:rPr>
                <w:b/>
                <w:color w:val="1F2937"/>
                <w:sz w:val="17"/>
              </w:rPr>
              <w:t>Headcount</w:t>
            </w:r>
          </w:p>
        </w:tc>
      </w:tr>
      <w:tr>
        <w:tc>
          <w:tcPr>
            <w:tcW w:type="dxa" w:w="1296"/>
          </w:tcPr>
          <w:p>
            <w:pPr>
              <w:spacing w:after="40" w:before="40"/>
            </w:pPr>
            <w:r/>
            <w:r>
              <w:rPr>
                <w:b/>
                <w:color w:val="1F2937"/>
                <w:sz w:val="17"/>
              </w:rPr>
              <w:t>Y1</w:t>
            </w:r>
          </w:p>
        </w:tc>
        <w:tc>
          <w:tcPr>
            <w:tcW w:type="dxa" w:w="1296"/>
          </w:tcPr>
          <w:p>
            <w:pPr>
              <w:spacing w:after="40" w:before="40"/>
            </w:pPr>
            <w:r/>
            <w:r>
              <w:rPr>
                <w:b w:val="0"/>
                <w:color w:val="1F2937"/>
                <w:sz w:val="17"/>
              </w:rPr>
              <w:t>0</w:t>
            </w:r>
          </w:p>
        </w:tc>
        <w:tc>
          <w:tcPr>
            <w:tcW w:type="dxa" w:w="1296"/>
          </w:tcPr>
          <w:p>
            <w:pPr>
              <w:spacing w:after="40" w:before="40"/>
            </w:pPr>
            <w:r/>
            <w:r>
              <w:rPr>
                <w:b w:val="0"/>
                <w:color w:val="1F2937"/>
                <w:sz w:val="17"/>
              </w:rPr>
              <w:t>400</w:t>
            </w:r>
          </w:p>
        </w:tc>
        <w:tc>
          <w:tcPr>
            <w:tcW w:type="dxa" w:w="1296"/>
          </w:tcPr>
          <w:p>
            <w:pPr>
              <w:spacing w:after="40" w:before="40"/>
            </w:pPr>
            <w:r/>
            <w:r>
              <w:rPr>
                <w:b w:val="0"/>
                <w:color w:val="1F2937"/>
                <w:sz w:val="17"/>
              </w:rPr>
              <w:t>2,000</w:t>
            </w:r>
          </w:p>
        </w:tc>
        <w:tc>
          <w:tcPr>
            <w:tcW w:type="dxa" w:w="1296"/>
          </w:tcPr>
          <w:p>
            <w:pPr>
              <w:spacing w:after="40" w:before="40"/>
            </w:pPr>
            <w:r/>
            <w:r>
              <w:rPr>
                <w:b w:val="0"/>
                <w:color w:val="1F2937"/>
                <w:sz w:val="17"/>
              </w:rPr>
              <w:t>0</w:t>
            </w:r>
          </w:p>
        </w:tc>
        <w:tc>
          <w:tcPr>
            <w:tcW w:type="dxa" w:w="1296"/>
          </w:tcPr>
          <w:p>
            <w:pPr>
              <w:spacing w:after="40" w:before="40"/>
            </w:pPr>
            <w:r/>
            <w:r>
              <w:rPr>
                <w:b w:val="0"/>
                <w:color w:val="1F2937"/>
                <w:sz w:val="17"/>
              </w:rPr>
              <w:t>20.0%</w:t>
            </w:r>
          </w:p>
        </w:tc>
        <w:tc>
          <w:tcPr>
            <w:tcW w:type="dxa" w:w="1296"/>
          </w:tcPr>
          <w:p>
            <w:pPr>
              <w:spacing w:after="40" w:before="40"/>
            </w:pPr>
            <w:r/>
            <w:r>
              <w:rPr>
                <w:b w:val="0"/>
                <w:color w:val="1F2937"/>
                <w:sz w:val="17"/>
              </w:rPr>
              <w:t>1.5</w:t>
            </w:r>
          </w:p>
        </w:tc>
      </w:tr>
      <w:tr>
        <w:tc>
          <w:tcPr>
            <w:tcW w:type="dxa" w:w="1296"/>
          </w:tcPr>
          <w:p>
            <w:pPr>
              <w:spacing w:after="40" w:before="40"/>
            </w:pPr>
            <w:r/>
            <w:r>
              <w:rPr>
                <w:b/>
                <w:color w:val="1F2937"/>
                <w:sz w:val="17"/>
              </w:rPr>
              <w:t>Y3</w:t>
            </w:r>
          </w:p>
        </w:tc>
        <w:tc>
          <w:tcPr>
            <w:tcW w:type="dxa" w:w="1296"/>
          </w:tcPr>
          <w:p>
            <w:pPr>
              <w:spacing w:after="40" w:before="40"/>
            </w:pPr>
            <w:r/>
            <w:r>
              <w:rPr>
                <w:b w:val="0"/>
                <w:color w:val="1F2937"/>
                <w:sz w:val="17"/>
              </w:rPr>
              <w:t>294</w:t>
            </w:r>
          </w:p>
        </w:tc>
        <w:tc>
          <w:tcPr>
            <w:tcW w:type="dxa" w:w="1296"/>
          </w:tcPr>
          <w:p>
            <w:pPr>
              <w:spacing w:after="40" w:before="40"/>
            </w:pPr>
            <w:r/>
            <w:r>
              <w:rPr>
                <w:b w:val="0"/>
                <w:color w:val="1F2937"/>
                <w:sz w:val="17"/>
              </w:rPr>
              <w:t>2,094</w:t>
            </w:r>
          </w:p>
        </w:tc>
        <w:tc>
          <w:tcPr>
            <w:tcW w:type="dxa" w:w="1296"/>
          </w:tcPr>
          <w:p>
            <w:pPr>
              <w:spacing w:after="40" w:before="40"/>
            </w:pPr>
            <w:r/>
            <w:r>
              <w:rPr>
                <w:b w:val="0"/>
                <w:color w:val="1F2937"/>
                <w:sz w:val="17"/>
              </w:rPr>
              <w:t>8,375</w:t>
            </w:r>
          </w:p>
        </w:tc>
        <w:tc>
          <w:tcPr>
            <w:tcW w:type="dxa" w:w="1296"/>
          </w:tcPr>
          <w:p>
            <w:pPr>
              <w:spacing w:after="40" w:before="40"/>
            </w:pPr>
            <w:r/>
            <w:r>
              <w:rPr>
                <w:b w:val="0"/>
                <w:color w:val="1F2937"/>
                <w:sz w:val="17"/>
              </w:rPr>
              <w:t>1,675</w:t>
            </w:r>
          </w:p>
        </w:tc>
        <w:tc>
          <w:tcPr>
            <w:tcW w:type="dxa" w:w="1296"/>
          </w:tcPr>
          <w:p>
            <w:pPr>
              <w:spacing w:after="40" w:before="40"/>
            </w:pPr>
            <w:r/>
            <w:r>
              <w:rPr>
                <w:b w:val="0"/>
                <w:color w:val="1F2937"/>
                <w:sz w:val="17"/>
              </w:rPr>
              <w:t>25.0%</w:t>
            </w:r>
          </w:p>
        </w:tc>
        <w:tc>
          <w:tcPr>
            <w:tcW w:type="dxa" w:w="1296"/>
          </w:tcPr>
          <w:p>
            <w:pPr>
              <w:spacing w:after="40" w:before="40"/>
            </w:pPr>
            <w:r/>
            <w:r>
              <w:rPr>
                <w:b w:val="0"/>
                <w:color w:val="1F2937"/>
                <w:sz w:val="17"/>
              </w:rPr>
              <w:t>3.5</w:t>
            </w:r>
          </w:p>
        </w:tc>
      </w:tr>
      <w:tr>
        <w:tc>
          <w:tcPr>
            <w:tcW w:type="dxa" w:w="1296"/>
          </w:tcPr>
          <w:p>
            <w:pPr>
              <w:spacing w:after="40" w:before="40"/>
            </w:pPr>
            <w:r/>
            <w:r>
              <w:rPr>
                <w:b/>
                <w:color w:val="1F2937"/>
                <w:sz w:val="17"/>
              </w:rPr>
              <w:t>Y5</w:t>
            </w:r>
          </w:p>
        </w:tc>
        <w:tc>
          <w:tcPr>
            <w:tcW w:type="dxa" w:w="1296"/>
          </w:tcPr>
          <w:p>
            <w:pPr>
              <w:spacing w:after="40" w:before="40"/>
            </w:pPr>
            <w:r/>
            <w:r>
              <w:rPr>
                <w:b w:val="0"/>
                <w:color w:val="1F2937"/>
                <w:sz w:val="17"/>
              </w:rPr>
              <w:t>1,296</w:t>
            </w:r>
          </w:p>
        </w:tc>
        <w:tc>
          <w:tcPr>
            <w:tcW w:type="dxa" w:w="1296"/>
          </w:tcPr>
          <w:p>
            <w:pPr>
              <w:spacing w:after="40" w:before="40"/>
            </w:pPr>
            <w:r/>
            <w:r>
              <w:rPr>
                <w:b w:val="0"/>
                <w:color w:val="1F2937"/>
                <w:sz w:val="17"/>
              </w:rPr>
              <w:t>5,796</w:t>
            </w:r>
          </w:p>
        </w:tc>
        <w:tc>
          <w:tcPr>
            <w:tcW w:type="dxa" w:w="1296"/>
          </w:tcPr>
          <w:p>
            <w:pPr>
              <w:spacing w:after="40" w:before="40"/>
            </w:pPr>
            <w:r/>
            <w:r>
              <w:rPr>
                <w:b w:val="0"/>
                <w:color w:val="1F2937"/>
                <w:sz w:val="17"/>
              </w:rPr>
              <w:t>20,337</w:t>
            </w:r>
          </w:p>
        </w:tc>
        <w:tc>
          <w:tcPr>
            <w:tcW w:type="dxa" w:w="1296"/>
          </w:tcPr>
          <w:p>
            <w:pPr>
              <w:spacing w:after="40" w:before="40"/>
            </w:pPr>
            <w:r/>
            <w:r>
              <w:rPr>
                <w:b w:val="0"/>
                <w:color w:val="1F2937"/>
                <w:sz w:val="17"/>
              </w:rPr>
              <w:t>6,915</w:t>
            </w:r>
          </w:p>
        </w:tc>
        <w:tc>
          <w:tcPr>
            <w:tcW w:type="dxa" w:w="1296"/>
          </w:tcPr>
          <w:p>
            <w:pPr>
              <w:spacing w:after="40" w:before="40"/>
            </w:pPr>
            <w:r/>
            <w:r>
              <w:rPr>
                <w:b w:val="0"/>
                <w:color w:val="1F2937"/>
                <w:sz w:val="17"/>
              </w:rPr>
              <w:t>28.5%</w:t>
            </w:r>
          </w:p>
        </w:tc>
        <w:tc>
          <w:tcPr>
            <w:tcW w:type="dxa" w:w="1296"/>
          </w:tcPr>
          <w:p>
            <w:pPr>
              <w:spacing w:after="40" w:before="40"/>
            </w:pPr>
            <w:r/>
            <w:r>
              <w:rPr>
                <w:b w:val="0"/>
                <w:color w:val="1F2937"/>
                <w:sz w:val="17"/>
              </w:rPr>
              <w:t>10</w:t>
            </w:r>
          </w:p>
        </w:tc>
      </w:tr>
      <w:tr>
        <w:tc>
          <w:tcPr>
            <w:tcW w:type="dxa" w:w="1296"/>
          </w:tcPr>
          <w:p>
            <w:pPr>
              <w:spacing w:after="40" w:before="40"/>
            </w:pPr>
            <w:r/>
            <w:r>
              <w:rPr>
                <w:b/>
                <w:color w:val="1F2937"/>
                <w:sz w:val="17"/>
              </w:rPr>
              <w:t>Y7</w:t>
            </w:r>
          </w:p>
        </w:tc>
        <w:tc>
          <w:tcPr>
            <w:tcW w:type="dxa" w:w="1296"/>
          </w:tcPr>
          <w:p>
            <w:pPr>
              <w:spacing w:after="40" w:before="40"/>
            </w:pPr>
            <w:r/>
            <w:r>
              <w:rPr>
                <w:b w:val="0"/>
                <w:color w:val="1F2937"/>
                <w:sz w:val="17"/>
              </w:rPr>
              <w:t>3,200</w:t>
            </w:r>
          </w:p>
        </w:tc>
        <w:tc>
          <w:tcPr>
            <w:tcW w:type="dxa" w:w="1296"/>
          </w:tcPr>
          <w:p>
            <w:pPr>
              <w:spacing w:after="40" w:before="40"/>
            </w:pPr>
            <w:r/>
            <w:r>
              <w:rPr>
                <w:b w:val="0"/>
                <w:color w:val="1F2937"/>
                <w:sz w:val="17"/>
              </w:rPr>
              <w:t>9,200</w:t>
            </w:r>
          </w:p>
        </w:tc>
        <w:tc>
          <w:tcPr>
            <w:tcW w:type="dxa" w:w="1296"/>
          </w:tcPr>
          <w:p>
            <w:pPr>
              <w:spacing w:after="40" w:before="40"/>
            </w:pPr>
            <w:r/>
            <w:r>
              <w:rPr>
                <w:b w:val="0"/>
                <w:color w:val="1F2937"/>
                <w:sz w:val="17"/>
              </w:rPr>
              <w:t>30,164</w:t>
            </w:r>
          </w:p>
        </w:tc>
        <w:tc>
          <w:tcPr>
            <w:tcW w:type="dxa" w:w="1296"/>
          </w:tcPr>
          <w:p>
            <w:pPr>
              <w:spacing w:after="40" w:before="40"/>
            </w:pPr>
            <w:r/>
            <w:r>
              <w:rPr>
                <w:b w:val="0"/>
                <w:color w:val="1F2937"/>
                <w:sz w:val="17"/>
              </w:rPr>
              <w:t>12,669</w:t>
            </w:r>
          </w:p>
        </w:tc>
        <w:tc>
          <w:tcPr>
            <w:tcW w:type="dxa" w:w="1296"/>
          </w:tcPr>
          <w:p>
            <w:pPr>
              <w:spacing w:after="40" w:before="40"/>
            </w:pPr>
            <w:r/>
            <w:r>
              <w:rPr>
                <w:b w:val="0"/>
                <w:color w:val="1F2937"/>
                <w:sz w:val="17"/>
              </w:rPr>
              <w:t>30.5%</w:t>
            </w:r>
          </w:p>
        </w:tc>
        <w:tc>
          <w:tcPr>
            <w:tcW w:type="dxa" w:w="1296"/>
          </w:tcPr>
          <w:p>
            <w:pPr>
              <w:spacing w:after="40" w:before="40"/>
            </w:pPr>
            <w:r/>
            <w:r>
              <w:rPr>
                <w:b w:val="0"/>
                <w:color w:val="1F2937"/>
                <w:sz w:val="17"/>
              </w:rPr>
              <w:t>22</w:t>
            </w:r>
          </w:p>
        </w:tc>
      </w:tr>
      <w:tr>
        <w:tc>
          <w:tcPr>
            <w:tcW w:type="dxa" w:w="1296"/>
          </w:tcPr>
          <w:p>
            <w:pPr>
              <w:spacing w:after="40" w:before="40"/>
            </w:pPr>
            <w:r/>
            <w:r>
              <w:rPr>
                <w:b/>
                <w:color w:val="1F2937"/>
                <w:sz w:val="17"/>
              </w:rPr>
              <w:t>Y10</w:t>
            </w:r>
          </w:p>
        </w:tc>
        <w:tc>
          <w:tcPr>
            <w:tcW w:type="dxa" w:w="1296"/>
          </w:tcPr>
          <w:p>
            <w:pPr>
              <w:spacing w:after="40" w:before="40"/>
            </w:pPr>
            <w:r/>
            <w:r>
              <w:rPr>
                <w:b w:val="0"/>
                <w:color w:val="1F2937"/>
                <w:sz w:val="17"/>
              </w:rPr>
              <w:t>6,229</w:t>
            </w:r>
          </w:p>
        </w:tc>
        <w:tc>
          <w:tcPr>
            <w:tcW w:type="dxa" w:w="1296"/>
          </w:tcPr>
          <w:p>
            <w:pPr>
              <w:spacing w:after="40" w:before="40"/>
            </w:pPr>
            <w:r/>
            <w:r>
              <w:rPr>
                <w:b w:val="0"/>
                <w:color w:val="1F2937"/>
                <w:sz w:val="17"/>
              </w:rPr>
              <w:t>12,229</w:t>
            </w:r>
          </w:p>
        </w:tc>
        <w:tc>
          <w:tcPr>
            <w:tcW w:type="dxa" w:w="1296"/>
          </w:tcPr>
          <w:p>
            <w:pPr>
              <w:spacing w:after="40" w:before="40"/>
            </w:pPr>
            <w:r/>
            <w:r>
              <w:rPr>
                <w:b w:val="0"/>
                <w:color w:val="1F2937"/>
                <w:sz w:val="17"/>
              </w:rPr>
              <w:t>38,516</w:t>
            </w:r>
          </w:p>
        </w:tc>
        <w:tc>
          <w:tcPr>
            <w:tcW w:type="dxa" w:w="1296"/>
          </w:tcPr>
          <w:p>
            <w:pPr>
              <w:spacing w:after="40" w:before="40"/>
            </w:pPr>
            <w:r/>
            <w:r>
              <w:rPr>
                <w:b w:val="0"/>
                <w:color w:val="1F2937"/>
                <w:sz w:val="17"/>
              </w:rPr>
              <w:t>18,102</w:t>
            </w:r>
          </w:p>
        </w:tc>
        <w:tc>
          <w:tcPr>
            <w:tcW w:type="dxa" w:w="1296"/>
          </w:tcPr>
          <w:p>
            <w:pPr>
              <w:spacing w:after="40" w:before="40"/>
            </w:pPr>
            <w:r/>
            <w:r>
              <w:rPr>
                <w:b w:val="0"/>
                <w:color w:val="1F2937"/>
                <w:sz w:val="17"/>
              </w:rPr>
              <w:t>31.8%</w:t>
            </w:r>
          </w:p>
        </w:tc>
        <w:tc>
          <w:tcPr>
            <w:tcW w:type="dxa" w:w="1296"/>
          </w:tcPr>
          <w:p>
            <w:pPr>
              <w:spacing w:after="40" w:before="40"/>
            </w:pPr>
            <w:r/>
            <w:r>
              <w:rPr>
                <w:b w:val="0"/>
                <w:color w:val="1F2937"/>
                <w:sz w:val="17"/>
              </w:rPr>
              <w:t>38</w:t>
            </w:r>
          </w:p>
        </w:tc>
      </w:tr>
    </w:tbl>
    <w:p>
      <w:pPr>
        <w:spacing w:after="160" w:before="0"/>
      </w:pPr>
    </w:p>
    <w:p>
      <w:pPr>
        <w:spacing w:after="140" w:line="276" w:lineRule="auto"/>
        <w:jc w:val="both"/>
      </w:pPr>
      <w:r>
        <w:rPr>
          <w:b w:val="0"/>
          <w:color w:val="1F2937"/>
          <w:sz w:val="20"/>
        </w:rPr>
        <w:t>That application column is the same series the operations plan sizes review capacity against in §5, read from the same model rather than derived twice.</w:t>
      </w:r>
    </w:p>
    <w:p>
      <w:pPr>
        <w:keepNext/>
        <w:spacing w:before="160" w:after="20"/>
        <w:ind w:left="227"/>
        <w:shd w:val="clear" w:fill="F6F7F9"/>
        <w:pBdr>
          <w:left w:val="single" w:sz="18" w:space="8" w:color="D97706"/>
        </w:pBdr>
      </w:pPr>
      <w:r>
        <w:rPr>
          <w:b/>
          <w:color w:val="D97706"/>
          <w:sz w:val="19"/>
        </w:rPr>
        <w:t>Year 1 is the hardest year in the plan, and the table shows why</w:t>
      </w:r>
    </w:p>
    <w:p>
      <w:pPr>
        <w:spacing w:before="0" w:after="160" w:line="264" w:lineRule="auto"/>
        <w:ind w:left="227"/>
        <w:shd w:val="clear" w:fill="F6F7F9"/>
        <w:pBdr>
          <w:left w:val="single" w:sz="18" w:space="8" w:color="D97706"/>
        </w:pBdr>
      </w:pPr>
      <w:r>
        <w:rPr>
          <w:b w:val="0"/>
          <w:color w:val="1F2937"/>
          <w:sz w:val="19"/>
        </w:rPr>
        <w:t xml:space="preserve">2,000 applications must be sourced, reviewed and admitted with </w:t>
      </w:r>
      <w:r>
        <w:rPr>
          <w:b/>
          <w:color w:val="1F2937"/>
          <w:sz w:val="19"/>
        </w:rPr>
        <w:t>1.5 full time people and no club channel yet</w:t>
      </w:r>
      <w:r>
        <w:rPr>
          <w:b w:val="0"/>
          <w:color w:val="1F2937"/>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pPr>
        <w:pStyle w:val="Heading3"/>
        <w:keepNext/>
        <w:spacing w:before="200" w:after="100"/>
      </w:pPr>
      <w:r>
        <w:rPr>
          <w:b/>
          <w:color w:val="6B7280"/>
          <w:sz w:val="22"/>
        </w:rPr>
        <w:t>Demand: sponsors, sold one at a time</w:t>
      </w:r>
    </w:p>
    <w:p>
      <w:pPr>
        <w:spacing w:after="140" w:line="276" w:lineRule="auto"/>
        <w:jc w:val="both"/>
      </w:pPr>
      <w:r>
        <w:rPr>
          <w:b w:val="0"/>
          <w:color w:val="1F2937"/>
          <w:sz w:val="20"/>
        </w:rPr>
        <w:t>Sponsor acquisition is outbound and account based from the start. There is no self serve motion, because a brief that produces a good match needs a conversation about what the campaign is actually for.</w:t>
      </w:r>
    </w:p>
    <w:p>
      <w:pPr>
        <w:spacing w:after="140" w:line="276" w:lineRule="auto"/>
        <w:jc w:val="both"/>
      </w:pPr>
      <w:r>
        <w:rPr>
          <w:b w:val="0"/>
          <w:color w:val="1F2937"/>
          <w:sz w:val="20"/>
        </w:rPr>
        <w:t xml:space="preserve">The plan carries </w:t>
      </w:r>
      <w:r>
        <w:rPr>
          <w:b/>
          <w:color w:val="1F2937"/>
          <w:sz w:val="20"/>
        </w:rPr>
        <w:t>25 sponsors in Y1 rising to 2,000 by Y7</w:t>
      </w:r>
      <w:r>
        <w:rPr>
          <w:b w:val="0"/>
          <w:color w:val="1F2937"/>
          <w:sz w:val="20"/>
        </w:rPr>
        <w:t>, of which the share paying for SaaS rather than transacting only moves from 10% to 20%. Acquisition cost rises from €900 to €1,900 per sponsor across the same period, which is the ordinary pattern: the most reachable brands are acquired first.</w:t>
      </w:r>
    </w:p>
    <w:p>
      <w:pPr>
        <w:pStyle w:val="Heading3"/>
        <w:keepNext/>
        <w:spacing w:before="200" w:after="100"/>
      </w:pPr>
      <w:r>
        <w:rPr>
          <w:b/>
          <w:color w:val="6B7280"/>
          <w:sz w:val="22"/>
        </w:rPr>
        <w:t>Who sells</w:t>
      </w:r>
    </w:p>
    <w:p>
      <w:pPr>
        <w:spacing w:after="140" w:line="276" w:lineRule="auto"/>
        <w:jc w:val="both"/>
      </w:pPr>
      <w:r>
        <w:rPr>
          <w:b w:val="0"/>
          <w:color w:val="1F2937"/>
          <w:sz w:val="20"/>
        </w:rPr>
        <w:t xml:space="preserve">Founder led through Y3, at 1 FTE in Y1 rising to 2. The club channel opens in Y2 and the founder opens it personally, which is the honest consequence of a €400k raise rather than a €600k one. The </w:t>
      </w:r>
      <w:r>
        <w:rPr>
          <w:b/>
          <w:color w:val="1F2937"/>
          <w:sz w:val="20"/>
        </w:rPr>
        <w:t>BD and partnerships hire arrives in Y4</w:t>
      </w:r>
      <w:r>
        <w:rPr>
          <w:b w:val="0"/>
          <w:color w:val="1F2937"/>
          <w:sz w:val="20"/>
        </w:rPr>
        <w:t xml:space="preserve"> (§6), by which point there is a repeatable club conversation to hand over and 28% of supply already comes through it. Hiring a seller before the motion is repeatable is how early-stage companies spend a round discovering what the founder already knew.</w:t>
      </w:r>
    </w:p>
    <w:p>
      <w:pPr>
        <w:spacing w:after="120" w:before="0"/>
      </w:pPr>
    </w:p>
    <w:p>
      <w:pPr>
        <w:pStyle w:val="Heading1"/>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there is no warehouse, no bill of materials and no delivery fleet,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pStyle w:val="Heading3"/>
        <w:keepNext/>
        <w:spacing w:before="200" w:after="100"/>
      </w:pPr>
      <w:r>
        <w:rPr>
          <w:b/>
          <w:color w:val="6B7280"/>
          <w:sz w:val="22"/>
        </w:rPr>
        <w:t>5.1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connected social accounts, engagement refresh</w:t>
        <w:br/>
        <w:t xml:space="preserve">  S2  Payments and payouts: collection, float, athlete settlement, reconciliation</w:t>
        <w:br/>
        <w:t xml:space="preserve">  S3  Support and dispute handling: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(§5.2).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pStyle w:val="Heading4"/>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against 13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pStyle w:val="Heading3"/>
        <w:keepNext/>
        <w:spacing w:before="200" w:after="100"/>
      </w:pPr>
      <w:r>
        <w:rPr>
          <w:b/>
          <w:color w:val="6B7280"/>
          <w:sz w:val="22"/>
        </w:rPr>
        <w:t>5.2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§5.10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8</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pStyle w:val="Heading3"/>
        <w:keepNext/>
        <w:spacing w:before="200" w:after="100"/>
      </w:pPr>
      <w:r>
        <w:rPr>
          <w:b/>
          <w:color w:val="6B7280"/>
          <w:sz w:val="22"/>
        </w:rPr>
        <w:t>5.3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 taxable years against the standard 25%, worth </w:t>
      </w:r>
      <w:r>
        <w:rPr>
          <w:b/>
          <w:color w:val="1F2937"/>
          <w:sz w:val="20"/>
        </w:rPr>
        <w:t>€1.67M across Y6–Y9</w:t>
      </w:r>
      <w:r>
        <w:rPr>
          <w:b w:val="0"/>
          <w:color w:val="1F2937"/>
          <w:sz w:val="20"/>
        </w:rPr>
        <w:t xml:space="preserve"> in the 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 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 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 club channel and the anchor athlete relationship, both of which are 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pStyle w:val="Heading3"/>
        <w:keepNext/>
        <w:spacing w:before="200" w:after="100"/>
      </w:pPr>
      <w:r>
        <w:rPr>
          <w:b/>
          <w:color w:val="6B7280"/>
          <w:sz w:val="22"/>
        </w:rPr>
        <w:t>5.4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pStyle w:val="Heading3"/>
        <w:keepNext/>
        <w:spacing w:before="200" w:after="100"/>
      </w:pPr>
      <w:r>
        <w:rPr>
          <w:b/>
          <w:color w:val="6B7280"/>
          <w:sz w:val="22"/>
        </w:rPr>
        <w:t>5.5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§5.10</w:t>
            </w:r>
          </w:p>
        </w:tc>
        <w:tc>
          <w:tcPr>
            <w:tcW w:type="dxa" w:w="2268"/>
          </w:tcPr>
          <w:p>
            <w:pPr>
              <w:spacing w:after="40" w:before="40"/>
            </w:pPr>
            <w:r/>
            <w:r>
              <w:rPr>
                <w:b w:val="0"/>
                <w:color w:val="1F2937"/>
                <w:sz w:val="17"/>
              </w:rPr>
              <w:t>€2.55M</w:t>
            </w:r>
          </w:p>
        </w:tc>
      </w:tr>
    </w:tbl>
    <w:p>
      <w:pPr>
        <w:spacing w:after="160" w:before="0"/>
      </w:pPr>
    </w:p>
    <w:p>
      <w:pPr>
        <w:spacing w:after="120" w:before="0"/>
      </w:pPr>
    </w:p>
    <w:p>
      <w:pPr>
        <w:pStyle w:val="Heading3"/>
        <w:keepNext/>
        <w:spacing w:before="200" w:after="100"/>
      </w:pPr>
      <w:r>
        <w:rPr>
          <w:b/>
          <w:color w:val="6B7280"/>
          <w:sz w:val="22"/>
        </w:rPr>
        <w:t>5.6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pPr>
        <w:spacing w:after="120" w:before="0"/>
      </w:pPr>
    </w:p>
    <w:p>
      <w:pPr>
        <w:pStyle w:val="Heading3"/>
        <w:keepNext/>
        <w:spacing w:before="200" w:after="100"/>
      </w:pPr>
      <w:r>
        <w:rPr>
          <w:b/>
          <w:color w:val="6B7280"/>
          <w:sz w:val="22"/>
        </w:rPr>
        <w:t>5.7 Delivery times and service levels</w:t>
      </w:r>
    </w:p>
    <w:p>
      <w:pPr>
        <w:spacing w:after="140" w:line="276" w:lineRule="auto"/>
        <w:jc w:val="both"/>
      </w:pPr>
      <w:r>
        <w:rPr>
          <w:b w:val="0"/>
          <w:color w:val="1F2937"/>
          <w:sz w:val="20"/>
        </w:rPr>
        <w:t>These are commitments, not observations: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pStyle w:val="Heading3"/>
        <w:keepNext/>
        <w:spacing w:before="200" w:after="100"/>
      </w:pPr>
      <w:r>
        <w:rPr>
          <w:b/>
          <w:color w:val="6B7280"/>
          <w:sz w:val="22"/>
        </w:rPr>
        <w:t>5.8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pStyle w:val="Heading3"/>
        <w:keepNext/>
        <w:spacing w:before="200" w:after="100"/>
      </w:pPr>
      <w:r>
        <w:rPr>
          <w:b/>
          <w:color w:val="6B7280"/>
          <w:sz w:val="22"/>
        </w:rPr>
        <w:t>5.9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3.3% of revenue. </w:t>
      </w:r>
      <w:r>
        <w:rPr>
          <w:b/>
          <w:color w:val="1F2937"/>
          <w:sz w:val="20"/>
        </w:rPr>
        <w:t>Payments are nearly eight times larger.</w:t>
      </w:r>
      <w:r>
        <w:rPr>
          <w:b w:val="0"/>
          <w:color w:val="1F2937"/>
          <w:sz w:val="20"/>
        </w:rPr>
        <w:t xml:space="preserve"> Any optimisation effort belongs there: tier pricing, annual billing and processor negotiation, not the AWS bill.</w:t>
      </w:r>
    </w:p>
    <w:p>
      <w:pPr>
        <w:spacing w:after="120" w:before="0"/>
      </w:pPr>
    </w:p>
    <w:p>
      <w:pPr>
        <w:pStyle w:val="Heading3"/>
        <w:keepNext/>
        <w:spacing w:before="200" w:after="100"/>
      </w:pPr>
      <w:r>
        <w:rPr>
          <w:b/>
          <w:color w:val="6B7280"/>
          <w:sz w:val="22"/>
        </w:rPr>
        <w:t>5.10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w:t>
            </w:r>
          </w:p>
        </w:tc>
        <w:tc>
          <w:tcPr>
            <w:tcW w:type="dxa" w:w="1814"/>
            <w:shd w:val="clear" w:fill="EFF1F3"/>
          </w:tcPr>
          <w:p>
            <w:pPr>
              <w:spacing w:after="40" w:before="40"/>
            </w:pPr>
            <w:r/>
            <w:r>
              <w:rPr>
                <w:b/>
                <w:color w:val="1F2937"/>
                <w:sz w:val="17"/>
              </w:rPr>
              <w:t>Ex-VAT</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Processing cost</w:t>
            </w:r>
          </w:p>
        </w:tc>
        <w:tc>
          <w:tcPr>
            <w:tcW w:type="dxa" w:w="1814"/>
            <w:shd w:val="clear" w:fill="EFF1F3"/>
          </w:tcPr>
          <w:p>
            <w:pPr>
              <w:spacing w:after="40" w:before="40"/>
            </w:pPr>
            <w:r/>
            <w:r>
              <w:rPr>
                <w:b/>
                <w:color w:val="1F2937"/>
                <w:sz w:val="17"/>
              </w:rPr>
              <w:t>We retain</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€4.12</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€8.26</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€20.65</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77%</w:t>
            </w:r>
          </w:p>
        </w:tc>
      </w:tr>
    </w:tbl>
    <w:p>
      <w:pPr>
        <w:spacing w:after="160" w:before="0"/>
      </w:pPr>
    </w:p>
    <w:p>
      <w:pPr>
        <w:spacing w:after="140" w:line="276" w:lineRule="auto"/>
        <w:jc w:val="both"/>
      </w:pPr>
      <w:r>
        <w:rPr>
          <w:b w:val="0"/>
          <w:color w:val="1F2937"/>
          <w:sz w:val="20"/>
        </w:rPr>
        <w:t xml:space="preserve">The take is charged on the </w:t>
      </w:r>
      <w:r>
        <w:rPr>
          <w:b/>
          <w:color w:val="1F2937"/>
          <w:sz w:val="20"/>
        </w:rPr>
        <w:t>VAT-exclusive</w:t>
      </w:r>
      <w:r>
        <w:rPr>
          <w:b w:val="0"/>
          <w:color w:val="1F2937"/>
          <w:sz w:val="20"/>
        </w:rPr>
        <w:t xml:space="preserve"> price, because that is the base the model uses. At €4.99 we keep well under half of our own commission; at €9.99, about two thirds.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color w:val="1F2937"/>
                <w:sz w:val="17"/>
              </w:rPr>
              <w:t>€1.49 in Y1, €2.75 by Y7</w:t>
            </w:r>
            <w:r>
              <w:rPr>
                <w:b w:val="0"/>
                <w:color w:val="1F2937"/>
                <w:sz w:val="17"/>
              </w:rPr>
              <w:t xml:space="preserve"> (4 min at a loaded hourly rising from €22.35 to €41.18)</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pStyle w:val="Heading3"/>
        <w:keepNext/>
        <w:spacing w:before="200" w:after="100"/>
      </w:pPr>
      <w:r>
        <w:rPr>
          <w:b/>
          <w:color w:val="6B7280"/>
          <w:sz w:val="22"/>
        </w:rPr>
        <w:t>5.11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not a feature, is what unlocks the next stage.</w:t>
      </w:r>
    </w:p>
    <w:p>
      <w:pPr>
        <w:pStyle w:val="Heading1"/>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€10.2M of revenue at Y7 with 13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5</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pStyle w:val="Heading3"/>
        <w:keepNext/>
        <w:spacing w:before="200" w:after="100"/>
      </w:pPr>
      <w:r>
        <w:rPr>
          <w:b/>
          <w:color w:val="6B7280"/>
          <w:sz w:val="22"/>
        </w:rPr>
        <w:t>6.1 Organizational structure</w:t>
      </w:r>
    </w:p>
    <w:p>
      <w:pPr>
        <w:pStyle w:val="Heading4"/>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w:t>
            </w:r>
          </w:p>
        </w:tc>
        <w:tc>
          <w:tcPr>
            <w:tcW w:type="dxa" w:w="1134"/>
          </w:tcPr>
          <w:p>
            <w:pPr>
              <w:spacing w:after="40" w:before="40"/>
            </w:pPr>
            <w:r/>
            <w:r>
              <w:rPr>
                <w:b w:val="0"/>
                <w:color w:val="1F2937"/>
                <w:sz w:val="17"/>
              </w:rPr>
              <w:t>9</w:t>
            </w:r>
          </w:p>
        </w:tc>
        <w:tc>
          <w:tcPr>
            <w:tcW w:type="dxa" w:w="1134"/>
          </w:tcPr>
          <w:p>
            <w:pPr>
              <w:spacing w:after="40" w:before="40"/>
            </w:pPr>
            <w:r/>
            <w:r>
              <w:rPr>
                <w:b w:val="0"/>
                <w:color w:val="1F2937"/>
                <w:sz w:val="17"/>
              </w:rPr>
              <w:t>13</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€38k</w:t>
            </w:r>
          </w:p>
        </w:tc>
        <w:tc>
          <w:tcPr>
            <w:tcW w:type="dxa" w:w="1134"/>
          </w:tcPr>
          <w:p>
            <w:pPr>
              <w:spacing w:after="40" w:before="40"/>
            </w:pPr>
            <w:r/>
            <w:r>
              <w:rPr>
                <w:b w:val="0"/>
                <w:color w:val="1F2937"/>
                <w:sz w:val="17"/>
              </w:rPr>
              <w:t>€78k</w:t>
            </w:r>
          </w:p>
        </w:tc>
        <w:tc>
          <w:tcPr>
            <w:tcW w:type="dxa" w:w="1134"/>
          </w:tcPr>
          <w:p>
            <w:pPr>
              <w:spacing w:after="40" w:before="40"/>
            </w:pPr>
            <w:r/>
            <w:r>
              <w:rPr>
                <w:b w:val="0"/>
                <w:color w:val="1F2937"/>
                <w:sz w:val="17"/>
              </w:rPr>
              <w:t>€120k</w:t>
            </w:r>
          </w:p>
        </w:tc>
        <w:tc>
          <w:tcPr>
            <w:tcW w:type="dxa" w:w="1134"/>
          </w:tcPr>
          <w:p>
            <w:pPr>
              <w:spacing w:after="40" w:before="40"/>
            </w:pPr>
            <w:r/>
            <w:r>
              <w:rPr>
                <w:b w:val="0"/>
                <w:color w:val="1F2937"/>
                <w:sz w:val="17"/>
              </w:rPr>
              <w:t>€224k</w:t>
            </w:r>
          </w:p>
        </w:tc>
        <w:tc>
          <w:tcPr>
            <w:tcW w:type="dxa" w:w="1134"/>
          </w:tcPr>
          <w:p>
            <w:pPr>
              <w:spacing w:after="40" w:before="40"/>
            </w:pPr>
            <w:r/>
            <w:r>
              <w:rPr>
                <w:b w:val="0"/>
                <w:color w:val="1F2937"/>
                <w:sz w:val="17"/>
              </w:rPr>
              <w:t>€396k</w:t>
            </w:r>
          </w:p>
        </w:tc>
        <w:tc>
          <w:tcPr>
            <w:tcW w:type="dxa" w:w="1134"/>
          </w:tcPr>
          <w:p>
            <w:pPr>
              <w:spacing w:after="40" w:before="40"/>
            </w:pPr>
            <w:r/>
            <w:r>
              <w:rPr>
                <w:b w:val="0"/>
                <w:color w:val="1F2937"/>
                <w:sz w:val="17"/>
              </w:rPr>
              <w:t>€612k</w:t>
            </w:r>
          </w:p>
        </w:tc>
        <w:tc>
          <w:tcPr>
            <w:tcW w:type="dxa" w:w="1134"/>
          </w:tcPr>
          <w:p>
            <w:pPr>
              <w:spacing w:after="40" w:before="40"/>
            </w:pPr>
            <w:r/>
            <w:r>
              <w:rPr>
                <w:b w:val="0"/>
                <w:color w:val="1F2937"/>
                <w:sz w:val="17"/>
              </w:rPr>
              <w:t>€910k</w:t>
            </w:r>
          </w:p>
        </w:tc>
      </w:tr>
    </w:tbl>
    <w:p>
      <w:pPr>
        <w:spacing w:after="160" w:before="0"/>
      </w:pPr>
    </w:p>
    <w:p>
      <w:pPr>
        <w:spacing w:after="140" w:line="276" w:lineRule="auto"/>
        <w:jc w:val="both"/>
      </w:pPr>
      <w:r>
        <w:rPr>
          <w:b w:val="0"/>
          <w:color w:val="1F2937"/>
          <w:sz w:val="20"/>
        </w:rPr>
        <w:t xml:space="preserve">Growth to 28 FTE by Y10. The shape is deliberate: </w:t>
      </w:r>
      <w:r>
        <w:rPr>
          <w:b/>
          <w:color w:val="1F2937"/>
          <w:sz w:val="20"/>
        </w:rPr>
        <w:t>the team stays below four people until fan revenue is proven</w:t>
      </w:r>
      <w:r>
        <w:rPr>
          <w:b w:val="0"/>
          <w:color w:val="1F2937"/>
          <w:sz w:val="20"/>
        </w:rPr>
        <w:t>, because the pre-seed gate tests an assumption, and testing an assumption does not need an organisation.</w:t>
      </w:r>
    </w:p>
    <w:p>
      <w:pPr>
        <w:keepNext/>
        <w:spacing w:before="160" w:after="20"/>
        <w:ind w:left="227"/>
        <w:shd w:val="clear" w:fill="F6F7F9"/>
        <w:pBdr>
          <w:left w:val="single" w:sz="18" w:space="8" w:color="D97706"/>
        </w:pBdr>
      </w:pPr>
      <w:r>
        <w:rPr>
          <w:b/>
          <w:color w:val="D97706"/>
          <w:sz w:val="19"/>
        </w:rPr>
        <w:t>This ramp is what a €400k raise buys, and the model flatters it</w:t>
      </w:r>
    </w:p>
    <w:p>
      <w:pPr>
        <w:spacing w:before="0" w:after="160" w:line="264" w:lineRule="auto"/>
        <w:ind w:left="227"/>
        <w:shd w:val="clear" w:fill="F6F7F9"/>
        <w:pBdr>
          <w:left w:val="single" w:sz="18" w:space="8" w:color="D97706"/>
        </w:pBdr>
      </w:pPr>
      <w:r>
        <w:rPr>
          <w:b w:val="0"/>
          <w:color w:val="1F2937"/>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color w:val="1F2937"/>
          <w:sz w:val="19"/>
        </w:rPr>
        <w:t>The model does not penalise under-hiring.</w:t>
      </w:r>
      <w:r>
        <w:rPr>
          <w:b w:val="0"/>
          <w:color w:val="1F2937"/>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pPr>
        <w:pStyle w:val="Heading4"/>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Y1–Y3  ── FOUNDER / CEO ──┬── Full-stack engineer (part-time from Y2)</w:t>
        <w:br/>
        <w:t xml:space="preserve">  (1→2 FTE)             └── the founder carries review, BD and product</w:t>
        <w:br/>
        <w:br/>
        <w:t xml:space="preserve">  Y4–Y6  ── FOUNDER / CEO ──┬── ENGINEERING ── senior eng · full-stack</w:t>
        <w:br/>
        <w:t xml:space="preserve">  (3.5→9)                ├── GROWTH ────── BD/partnerships · athlete success</w:t>
        <w:br/>
        <w:t xml:space="preserve">                            ├── OPERATIONS ── moderation lead · review</w:t>
        <w:br/>
        <w:t xml:space="preserve">                            └── FINANCE &amp; COMPLIANCE ── finance/ops · DPO (frac.)</w:t>
        <w:br/>
        <w:br/>
        <w:t xml:space="preserve">  Y7+    ── FOUNDER / CEO ──┬── VP ENGINEERING ── platform · data · mobile</w:t>
        <w:br/>
        <w:t xml:space="preserve">  (13→28)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pStyle w:val="Heading3"/>
        <w:keepNext/>
        <w:spacing w:before="200" w:after="100"/>
      </w:pPr>
      <w:r>
        <w:rPr>
          <w:b/>
          <w:color w:val="6B7280"/>
          <w:sz w:val="22"/>
        </w:rPr>
        <w:t>6.2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pStyle w:val="Heading4"/>
        <w:keepNext/>
        <w:spacing w:before="200" w:after="100"/>
      </w:pPr>
      <w:r>
        <w:rPr>
          <w:b/>
          <w:color w:val="6B7280"/>
          <w:sz w:val="20"/>
        </w:rPr>
        <w:t>Founder / CEO: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pStyle w:val="Heading4"/>
        <w:keepNext/>
        <w:spacing w:before="200" w:after="100"/>
      </w:pPr>
      <w:r>
        <w:rPr>
          <w:b/>
          <w:color w:val="6B7280"/>
          <w:sz w:val="20"/>
        </w:rPr>
        <w:t>Senior engineer: Y3</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pStyle w:val="Heading4"/>
        <w:keepNext/>
        <w:spacing w:before="200" w:after="100"/>
      </w:pPr>
      <w:r>
        <w:rPr>
          <w:b/>
          <w:color w:val="6B7280"/>
          <w:sz w:val="20"/>
        </w:rPr>
        <w:t>BD / partnerships: Y4</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pStyle w:val="Heading4"/>
        <w:keepNext/>
        <w:spacing w:before="200" w:after="100"/>
      </w:pPr>
      <w:r>
        <w:rPr>
          <w:b/>
          <w:color w:val="6B7280"/>
          <w:sz w:val="20"/>
        </w:rPr>
        <w:t>Athlete success: Y5</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pStyle w:val="Heading4"/>
        <w:keepNext/>
        <w:spacing w:before="200" w:after="100"/>
      </w:pPr>
      <w:r>
        <w:rPr>
          <w:b/>
          <w:color w:val="6B7280"/>
          <w:sz w:val="20"/>
        </w:rPr>
        <w:t>Content moderation lead: Y5</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pStyle w:val="Heading4"/>
        <w:keepNext/>
        <w:spacing w:before="200" w:after="100"/>
      </w:pPr>
      <w:r>
        <w:rPr>
          <w:b/>
          <w:color w:val="6B7280"/>
          <w:sz w:val="20"/>
        </w:rPr>
        <w:t>Finance / operations: Y6</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pStyle w:val="Heading4"/>
        <w:keepNext/>
        <w:spacing w:before="200" w:after="100"/>
      </w:pPr>
      <w:r>
        <w:rPr>
          <w:b/>
          <w:color w:val="6B7280"/>
          <w:sz w:val="20"/>
        </w:rPr>
        <w:t>Data protection officer: Y5 fractional → Y7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pStyle w:val="Heading3"/>
        <w:keepNext/>
        <w:spacing w:before="200" w:after="100"/>
      </w:pPr>
      <w:r>
        <w:rPr>
          <w:b/>
          <w:color w:val="6B7280"/>
          <w:sz w:val="22"/>
        </w:rPr>
        <w:t>6.3 HR policies</w:t>
      </w:r>
    </w:p>
    <w:p>
      <w:pPr>
        <w:pStyle w:val="Heading4"/>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 role: a real pull request against a scoped issue, paid at market rate. Consistent with a product whose own admission gate refuses to accept 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 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 seen and applied identically. This is both a legal requirement in Spain and a stated commitment (§6.5).</w:t>
      </w:r>
    </w:p>
    <w:p>
      <w:pPr>
        <w:pStyle w:val="Heading4"/>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 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xml:space="preserve">, not to the calendar. The pre-seed, seed and Series A gates in </w:t>
      </w:r>
      <w:r>
        <w:rPr>
          <w:b w:val="0"/>
          <w:color w:val="1F2937"/>
          <w:sz w:val="20"/>
        </w:rPr>
        <w:t>04</w:t>
      </w:r>
      <w:r>
        <w:rPr>
          <w:b w:val="0"/>
          <w:color w:val="1F2937"/>
          <w:sz w:val="20"/>
        </w:rPr>
        <w:t xml:space="preserve"> are evidence 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 they lose alignment.</w:t>
      </w:r>
    </w:p>
    <w:p>
      <w:pPr>
        <w:pStyle w:val="Heading4"/>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€10.16M of revenue. If that is true, equity is worth more than the salary gap, and if a candidate does not believe it, they are the wrong hire for a company whose central claim is exactly that.</w:t>
      </w:r>
    </w:p>
    <w:p>
      <w:pPr>
        <w:spacing w:after="120" w:before="0"/>
      </w:pPr>
    </w:p>
    <w:p>
      <w:pPr>
        <w:pStyle w:val="Heading3"/>
        <w:keepNext/>
        <w:spacing w:before="200" w:after="100"/>
      </w:pPr>
      <w:r>
        <w:rPr>
          <w:b/>
          <w:color w:val="6B7280"/>
          <w:sz w:val="22"/>
        </w:rPr>
        <w:t>6.4 Governance structure</w:t>
      </w:r>
    </w:p>
    <w:p>
      <w:pPr>
        <w:pStyle w:val="Heading4"/>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8</w:t>
      </w:r>
      <w:r>
        <w:rPr>
          <w:b w:val="0"/>
          <w:color w:val="1F2937"/>
          <w:sz w:val="20"/>
        </w:rPr>
        <w:t>.</w:t>
      </w:r>
    </w:p>
    <w:p>
      <w:pPr>
        <w:pStyle w:val="Heading4"/>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(€400k)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92%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73%</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61%</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~55%</w:t>
            </w:r>
          </w:p>
        </w:tc>
      </w:tr>
    </w:tbl>
    <w:p>
      <w:pPr>
        <w:spacing w:after="160" w:before="0"/>
      </w:pPr>
    </w:p>
    <w:p>
      <w:pPr>
        <w:pStyle w:val="Heading4"/>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it is the decision most likely to be pressured commercially and least reversible reputationally.</w:t>
      </w:r>
    </w:p>
    <w:p>
      <w:pPr>
        <w:pStyle w:val="Heading4"/>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pool</w:t>
      </w:r>
      <w:r>
        <w:rPr>
          <w:b w:val="0"/>
          <w:color w:val="1F2937"/>
          <w:sz w:val="20"/>
        </w:rPr>
        <w:t xml:space="preserve"> is opened at the pre-seed, vesting over two years. It covers two grants: the anchor-athlete advisor, which </w:t>
      </w:r>
      <w:r>
        <w:rPr>
          <w:b w:val="0"/>
          <w:color w:val="1F2937"/>
          <w:sz w:val="20"/>
        </w:rPr>
        <w:t>04</w:t>
      </w:r>
      <w:r>
        <w:rPr>
          <w:b w:val="0"/>
          <w:color w:val="1F2937"/>
          <w:sz w:val="20"/>
        </w:rPr>
        <w:t xml:space="preserve"> sizes at </w:t>
      </w:r>
      <w:r>
        <w:rPr>
          <w:b/>
          <w:color w:val="1F2937"/>
          <w:sz w:val="20"/>
        </w:rPr>
        <w:t>1%</w:t>
      </w:r>
      <w:r>
        <w:rPr>
          <w:b w:val="0"/>
          <w:color w:val="1F2937"/>
          <w:sz w:val="20"/>
        </w:rPr>
        <w:t xml:space="preserve"> within a 0.5–1.5% range and against a performance trigger, and a sports-industry board advisor of similar size. The dilution table above models the </w:t>
      </w:r>
      <w:r>
        <w:rPr>
          <w:b/>
          <w:color w:val="1F2937"/>
          <w:sz w:val="20"/>
        </w:rPr>
        <w:t>full 2%</w:t>
      </w:r>
      <w:r>
        <w:rPr>
          <w:b w:val="0"/>
          <w:color w:val="1F2937"/>
          <w:sz w:val="20"/>
        </w:rP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pPr>
        <w:spacing w:after="120" w:before="0"/>
      </w:pPr>
    </w:p>
    <w:p>
      <w:pPr>
        <w:pStyle w:val="Heading3"/>
        <w:keepNext/>
        <w:spacing w:before="200" w:after="100"/>
      </w:pPr>
      <w:r>
        <w:rPr>
          <w:b/>
          <w:color w:val="6B7280"/>
          <w:sz w:val="22"/>
        </w:rPr>
        <w:t>6.5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Responsible Consumption</w:t>
            </w:r>
          </w:p>
        </w:tc>
        <w:tc>
          <w:tcPr>
            <w:tcW w:type="dxa" w:w="3024"/>
          </w:tcPr>
          <w:p>
            <w:pPr>
              <w:spacing w:after="40" w:before="40"/>
            </w:pPr>
            <w:r/>
            <w:r>
              <w:rPr>
                <w:b w:val="0"/>
                <w:color w:val="1F2937"/>
                <w:sz w:val="17"/>
              </w:rPr>
              <w:t xml:space="preserve">The zero-egress architecture is chosen on cost, and the same decision cuts billed cross-network transfer by an order of magnitude. We do </w:t>
            </w:r>
            <w:r>
              <w:rPr>
                <w:b/>
                <w:color w:val="1F2937"/>
                <w:sz w:val="17"/>
              </w:rPr>
              <w:t>not</w:t>
            </w:r>
            <w:r>
              <w:rPr>
                <w:b w:val="0"/>
                <w:color w:val="1F2937"/>
                <w:sz w:val="17"/>
              </w:rPr>
              <w:t xml:space="preserve"> claim a measured energy saving: the €0.075 against €0.008 per GB in </w:t>
            </w:r>
            <w:r>
              <w:rPr>
                <w:b w:val="0"/>
                <w:color w:val="1F2937"/>
                <w:sz w:val="17"/>
              </w:rPr>
              <w:t>02</w:t>
            </w:r>
            <w:r>
              <w:rPr>
                <w:b w:val="0"/>
                <w:color w:val="1F2937"/>
                <w:sz w:val="17"/>
              </w:rPr>
              <w:t xml:space="preserve"> is a price ratio, and no energy measurement sits behind it</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 for a year or two. Adults paying for private access to a minor is a categorically different risk from a sponsor paying for a post, and we treat 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 20% take. It buys a pricing argument that survives contact with the exact athlete we target.</w:t>
      </w:r>
    </w:p>
    <w:p>
      <w:pPr>
        <w:spacing w:after="140" w:line="276" w:lineRule="auto"/>
        <w:jc w:val="both"/>
      </w:pPr>
      <w:r>
        <w:rPr>
          <w:b w:val="0"/>
          <w:color w:val="1F2937"/>
          <w:sz w:val="20"/>
        </w:rPr>
        <w:t>Each of these is a decision we would rather explain than have found.</w:t>
      </w:r>
    </w:p>
    <w:p>
      <w:pPr>
        <w:pStyle w:val="Heading1"/>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pStyle w:val="Heading2"/>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310 prose claims across 16 documents</w:t>
      </w:r>
      <w:r>
        <w:rPr>
          <w:b w:val="0"/>
          <w:color w:val="1F2937"/>
          <w:sz w:val="20"/>
        </w:rPr>
        <w:t xml:space="preserve"> against the model and fails the build if any figure drifts; a second guard evaluates all 2,644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Medium: a stage premium over Damodaran's 6.0% for European listed software</w:t>
            </w:r>
          </w:p>
        </w:tc>
      </w:tr>
    </w:tbl>
    <w:p>
      <w:pPr>
        <w:spacing w:after="160" w:before="0"/>
      </w:pPr>
    </w:p>
    <w:p>
      <w:pPr>
        <w:pStyle w:val="Heading2"/>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133</w:t>
            </w:r>
          </w:p>
        </w:tc>
        <w:tc>
          <w:tcPr>
            <w:tcW w:type="dxa" w:w="1134"/>
          </w:tcPr>
          <w:p>
            <w:pPr>
              <w:spacing w:after="40" w:before="40"/>
            </w:pPr>
            <w:r/>
            <w:r>
              <w:rPr>
                <w:b w:val="0"/>
                <w:color w:val="1F2937"/>
                <w:sz w:val="17"/>
              </w:rPr>
              <w:t>525</w:t>
            </w:r>
          </w:p>
        </w:tc>
        <w:tc>
          <w:tcPr>
            <w:tcW w:type="dxa" w:w="1134"/>
          </w:tcPr>
          <w:p>
            <w:pPr>
              <w:spacing w:after="40" w:before="40"/>
            </w:pPr>
            <w:r/>
            <w:r>
              <w:rPr>
                <w:b w:val="0"/>
                <w:color w:val="1F2937"/>
                <w:sz w:val="17"/>
              </w:rPr>
              <w:t>1,461</w:t>
            </w:r>
          </w:p>
        </w:tc>
        <w:tc>
          <w:tcPr>
            <w:tcW w:type="dxa" w:w="1134"/>
          </w:tcPr>
          <w:p>
            <w:pPr>
              <w:spacing w:after="40" w:before="40"/>
            </w:pPr>
            <w:r/>
            <w:r>
              <w:rPr>
                <w:b w:val="0"/>
                <w:color w:val="1F2937"/>
                <w:sz w:val="17"/>
              </w:rPr>
              <w:t>3,294</w:t>
            </w:r>
          </w:p>
        </w:tc>
        <w:tc>
          <w:tcPr>
            <w:tcW w:type="dxa" w:w="1134"/>
          </w:tcPr>
          <w:p>
            <w:pPr>
              <w:spacing w:after="40" w:before="40"/>
            </w:pPr>
            <w:r/>
            <w:r>
              <w:rPr>
                <w:b w:val="0"/>
                <w:color w:val="1F2937"/>
                <w:sz w:val="17"/>
              </w:rPr>
              <w:t>6,223</w:t>
            </w:r>
          </w:p>
        </w:tc>
        <w:tc>
          <w:tcPr>
            <w:tcW w:type="dxa" w:w="1134"/>
          </w:tcPr>
          <w:p>
            <w:pPr>
              <w:spacing w:after="40" w:before="40"/>
            </w:pPr>
            <w:r/>
            <w:r>
              <w:rPr>
                <w:b w:val="0"/>
                <w:color w:val="1F2937"/>
                <w:sz w:val="17"/>
              </w:rPr>
              <w:t>10,162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−76</w:t>
            </w:r>
          </w:p>
        </w:tc>
        <w:tc>
          <w:tcPr>
            <w:tcW w:type="dxa" w:w="1134"/>
          </w:tcPr>
          <w:p>
            <w:pPr>
              <w:spacing w:after="40" w:before="40"/>
            </w:pPr>
            <w:r/>
            <w:r>
              <w:rPr>
                <w:b/>
                <w:color w:val="1F2937"/>
                <w:sz w:val="17"/>
              </w:rPr>
              <w:t>−145</w:t>
            </w:r>
          </w:p>
        </w:tc>
        <w:tc>
          <w:tcPr>
            <w:tcW w:type="dxa" w:w="1134"/>
          </w:tcPr>
          <w:p>
            <w:pPr>
              <w:spacing w:after="40" w:before="40"/>
            </w:pPr>
            <w:r/>
            <w:r>
              <w:rPr>
                <w:b/>
                <w:color w:val="1F2937"/>
                <w:sz w:val="17"/>
              </w:rPr>
              <w:t>−147</w:t>
            </w:r>
          </w:p>
        </w:tc>
        <w:tc>
          <w:tcPr>
            <w:tcW w:type="dxa" w:w="1134"/>
          </w:tcPr>
          <w:p>
            <w:pPr>
              <w:spacing w:after="40" w:before="40"/>
            </w:pPr>
            <w:r/>
            <w:r>
              <w:rPr>
                <w:b/>
                <w:color w:val="1F2937"/>
                <w:sz w:val="17"/>
              </w:rPr>
              <w:t>−53</w:t>
            </w:r>
          </w:p>
        </w:tc>
        <w:tc>
          <w:tcPr>
            <w:tcW w:type="dxa" w:w="1134"/>
          </w:tcPr>
          <w:p>
            <w:pPr>
              <w:spacing w:after="40" w:before="40"/>
            </w:pPr>
            <w:r/>
            <w:r>
              <w:rPr>
                <w:b/>
                <w:color w:val="1F2937"/>
                <w:sz w:val="17"/>
              </w:rPr>
              <w:t>420</w:t>
            </w:r>
          </w:p>
        </w:tc>
        <w:tc>
          <w:tcPr>
            <w:tcW w:type="dxa" w:w="1134"/>
          </w:tcPr>
          <w:p>
            <w:pPr>
              <w:spacing w:after="40" w:before="40"/>
            </w:pPr>
            <w:r/>
            <w:r>
              <w:rPr>
                <w:b/>
                <w:color w:val="1F2937"/>
                <w:sz w:val="17"/>
              </w:rPr>
              <w:t>1,568</w:t>
            </w:r>
          </w:p>
        </w:tc>
        <w:tc>
          <w:tcPr>
            <w:tcW w:type="dxa" w:w="1134"/>
          </w:tcPr>
          <w:p>
            <w:pPr>
              <w:spacing w:after="40" w:before="40"/>
            </w:pPr>
            <w:r/>
            <w:r>
              <w:rPr>
                <w:b/>
                <w:color w:val="1F2937"/>
                <w:sz w:val="17"/>
              </w:rPr>
              <w:t>3,252</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9" name="Picture 9"/>
            <wp:cNvGraphicFramePr>
              <a:graphicFrameLocks noChangeAspect="1"/>
            </wp:cNvGraphicFramePr>
            <a:graphic>
              <a:graphicData uri="http://schemas.openxmlformats.org/drawingml/2006/picture">
                <pic:pic>
                  <pic:nvPicPr>
                    <pic:cNvPr id="0" name="g11-cogs-composition.png"/>
                    <pic:cNvPicPr/>
                  </pic:nvPicPr>
                  <pic:blipFill>
                    <a:blip r:embed="rId18"/>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9: What cost of revenue is made of. The dashed line is the infrastructure we chose not to buy.</w:t>
      </w:r>
    </w:p>
    <w:p>
      <w:pPr>
        <w:spacing w:after="140" w:line="276" w:lineRule="auto"/>
        <w:jc w:val="both"/>
      </w:pPr>
      <w:r>
        <w:rPr>
          <w:b/>
          <w:color w:val="1F2937"/>
          <w:sz w:val="20"/>
        </w:rPr>
        <w:t>Payment processing is 25% of Y7 revenue and nearly 8 times infrastructure.</w:t>
      </w:r>
      <w:r>
        <w:rPr>
          <w:b w:val="0"/>
          <w:color w:val="1F2937"/>
          <w:sz w:val="20"/>
        </w:rPr>
        <w:t xml:space="preserve"> Any optimisation effort belongs in tier pricing, annual billing and processor negotiation, not in the AWS bill.</w:t>
      </w:r>
    </w:p>
    <w:p>
      <w:pPr>
        <w:pStyle w:val="Heading2"/>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€327k</w:t>
            </w:r>
          </w:p>
        </w:tc>
        <w:tc>
          <w:tcPr>
            <w:tcW w:type="dxa" w:w="1814"/>
          </w:tcPr>
          <w:p>
            <w:pPr>
              <w:spacing w:after="40" w:before="40"/>
            </w:pPr>
            <w:r/>
            <w:r>
              <w:rPr>
                <w:b w:val="0"/>
                <w:color w:val="1F2937"/>
                <w:sz w:val="17"/>
              </w:rPr>
              <w:t>€120k</w:t>
            </w:r>
          </w:p>
        </w:tc>
        <w:tc>
          <w:tcPr>
            <w:tcW w:type="dxa" w:w="1814"/>
          </w:tcPr>
          <w:p>
            <w:pPr>
              <w:spacing w:after="40" w:before="40"/>
            </w:pPr>
            <w:r/>
            <w:r>
              <w:rPr>
                <w:b w:val="0"/>
                <w:color w:val="1F2937"/>
                <w:sz w:val="17"/>
              </w:rPr>
              <w:t>€3.08M</w:t>
            </w:r>
          </w:p>
        </w:tc>
        <w:tc>
          <w:tcPr>
            <w:tcW w:type="dxa" w:w="1814"/>
          </w:tcPr>
          <w:p>
            <w:pPr>
              <w:spacing w:after="40" w:before="40"/>
            </w:pPr>
            <w:r/>
            <w:r>
              <w:rPr>
                <w:b w:val="0"/>
                <w:color w:val="1F2937"/>
                <w:sz w:val="17"/>
              </w:rPr>
              <w:t>€16.72M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€25k</w:t>
            </w:r>
          </w:p>
        </w:tc>
        <w:tc>
          <w:tcPr>
            <w:tcW w:type="dxa" w:w="1814"/>
          </w:tcPr>
          <w:p>
            <w:pPr>
              <w:spacing w:after="40" w:before="40"/>
            </w:pPr>
            <w:r/>
            <w:r>
              <w:rPr>
                <w:b w:val="0"/>
                <w:color w:val="1F2937"/>
                <w:sz w:val="17"/>
              </w:rPr>
              <w:t>€197k</w:t>
            </w:r>
          </w:p>
        </w:tc>
        <w:tc>
          <w:tcPr>
            <w:tcW w:type="dxa" w:w="1814"/>
          </w:tcPr>
          <w:p>
            <w:pPr>
              <w:spacing w:after="40" w:before="40"/>
            </w:pPr>
            <w:r/>
            <w:r>
              <w:rPr>
                <w:b w:val="0"/>
                <w:color w:val="1F2937"/>
                <w:sz w:val="17"/>
              </w:rPr>
              <w:t>€659k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€32k</w:t>
            </w:r>
          </w:p>
        </w:tc>
        <w:tc>
          <w:tcPr>
            <w:tcW w:type="dxa" w:w="1814"/>
          </w:tcPr>
          <w:p>
            <w:pPr>
              <w:spacing w:after="40" w:before="40"/>
            </w:pPr>
            <w:r/>
            <w:r>
              <w:rPr>
                <w:b w:val="0"/>
                <w:color w:val="1F2937"/>
                <w:sz w:val="17"/>
              </w:rPr>
              <w:t>€102k</w:t>
            </w:r>
          </w:p>
        </w:tc>
        <w:tc>
          <w:tcPr>
            <w:tcW w:type="dxa" w:w="1814"/>
          </w:tcPr>
          <w:p>
            <w:pPr>
              <w:spacing w:after="40" w:before="40"/>
            </w:pPr>
            <w:r/>
            <w:r>
              <w:rPr>
                <w:b w:val="0"/>
                <w:color w:val="1F2937"/>
                <w:sz w:val="17"/>
              </w:rPr>
              <w:t>€243k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€335k</w:t>
            </w:r>
          </w:p>
        </w:tc>
        <w:tc>
          <w:tcPr>
            <w:tcW w:type="dxa" w:w="1814"/>
          </w:tcPr>
          <w:p>
            <w:pPr>
              <w:spacing w:after="40" w:before="40"/>
            </w:pPr>
            <w:r/>
            <w:r>
              <w:rPr>
                <w:b/>
                <w:color w:val="1F2937"/>
                <w:sz w:val="17"/>
              </w:rPr>
              <w:t>€177k</w:t>
            </w:r>
          </w:p>
        </w:tc>
        <w:tc>
          <w:tcPr>
            <w:tcW w:type="dxa" w:w="1814"/>
          </w:tcPr>
          <w:p>
            <w:pPr>
              <w:spacing w:after="40" w:before="40"/>
            </w:pPr>
            <w:r/>
            <w:r>
              <w:rPr>
                <w:b/>
                <w:color w:val="1F2937"/>
                <w:sz w:val="17"/>
              </w:rPr>
              <w:t>€3.38M</w:t>
            </w:r>
          </w:p>
        </w:tc>
        <w:tc>
          <w:tcPr>
            <w:tcW w:type="dxa" w:w="1814"/>
          </w:tcPr>
          <w:p>
            <w:pPr>
              <w:spacing w:after="40" w:before="40"/>
            </w:pPr>
            <w:r/>
            <w:r>
              <w:rPr>
                <w:b/>
                <w:color w:val="1F2937"/>
                <w:sz w:val="17"/>
              </w:rPr>
              <w:t>€17.63M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€7k</w:t>
            </w:r>
          </w:p>
        </w:tc>
        <w:tc>
          <w:tcPr>
            <w:tcW w:type="dxa" w:w="1814"/>
          </w:tcPr>
          <w:p>
            <w:pPr>
              <w:spacing w:after="40" w:before="40"/>
            </w:pPr>
            <w:r/>
            <w:r>
              <w:rPr>
                <w:b w:val="0"/>
                <w:color w:val="1F2937"/>
                <w:sz w:val="17"/>
              </w:rPr>
              <w:t>€40k</w:t>
            </w:r>
          </w:p>
        </w:tc>
        <w:tc>
          <w:tcPr>
            <w:tcW w:type="dxa" w:w="1814"/>
          </w:tcPr>
          <w:p>
            <w:pPr>
              <w:spacing w:after="40" w:before="40"/>
            </w:pPr>
            <w:r/>
            <w:r>
              <w:rPr>
                <w:b w:val="0"/>
                <w:color w:val="1F2937"/>
                <w:sz w:val="17"/>
              </w:rPr>
              <w:t>€146k</w:t>
            </w:r>
          </w:p>
        </w:tc>
        <w:tc>
          <w:tcPr>
            <w:tcW w:type="dxa" w:w="1814"/>
          </w:tcPr>
          <w:p>
            <w:pPr>
              <w:spacing w:after="40" w:before="40"/>
            </w:pPr>
            <w:r/>
            <w:r>
              <w:rPr>
                <w:b w:val="0"/>
                <w:color w:val="1F2937"/>
                <w:sz w:val="17"/>
              </w:rPr>
              <w:t>€304k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€15k</w:t>
            </w:r>
          </w:p>
        </w:tc>
        <w:tc>
          <w:tcPr>
            <w:tcW w:type="dxa" w:w="1814"/>
          </w:tcPr>
          <w:p>
            <w:pPr>
              <w:spacing w:after="40" w:before="40"/>
            </w:pPr>
            <w:r/>
            <w:r>
              <w:rPr>
                <w:b/>
                <w:color w:val="1F2937"/>
                <w:sz w:val="17"/>
              </w:rPr>
              <w:t>€184k</w:t>
            </w:r>
          </w:p>
        </w:tc>
        <w:tc>
          <w:tcPr>
            <w:tcW w:type="dxa" w:w="1814"/>
          </w:tcPr>
          <w:p>
            <w:pPr>
              <w:spacing w:after="40" w:before="40"/>
            </w:pPr>
            <w:r/>
            <w:r>
              <w:rPr>
                <w:b/>
                <w:color w:val="1F2937"/>
                <w:sz w:val="17"/>
              </w:rPr>
              <w:t>€1.14M</w:t>
            </w:r>
          </w:p>
        </w:tc>
        <w:tc>
          <w:tcPr>
            <w:tcW w:type="dxa" w:w="1814"/>
          </w:tcPr>
          <w:p>
            <w:pPr>
              <w:spacing w:after="40" w:before="40"/>
            </w:pPr>
            <w:r/>
            <w:r>
              <w:rPr>
                <w:b/>
                <w:color w:val="1F2937"/>
                <w:sz w:val="17"/>
              </w:rPr>
              <w:t>€3.53M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€400k</w:t>
            </w:r>
          </w:p>
        </w:tc>
        <w:tc>
          <w:tcPr>
            <w:tcW w:type="dxa" w:w="1814"/>
          </w:tcPr>
          <w:p>
            <w:pPr>
              <w:spacing w:after="40" w:before="40"/>
            </w:pPr>
            <w:r/>
            <w:r>
              <w:rPr>
                <w:b w:val="0"/>
                <w:color w:val="1F2937"/>
                <w:sz w:val="17"/>
              </w:rPr>
              <w:t>€400k</w:t>
            </w:r>
          </w:p>
        </w:tc>
        <w:tc>
          <w:tcPr>
            <w:tcW w:type="dxa" w:w="1814"/>
          </w:tcPr>
          <w:p>
            <w:pPr>
              <w:spacing w:after="40" w:before="40"/>
            </w:pPr>
            <w:r/>
            <w:r>
              <w:rPr>
                <w:b w:val="0"/>
                <w:color w:val="1F2937"/>
                <w:sz w:val="17"/>
              </w:rPr>
              <w:t>€2.40M</w:t>
            </w:r>
          </w:p>
        </w:tc>
        <w:tc>
          <w:tcPr>
            <w:tcW w:type="dxa" w:w="1814"/>
          </w:tcPr>
          <w:p>
            <w:pPr>
              <w:spacing w:after="40" w:before="40"/>
            </w:pPr>
            <w:r/>
            <w:r>
              <w:rPr>
                <w:b w:val="0"/>
                <w:color w:val="1F2937"/>
                <w:sz w:val="17"/>
              </w:rPr>
              <w:t>€10.40M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€-80k</w:t>
            </w:r>
          </w:p>
        </w:tc>
        <w:tc>
          <w:tcPr>
            <w:tcW w:type="dxa" w:w="1814"/>
          </w:tcPr>
          <w:p>
            <w:pPr>
              <w:spacing w:after="40" w:before="40"/>
            </w:pPr>
            <w:r/>
            <w:r>
              <w:rPr>
                <w:b w:val="0"/>
                <w:color w:val="1F2937"/>
                <w:sz w:val="17"/>
              </w:rPr>
              <w:t>€-406k</w:t>
            </w:r>
          </w:p>
        </w:tc>
        <w:tc>
          <w:tcPr>
            <w:tcW w:type="dxa" w:w="1814"/>
          </w:tcPr>
          <w:p>
            <w:pPr>
              <w:spacing w:after="40" w:before="40"/>
            </w:pPr>
            <w:r/>
            <w:r>
              <w:rPr>
                <w:b w:val="0"/>
                <w:color w:val="1F2937"/>
                <w:sz w:val="17"/>
              </w:rPr>
              <w:t>€-155k</w:t>
            </w:r>
          </w:p>
        </w:tc>
        <w:tc>
          <w:tcPr>
            <w:tcW w:type="dxa" w:w="1814"/>
          </w:tcPr>
          <w:p>
            <w:pPr>
              <w:spacing w:after="40" w:before="40"/>
            </w:pPr>
            <w:r/>
            <w:r>
              <w:rPr>
                <w:b w:val="0"/>
                <w:color w:val="1F2937"/>
                <w:sz w:val="17"/>
              </w:rPr>
              <w:t>€3.70M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€320k</w:t>
            </w:r>
          </w:p>
        </w:tc>
        <w:tc>
          <w:tcPr>
            <w:tcW w:type="dxa" w:w="1814"/>
          </w:tcPr>
          <w:p>
            <w:pPr>
              <w:spacing w:after="40" w:before="40"/>
            </w:pPr>
            <w:r/>
            <w:r>
              <w:rPr>
                <w:b/>
                <w:color w:val="1F2937"/>
                <w:sz w:val="17"/>
              </w:rPr>
              <w:t>€-6k</w:t>
            </w:r>
          </w:p>
        </w:tc>
        <w:tc>
          <w:tcPr>
            <w:tcW w:type="dxa" w:w="1814"/>
          </w:tcPr>
          <w:p>
            <w:pPr>
              <w:spacing w:after="40" w:before="40"/>
            </w:pPr>
            <w:r/>
            <w:r>
              <w:rPr>
                <w:b/>
                <w:color w:val="1F2937"/>
                <w:sz w:val="17"/>
              </w:rPr>
              <w:t>€2.24M</w:t>
            </w:r>
          </w:p>
        </w:tc>
        <w:tc>
          <w:tcPr>
            <w:tcW w:type="dxa" w:w="1814"/>
          </w:tcPr>
          <w:p>
            <w:pPr>
              <w:spacing w:after="40" w:before="40"/>
            </w:pPr>
            <w:r/>
            <w:r>
              <w:rPr>
                <w:b/>
                <w:color w:val="1F2937"/>
                <w:sz w:val="17"/>
              </w:rPr>
              <w:t>€14.10M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30% of people cost, amortised over three years,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pStyle w:val="Heading2"/>
        <w:keepNext/>
        <w:spacing w:before="320" w:after="100"/>
      </w:pPr>
      <w:r>
        <w:rPr>
          <w:b/>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indirect method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Net profit</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−€265k</w:t>
            </w:r>
          </w:p>
        </w:tc>
        <w:tc>
          <w:tcPr>
            <w:tcW w:type="dxa" w:w="1814"/>
          </w:tcPr>
          <w:p>
            <w:pPr>
              <w:spacing w:after="40" w:before="40"/>
            </w:pPr>
            <w:r/>
            <w:r>
              <w:rPr>
                <w:b w:val="0"/>
                <w:color w:val="1F2937"/>
                <w:sz w:val="17"/>
              </w:rPr>
              <w:t>€153k</w:t>
            </w:r>
          </w:p>
        </w:tc>
        <w:tc>
          <w:tcPr>
            <w:tcW w:type="dxa" w:w="1814"/>
          </w:tcPr>
          <w:p>
            <w:pPr>
              <w:spacing w:after="40" w:before="40"/>
            </w:pPr>
            <w:r/>
            <w:r>
              <w:rPr>
                <w:b w:val="0"/>
                <w:color w:val="1F2937"/>
                <w:sz w:val="17"/>
              </w:rPr>
              <w:t>€2.38M</w:t>
            </w:r>
          </w:p>
        </w:tc>
      </w:tr>
      <w:tr>
        <w:tc>
          <w:tcPr>
            <w:tcW w:type="dxa" w:w="1814"/>
          </w:tcPr>
          <w:p>
            <w:pPr>
              <w:spacing w:after="40" w:before="40"/>
            </w:pPr>
            <w:r/>
            <w:r>
              <w:rPr>
                <w:b w:val="0"/>
                <w:color w:val="1F2937"/>
                <w:sz w:val="17"/>
              </w:rPr>
              <w:t>Add back amortisation</w:t>
            </w:r>
          </w:p>
        </w:tc>
        <w:tc>
          <w:tcPr>
            <w:tcW w:type="dxa" w:w="1814"/>
          </w:tcPr>
          <w:p>
            <w:pPr>
              <w:spacing w:after="40" w:before="40"/>
            </w:pPr>
            <w:r/>
            <w:r>
              <w:rPr>
                <w:b w:val="0"/>
                <w:color w:val="1F2937"/>
                <w:sz w:val="17"/>
              </w:rPr>
              <w:t>€6k</w:t>
            </w:r>
          </w:p>
        </w:tc>
        <w:tc>
          <w:tcPr>
            <w:tcW w:type="dxa" w:w="1814"/>
          </w:tcPr>
          <w:p>
            <w:pPr>
              <w:spacing w:after="40" w:before="40"/>
            </w:pPr>
            <w:r/>
            <w:r>
              <w:rPr>
                <w:b w:val="0"/>
                <w:color w:val="1F2937"/>
                <w:sz w:val="17"/>
              </w:rPr>
              <w:t>€37k</w:t>
            </w:r>
          </w:p>
        </w:tc>
        <w:tc>
          <w:tcPr>
            <w:tcW w:type="dxa" w:w="1814"/>
          </w:tcPr>
          <w:p>
            <w:pPr>
              <w:spacing w:after="40" w:before="40"/>
            </w:pPr>
            <w:r/>
            <w:r>
              <w:rPr>
                <w:b w:val="0"/>
                <w:color w:val="1F2937"/>
                <w:sz w:val="17"/>
              </w:rPr>
              <w:t>€125k</w:t>
            </w:r>
          </w:p>
        </w:tc>
        <w:tc>
          <w:tcPr>
            <w:tcW w:type="dxa" w:w="1814"/>
          </w:tcPr>
          <w:p>
            <w:pPr>
              <w:spacing w:after="40" w:before="40"/>
            </w:pPr>
            <w:r/>
            <w:r>
              <w:rPr>
                <w:b w:val="0"/>
                <w:color w:val="1F2937"/>
                <w:sz w:val="17"/>
              </w:rPr>
              <w:t>€322k</w:t>
            </w:r>
          </w:p>
        </w:tc>
      </w:tr>
      <w:tr>
        <w:tc>
          <w:tcPr>
            <w:tcW w:type="dxa" w:w="1814"/>
          </w:tcPr>
          <w:p>
            <w:pPr>
              <w:spacing w:after="40" w:before="40"/>
            </w:pPr>
            <w:r/>
            <w:r>
              <w:rPr>
                <w:b w:val="0"/>
                <w:color w:val="1F2937"/>
                <w:sz w:val="17"/>
              </w:rPr>
              <w:t>Change in working capital</w:t>
            </w:r>
          </w:p>
        </w:tc>
        <w:tc>
          <w:tcPr>
            <w:tcW w:type="dxa" w:w="1814"/>
          </w:tcPr>
          <w:p>
            <w:pPr>
              <w:spacing w:after="40" w:before="40"/>
            </w:pPr>
            <w:r/>
            <w:r>
              <w:rPr>
                <w:b w:val="0"/>
                <w:color w:val="1F2937"/>
                <w:sz w:val="17"/>
              </w:rPr>
              <w:t>€16k</w:t>
            </w:r>
          </w:p>
        </w:tc>
        <w:tc>
          <w:tcPr>
            <w:tcW w:type="dxa" w:w="1814"/>
          </w:tcPr>
          <w:p>
            <w:pPr>
              <w:spacing w:after="40" w:before="40"/>
            </w:pPr>
            <w:r/>
            <w:r>
              <w:rPr>
                <w:b w:val="0"/>
                <w:color w:val="1F2937"/>
                <w:sz w:val="17"/>
              </w:rPr>
              <w:t>€110k</w:t>
            </w:r>
          </w:p>
        </w:tc>
        <w:tc>
          <w:tcPr>
            <w:tcW w:type="dxa" w:w="1814"/>
          </w:tcPr>
          <w:p>
            <w:pPr>
              <w:spacing w:after="40" w:before="40"/>
            </w:pPr>
            <w:r/>
            <w:r>
              <w:rPr>
                <w:b w:val="0"/>
                <w:color w:val="1F2937"/>
                <w:sz w:val="17"/>
              </w:rPr>
              <w:t>€516k</w:t>
            </w:r>
          </w:p>
        </w:tc>
        <w:tc>
          <w:tcPr>
            <w:tcW w:type="dxa" w:w="1814"/>
          </w:tcPr>
          <w:p>
            <w:pPr>
              <w:spacing w:after="40" w:before="40"/>
            </w:pPr>
            <w:r/>
            <w:r>
              <w:rPr>
                <w:b w:val="0"/>
                <w:color w:val="1F2937"/>
                <w:sz w:val="17"/>
              </w:rPr>
              <w:t>€1.09M</w:t>
            </w:r>
          </w:p>
        </w:tc>
      </w:tr>
      <w:tr>
        <w:tc>
          <w:tcPr>
            <w:tcW w:type="dxa" w:w="1814"/>
          </w:tcPr>
          <w:p>
            <w:pPr>
              <w:spacing w:after="40" w:before="40"/>
            </w:pPr>
            <w:r/>
            <w:r>
              <w:rPr>
                <w:b/>
                <w:color w:val="1F2937"/>
                <w:sz w:val="17"/>
              </w:rPr>
              <w:t>Operating Cash Flow</w:t>
            </w:r>
          </w:p>
        </w:tc>
        <w:tc>
          <w:tcPr>
            <w:tcW w:type="dxa" w:w="1814"/>
          </w:tcPr>
          <w:p>
            <w:pPr>
              <w:spacing w:after="40" w:before="40"/>
            </w:pPr>
            <w:r/>
            <w:r>
              <w:rPr>
                <w:b/>
                <w:color w:val="1F2937"/>
                <w:sz w:val="17"/>
              </w:rPr>
              <w:t>−€79k</w:t>
            </w:r>
          </w:p>
        </w:tc>
        <w:tc>
          <w:tcPr>
            <w:tcW w:type="dxa" w:w="1814"/>
          </w:tcPr>
          <w:p>
            <w:pPr>
              <w:spacing w:after="40" w:before="40"/>
            </w:pPr>
            <w:r/>
            <w:r>
              <w:rPr>
                <w:b/>
                <w:color w:val="1F2937"/>
                <w:sz w:val="17"/>
              </w:rPr>
              <w:t>−€118k</w:t>
            </w:r>
          </w:p>
        </w:tc>
        <w:tc>
          <w:tcPr>
            <w:tcW w:type="dxa" w:w="1814"/>
          </w:tcPr>
          <w:p>
            <w:pPr>
              <w:spacing w:after="40" w:before="40"/>
            </w:pPr>
            <w:r/>
            <w:r>
              <w:rPr>
                <w:b/>
                <w:color w:val="1F2937"/>
                <w:sz w:val="17"/>
              </w:rPr>
              <w:t>€794k</w:t>
            </w:r>
          </w:p>
        </w:tc>
        <w:tc>
          <w:tcPr>
            <w:tcW w:type="dxa" w:w="1814"/>
          </w:tcPr>
          <w:p>
            <w:pPr>
              <w:spacing w:after="40" w:before="40"/>
            </w:pPr>
            <w:r/>
            <w:r>
              <w:rPr>
                <w:b/>
                <w:color w:val="1F2937"/>
                <w:sz w:val="17"/>
              </w:rPr>
              <w:t>€3.90M</w:t>
            </w:r>
          </w:p>
        </w:tc>
      </w:tr>
      <w:tr>
        <w:tc>
          <w:tcPr>
            <w:tcW w:type="dxa" w:w="1814"/>
          </w:tcPr>
          <w:p>
            <w:pPr>
              <w:spacing w:after="40" w:before="40"/>
            </w:pPr>
            <w:r/>
            <w:r>
              <w:rPr>
                <w:b w:val="0"/>
                <w:color w:val="1F2937"/>
                <w:sz w:val="17"/>
              </w:rPr>
              <w:t>Capital expenditure</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−€63k</w:t>
            </w:r>
          </w:p>
        </w:tc>
        <w:tc>
          <w:tcPr>
            <w:tcW w:type="dxa" w:w="1814"/>
          </w:tcPr>
          <w:p>
            <w:pPr>
              <w:spacing w:after="40" w:before="40"/>
            </w:pPr>
            <w:r/>
            <w:r>
              <w:rPr>
                <w:b w:val="0"/>
                <w:color w:val="1F2937"/>
                <w:sz w:val="17"/>
              </w:rPr>
              <w:t>−€198k</w:t>
            </w:r>
          </w:p>
        </w:tc>
        <w:tc>
          <w:tcPr>
            <w:tcW w:type="dxa" w:w="1814"/>
          </w:tcPr>
          <w:p>
            <w:pPr>
              <w:spacing w:after="40" w:before="40"/>
            </w:pPr>
            <w:r/>
            <w:r>
              <w:rPr>
                <w:b w:val="0"/>
                <w:color w:val="1F2937"/>
                <w:sz w:val="17"/>
              </w:rPr>
              <w:t>−€273k</w:t>
            </w:r>
          </w:p>
        </w:tc>
      </w:tr>
      <w:tr>
        <w:tc>
          <w:tcPr>
            <w:tcW w:type="dxa" w:w="1814"/>
          </w:tcPr>
          <w:p>
            <w:pPr>
              <w:spacing w:after="40" w:before="40"/>
            </w:pPr>
            <w:r/>
            <w:r>
              <w:rPr>
                <w:b/>
                <w:color w:val="1F2937"/>
                <w:sz w:val="17"/>
              </w:rPr>
              <w:t>Free Cash Flow</w:t>
            </w:r>
          </w:p>
        </w:tc>
        <w:tc>
          <w:tcPr>
            <w:tcW w:type="dxa" w:w="1814"/>
          </w:tcPr>
          <w:p>
            <w:pPr>
              <w:spacing w:after="40" w:before="40"/>
            </w:pPr>
            <w:r/>
            <w:r>
              <w:rPr>
                <w:b/>
                <w:color w:val="1F2937"/>
                <w:sz w:val="17"/>
              </w:rPr>
              <w:t>−€96k</w:t>
            </w:r>
          </w:p>
        </w:tc>
        <w:tc>
          <w:tcPr>
            <w:tcW w:type="dxa" w:w="1814"/>
          </w:tcPr>
          <w:p>
            <w:pPr>
              <w:spacing w:after="40" w:before="40"/>
            </w:pPr>
            <w:r/>
            <w:r>
              <w:rPr>
                <w:b/>
                <w:color w:val="1F2937"/>
                <w:sz w:val="17"/>
              </w:rPr>
              <w:t>−€181k</w:t>
            </w:r>
          </w:p>
        </w:tc>
        <w:tc>
          <w:tcPr>
            <w:tcW w:type="dxa" w:w="1814"/>
          </w:tcPr>
          <w:p>
            <w:pPr>
              <w:spacing w:after="40" w:before="40"/>
            </w:pPr>
            <w:r/>
            <w:r>
              <w:rPr>
                <w:b/>
                <w:color w:val="1F2937"/>
                <w:sz w:val="17"/>
              </w:rPr>
              <w:t>€596k</w:t>
            </w:r>
          </w:p>
        </w:tc>
        <w:tc>
          <w:tcPr>
            <w:tcW w:type="dxa" w:w="1814"/>
          </w:tcPr>
          <w:p>
            <w:pPr>
              <w:spacing w:after="40" w:before="40"/>
            </w:pPr>
            <w:r/>
            <w:r>
              <w:rPr>
                <w:b/>
                <w:color w:val="1F2937"/>
                <w:sz w:val="17"/>
              </w:rPr>
              <w:t>€3.62M</w:t>
            </w:r>
          </w:p>
        </w:tc>
      </w:tr>
      <w:tr>
        <w:tc>
          <w:tcPr>
            <w:tcW w:type="dxa" w:w="1814"/>
          </w:tcPr>
          <w:p>
            <w:pPr>
              <w:spacing w:after="40" w:before="40"/>
            </w:pPr>
            <w:r/>
            <w:r>
              <w:rPr>
                <w:b w:val="0"/>
                <w:color w:val="1F2937"/>
                <w:sz w:val="17"/>
              </w:rPr>
              <w:t>Equity raised</w:t>
            </w:r>
          </w:p>
        </w:tc>
        <w:tc>
          <w:tcPr>
            <w:tcW w:type="dxa" w:w="1814"/>
          </w:tcPr>
          <w:p>
            <w:pPr>
              <w:spacing w:after="40" w:before="40"/>
            </w:pPr>
            <w:r/>
            <w:r>
              <w:rPr>
                <w:b w:val="0"/>
                <w:color w:val="1F2937"/>
                <w:sz w:val="17"/>
              </w:rPr>
              <w:t>€400k</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r>
      <w:tr>
        <w:tc>
          <w:tcPr>
            <w:tcW w:type="dxa" w:w="1814"/>
          </w:tcPr>
          <w:p>
            <w:pPr>
              <w:spacing w:after="40" w:before="40"/>
            </w:pPr>
            <w:r/>
            <w:r>
              <w:rPr>
                <w:b/>
                <w:color w:val="1F2937"/>
                <w:sz w:val="17"/>
              </w:rPr>
              <w:t>Closing Cash</w:t>
            </w:r>
          </w:p>
        </w:tc>
        <w:tc>
          <w:tcPr>
            <w:tcW w:type="dxa" w:w="1814"/>
          </w:tcPr>
          <w:p>
            <w:pPr>
              <w:spacing w:after="40" w:before="40"/>
            </w:pPr>
            <w:r/>
            <w:r>
              <w:rPr>
                <w:b/>
                <w:color w:val="1F2937"/>
                <w:sz w:val="17"/>
              </w:rPr>
              <w:t>€504k</w:t>
            </w:r>
          </w:p>
        </w:tc>
        <w:tc>
          <w:tcPr>
            <w:tcW w:type="dxa" w:w="1814"/>
          </w:tcPr>
          <w:p>
            <w:pPr>
              <w:spacing w:after="40" w:before="40"/>
            </w:pPr>
            <w:r/>
            <w:r>
              <w:rPr>
                <w:b/>
                <w:color w:val="1F2937"/>
                <w:sz w:val="17"/>
              </w:rPr>
              <w:t>€161k</w:t>
            </w:r>
          </w:p>
        </w:tc>
        <w:tc>
          <w:tcPr>
            <w:tcW w:type="dxa" w:w="1814"/>
          </w:tcPr>
          <w:p>
            <w:pPr>
              <w:spacing w:after="40" w:before="40"/>
            </w:pPr>
            <w:r/>
            <w:r>
              <w:rPr>
                <w:b/>
                <w:color w:val="1F2937"/>
                <w:sz w:val="17"/>
              </w:rPr>
              <w:t>€2.73M</w:t>
            </w:r>
          </w:p>
        </w:tc>
        <w:tc>
          <w:tcPr>
            <w:tcW w:type="dxa" w:w="1814"/>
          </w:tcPr>
          <w:p>
            <w:pPr>
              <w:spacing w:after="40" w:before="40"/>
            </w:pPr>
            <w:r/>
            <w:r>
              <w:rPr>
                <w:b/>
                <w:color w:val="1F2937"/>
                <w:sz w:val="17"/>
              </w:rPr>
              <w:t>€15.93M</w:t>
            </w:r>
          </w:p>
        </w:tc>
      </w:tr>
    </w:tbl>
    <w:p>
      <w:pPr>
        <w:spacing w:after="160" w:before="0"/>
      </w:pPr>
    </w:p>
    <w:p>
      <w:pPr>
        <w:spacing w:after="140" w:line="276" w:lineRule="auto"/>
        <w:jc w:val="both"/>
      </w:pPr>
      <w:r>
        <w:rPr>
          <w:b w:val="0"/>
          <w:color w:val="1F2937"/>
          <w:sz w:val="20"/>
        </w:rPr>
        <w:t xml:space="preserve">Free cash flow turns positive in </w:t>
      </w:r>
      <w:r>
        <w:rPr>
          <w:b/>
          <w:color w:val="1F2937"/>
          <w:sz w:val="20"/>
        </w:rPr>
        <w:t>Y5</w:t>
      </w:r>
      <w:r>
        <w:rPr>
          <w:b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pPr>
        <w:pStyle w:val="Heading2"/>
        <w:keepNext/>
        <w:spacing w:before="320" w:after="100"/>
      </w:pPr>
      <w:r>
        <w:rPr>
          <w:b/>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10" name="Picture 10"/>
            <wp:cNvGraphicFramePr>
              <a:graphicFrameLocks noChangeAspect="1"/>
            </wp:cNvGraphicFramePr>
            <a:graphic>
              <a:graphicData uri="http://schemas.openxmlformats.org/drawingml/2006/picture">
                <pic:pic>
                  <pic:nvPicPr>
                    <pic:cNvPr id="0" name="g8-cash-and-capital.png"/>
                    <pic:cNvPicPr/>
                  </pic:nvPicPr>
                  <pic:blipFill>
                    <a:blip r:embed="rId19"/>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10: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€280k, in Y3</w:t>
      </w:r>
      <w:r>
        <w:rPr>
          <w:b w:val="0"/>
          <w:color w:val="1F2937"/>
          <w:sz w:val="20"/>
        </w:rPr>
        <w:t>. The two tranches together are €400k, which covers that with €120k to spare, and free cash flow turns positive in Y5. Neither tranche is sized to the trough on its own: the first covers Y1's €73k, and the second arrives in Y2, before the trough does.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€400k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€280k trough on its own. The </w:t>
      </w:r>
      <w:r>
        <w:rPr>
          <w:b w:val="0"/>
          <w:i/>
          <w:color w:val="1F2937"/>
          <w:sz w:val="20"/>
        </w:rPr>
        <w:t>Ley de Startups</w:t>
      </w:r>
      <w:r>
        <w:rPr>
          <w:b w:val="0"/>
          <w:color w:val="1F2937"/>
          <w:sz w:val="20"/>
        </w:rPr>
        <w:t xml:space="preserve"> 15% rate is already in the model and is worth €1.67M across Y6–Y9.</w:t>
      </w:r>
    </w:p>
    <w:p>
      <w:pPr>
        <w:spacing w:after="140" w:line="276" w:lineRule="auto"/>
        <w:jc w:val="both"/>
      </w:pPr>
      <w:r>
        <w:rPr>
          <w:b/>
          <w:color w:val="1F2937"/>
          <w:sz w:val="20"/>
        </w:rPr>
        <w:t>Dilution.</w:t>
      </w:r>
      <w:r>
        <w:rPr>
          <w:b w:val="0"/>
          <w:color w:val="1F2937"/>
          <w:sz w:val="20"/>
        </w:rPr>
        <w:t xml:space="preserve"> The founder holds 84% after the pre-seed and 2% advisory grant, 66% after the seed, 55% after the Series A, and </w:t>
      </w:r>
      <w:r>
        <w:rPr>
          <w:b/>
          <w:color w:val="1F2937"/>
          <w:sz w:val="20"/>
        </w:rPr>
        <w:t>~49%</w:t>
      </w:r>
      <w:r>
        <w:rPr>
          <w:b w:val="0"/>
          <w:color w:val="1F2937"/>
          <w:sz w:val="20"/>
        </w:rPr>
        <w:t xml:space="preserve"> after the 10% ESOP.</w:t>
      </w:r>
    </w:p>
    <w:p>
      <w:pPr>
        <w:pStyle w:val="Heading2"/>
        <w:keepNext/>
        <w:spacing w:before="320" w:after="100"/>
      </w:pPr>
      <w:r>
        <w:rPr>
          <w:b/>
          <w:color w:val="1F2937"/>
          <w:sz w:val="25"/>
        </w:rPr>
        <w:t>7.6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p>
      <w:pPr>
        <w:spacing w:after="140" w:line="276" w:lineRule="auto"/>
        <w:jc w:val="both"/>
      </w:pPr>
      <w:r>
        <w:rPr>
          <w:b w:val="0"/>
          <w:color w:val="1F2937"/>
          <w:sz w:val="20"/>
        </w:rP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Scenario</w:t>
            </w:r>
          </w:p>
        </w:tc>
        <w:tc>
          <w:tcPr>
            <w:tcW w:type="dxa" w:w="1512"/>
            <w:shd w:val="clear" w:fill="EFF1F3"/>
          </w:tcPr>
          <w:p>
            <w:pPr>
              <w:spacing w:after="40" w:before="40"/>
            </w:pPr>
            <w:r/>
            <w:r>
              <w:rPr>
                <w:b/>
                <w:color w:val="1F2937"/>
                <w:sz w:val="17"/>
              </w:rPr>
              <w:t>Change vs base</w:t>
            </w:r>
          </w:p>
        </w:tc>
        <w:tc>
          <w:tcPr>
            <w:tcW w:type="dxa" w:w="1512"/>
            <w:shd w:val="clear" w:fill="EFF1F3"/>
          </w:tcPr>
          <w:p>
            <w:pPr>
              <w:spacing w:after="40" w:before="40"/>
            </w:pPr>
            <w:r/>
            <w:r>
              <w:rPr>
                <w:b/>
                <w:color w:val="1F2937"/>
                <w:sz w:val="17"/>
              </w:rPr>
              <w:t>Y7 revenue</w:t>
            </w:r>
          </w:p>
        </w:tc>
        <w:tc>
          <w:tcPr>
            <w:tcW w:type="dxa" w:w="1512"/>
            <w:shd w:val="clear" w:fill="EFF1F3"/>
          </w:tcPr>
          <w:p>
            <w:pPr>
              <w:spacing w:after="40" w:before="40"/>
            </w:pPr>
            <w:r/>
            <w:r>
              <w:rPr>
                <w:b/>
                <w:color w:val="1F2937"/>
                <w:sz w:val="17"/>
              </w:rPr>
              <w:t>Y7 EBITDA</w:t>
            </w:r>
          </w:p>
        </w:tc>
        <w:tc>
          <w:tcPr>
            <w:tcW w:type="dxa" w:w="1512"/>
            <w:shd w:val="clear" w:fill="EFF1F3"/>
          </w:tcPr>
          <w:p>
            <w:pPr>
              <w:spacing w:after="40" w:before="40"/>
            </w:pPr>
            <w:r/>
            <w:r>
              <w:rPr>
                <w:b/>
                <w:color w:val="1F2937"/>
                <w:sz w:val="17"/>
              </w:rPr>
              <w:t>Cash trough</w:t>
            </w:r>
          </w:p>
        </w:tc>
        <w:tc>
          <w:tcPr>
            <w:tcW w:type="dxa" w:w="1512"/>
            <w:shd w:val="clear" w:fill="EFF1F3"/>
          </w:tcPr>
          <w:p>
            <w:pPr>
              <w:spacing w:after="40" w:before="40"/>
            </w:pPr>
            <w:r/>
            <w:r>
              <w:rPr>
                <w:b/>
                <w:color w:val="1F2937"/>
                <w:sz w:val="17"/>
              </w:rPr>
              <w:t>Capital need</w:t>
            </w:r>
          </w:p>
        </w:tc>
      </w:tr>
      <w:tr>
        <w:tc>
          <w:tcPr>
            <w:tcW w:type="dxa" w:w="1512"/>
          </w:tcPr>
          <w:p>
            <w:pPr>
              <w:spacing w:after="40" w:before="40"/>
            </w:pPr>
            <w:r/>
            <w:r>
              <w:rPr>
                <w:b/>
                <w:color w:val="1F2937"/>
                <w:sz w:val="17"/>
              </w:rPr>
              <w:t>Pessimistic</w:t>
            </w:r>
          </w:p>
        </w:tc>
        <w:tc>
          <w:tcPr>
            <w:tcW w:type="dxa" w:w="1512"/>
          </w:tcPr>
          <w:p>
            <w:pPr>
              <w:spacing w:after="40" w:before="40"/>
            </w:pPr>
            <w:r/>
            <w:r>
              <w:rPr>
                <w:b w:val="0"/>
                <w:color w:val="1F2937"/>
                <w:sz w:val="17"/>
              </w:rPr>
              <w:t xml:space="preserve">Fans/athlete −30%, monetise −25%, </w:t>
            </w:r>
            <w:r>
              <w:rPr>
                <w:b/>
                <w:color w:val="1F2937"/>
                <w:sz w:val="17"/>
              </w:rPr>
              <w:t>niche churn at benchmark</w:t>
            </w:r>
          </w:p>
        </w:tc>
        <w:tc>
          <w:tcPr>
            <w:tcW w:type="dxa" w:w="1512"/>
          </w:tcPr>
          <w:p>
            <w:pPr>
              <w:spacing w:after="40" w:before="40"/>
            </w:pPr>
            <w:r/>
            <w:r>
              <w:rPr>
                <w:b w:val="0"/>
                <w:color w:val="1F2937"/>
                <w:sz w:val="17"/>
              </w:rPr>
              <w:t>€7.91M</w:t>
            </w:r>
          </w:p>
        </w:tc>
        <w:tc>
          <w:tcPr>
            <w:tcW w:type="dxa" w:w="1512"/>
          </w:tcPr>
          <w:p>
            <w:pPr>
              <w:spacing w:after="40" w:before="40"/>
            </w:pPr>
            <w:r/>
            <w:r>
              <w:rPr>
                <w:b w:val="0"/>
                <w:color w:val="1F2937"/>
                <w:sz w:val="17"/>
              </w:rPr>
              <w:t>€2.10M</w:t>
            </w:r>
          </w:p>
        </w:tc>
        <w:tc>
          <w:tcPr>
            <w:tcW w:type="dxa" w:w="1512"/>
          </w:tcPr>
          <w:p>
            <w:pPr>
              <w:spacing w:after="40" w:before="40"/>
            </w:pPr>
            <w:r/>
            <w:r>
              <w:rPr>
                <w:b w:val="0"/>
                <w:color w:val="1F2937"/>
                <w:sz w:val="17"/>
              </w:rPr>
              <w:t>€538k</w:t>
            </w:r>
          </w:p>
        </w:tc>
        <w:tc>
          <w:tcPr>
            <w:tcW w:type="dxa" w:w="1512"/>
          </w:tcPr>
          <w:p>
            <w:pPr>
              <w:spacing w:after="40" w:before="40"/>
            </w:pPr>
            <w:r/>
            <w:r>
              <w:rPr>
                <w:b w:val="0"/>
                <w:color w:val="1F2937"/>
                <w:sz w:val="17"/>
              </w:rPr>
              <w:t>€0.75M</w:t>
            </w:r>
          </w:p>
        </w:tc>
      </w:tr>
      <w:tr>
        <w:tc>
          <w:tcPr>
            <w:tcW w:type="dxa" w:w="1512"/>
          </w:tcPr>
          <w:p>
            <w:pPr>
              <w:spacing w:after="40" w:before="40"/>
            </w:pPr>
            <w:r/>
            <w:r>
              <w:rPr>
                <w:b/>
                <w:color w:val="1F2937"/>
                <w:sz w:val="17"/>
              </w:rPr>
              <w:t>Base</w:t>
            </w:r>
          </w:p>
        </w:tc>
        <w:tc>
          <w:tcPr>
            <w:tcW w:type="dxa" w:w="1512"/>
          </w:tcPr>
          <w:p>
            <w:pPr>
              <w:spacing w:after="40" w:before="40"/>
            </w:pPr>
            <w:r/>
            <w:r>
              <w:rPr>
                <w:b w:val="0"/>
                <w:color w:val="1F2937"/>
                <w:sz w:val="17"/>
              </w:rPr>
              <w:t>As modelled</w:t>
            </w:r>
          </w:p>
        </w:tc>
        <w:tc>
          <w:tcPr>
            <w:tcW w:type="dxa" w:w="1512"/>
          </w:tcPr>
          <w:p>
            <w:pPr>
              <w:spacing w:after="40" w:before="40"/>
            </w:pPr>
            <w:r/>
            <w:r>
              <w:rPr>
                <w:b w:val="0"/>
                <w:color w:val="1F2937"/>
                <w:sz w:val="17"/>
              </w:rPr>
              <w:t>€10.16M</w:t>
            </w:r>
          </w:p>
        </w:tc>
        <w:tc>
          <w:tcPr>
            <w:tcW w:type="dxa" w:w="1512"/>
          </w:tcPr>
          <w:p>
            <w:pPr>
              <w:spacing w:after="40" w:before="40"/>
            </w:pPr>
            <w:r/>
            <w:r>
              <w:rPr>
                <w:b w:val="0"/>
                <w:color w:val="1F2937"/>
                <w:sz w:val="17"/>
              </w:rPr>
              <w:t>€3.25M</w:t>
            </w:r>
          </w:p>
        </w:tc>
        <w:tc>
          <w:tcPr>
            <w:tcW w:type="dxa" w:w="1512"/>
          </w:tcPr>
          <w:p>
            <w:pPr>
              <w:spacing w:after="40" w:before="40"/>
            </w:pPr>
            <w:r/>
            <w:r>
              <w:rPr>
                <w:b w:val="0"/>
                <w:color w:val="1F2937"/>
                <w:sz w:val="17"/>
              </w:rPr>
              <w:t>€280k</w:t>
            </w:r>
          </w:p>
        </w:tc>
        <w:tc>
          <w:tcPr>
            <w:tcW w:type="dxa" w:w="1512"/>
          </w:tcPr>
          <w:p>
            <w:pPr>
              <w:spacing w:after="40" w:before="40"/>
            </w:pPr>
            <w:r/>
            <w:r>
              <w:rPr>
                <w:b w:val="0"/>
                <w:color w:val="1F2937"/>
                <w:sz w:val="17"/>
              </w:rPr>
              <w:t>€392k</w:t>
            </w:r>
          </w:p>
        </w:tc>
      </w:tr>
      <w:tr>
        <w:tc>
          <w:tcPr>
            <w:tcW w:type="dxa" w:w="1512"/>
          </w:tcPr>
          <w:p>
            <w:pPr>
              <w:spacing w:after="40" w:before="40"/>
            </w:pPr>
            <w:r/>
            <w:r>
              <w:rPr>
                <w:b/>
                <w:color w:val="1F2937"/>
                <w:sz w:val="17"/>
              </w:rPr>
              <w:t>Optimistic</w:t>
            </w:r>
          </w:p>
        </w:tc>
        <w:tc>
          <w:tcPr>
            <w:tcW w:type="dxa" w:w="1512"/>
          </w:tcPr>
          <w:p>
            <w:pPr>
              <w:spacing w:after="40" w:before="40"/>
            </w:pPr>
            <w:r/>
            <w:r>
              <w:rPr>
                <w:b w:val="0"/>
                <w:color w:val="1F2937"/>
                <w:sz w:val="17"/>
              </w:rPr>
              <w:t>Fans/athlete +25%, monetise +20%</w:t>
            </w:r>
          </w:p>
        </w:tc>
        <w:tc>
          <w:tcPr>
            <w:tcW w:type="dxa" w:w="1512"/>
          </w:tcPr>
          <w:p>
            <w:pPr>
              <w:spacing w:after="40" w:before="40"/>
            </w:pPr>
            <w:r/>
            <w:r>
              <w:rPr>
                <w:b w:val="0"/>
                <w:color w:val="1F2937"/>
                <w:sz w:val="17"/>
              </w:rPr>
              <w:t>€12.05M</w:t>
            </w:r>
          </w:p>
        </w:tc>
        <w:tc>
          <w:tcPr>
            <w:tcW w:type="dxa" w:w="1512"/>
          </w:tcPr>
          <w:p>
            <w:pPr>
              <w:spacing w:after="40" w:before="40"/>
            </w:pPr>
            <w:r/>
            <w:r>
              <w:rPr>
                <w:b w:val="0"/>
                <w:color w:val="1F2937"/>
                <w:sz w:val="17"/>
              </w:rPr>
              <w:t>€4.21M</w:t>
            </w:r>
          </w:p>
        </w:tc>
        <w:tc>
          <w:tcPr>
            <w:tcW w:type="dxa" w:w="1512"/>
          </w:tcPr>
          <w:p>
            <w:pPr>
              <w:spacing w:after="40" w:before="40"/>
            </w:pPr>
            <w:r/>
            <w:r>
              <w:rPr>
                <w:b w:val="0"/>
                <w:color w:val="1F2937"/>
                <w:sz w:val="17"/>
              </w:rPr>
              <w:t>€187k</w:t>
            </w:r>
          </w:p>
        </w:tc>
        <w:tc>
          <w:tcPr>
            <w:tcW w:type="dxa" w:w="1512"/>
          </w:tcPr>
          <w:p>
            <w:pPr>
              <w:spacing w:after="40" w:before="40"/>
            </w:pPr>
            <w:r/>
            <w:r>
              <w:rPr>
                <w:b w:val="0"/>
                <w:color w:val="1F2937"/>
                <w:sz w:val="17"/>
              </w:rPr>
              <w:t>€262k</w:t>
            </w:r>
          </w:p>
        </w:tc>
      </w:tr>
    </w:tbl>
    <w:p>
      <w:pPr>
        <w:spacing w:after="160" w:before="0"/>
      </w:pPr>
    </w:p>
    <w:p>
      <w:pPr>
        <w:spacing w:after="140" w:line="276" w:lineRule="auto"/>
        <w:jc w:val="both"/>
      </w:pPr>
      <w:r>
        <w:rPr>
          <w:b/>
          <w:color w:val="1F2937"/>
          <w:sz w:val="20"/>
        </w:rPr>
        <w:t>The downside is survivable and the upside is unspectacular, which is the honest shape of this business.</w:t>
      </w:r>
      <w:r>
        <w:rPr>
          <w:b w:val="0"/>
          <w:color w:val="1F2937"/>
          <w:sz w:val="20"/>
        </w:rP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pPr>
        <w:spacing w:after="140" w:line="276" w:lineRule="auto"/>
        <w:jc w:val="both"/>
      </w:pPr>
      <w:r>
        <w:rPr>
          <w:b w:val="0"/>
          <w:color w:val="1F2937"/>
          <w:sz w:val="20"/>
        </w:rP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pPr>
        <w:keepNext/>
        <w:spacing w:before="160" w:after="20"/>
        <w:ind w:left="227"/>
        <w:shd w:val="clear" w:fill="F6F7F9"/>
        <w:pBdr>
          <w:left w:val="single" w:sz="18" w:space="8" w:color="D97706"/>
        </w:pBdr>
      </w:pPr>
      <w:r>
        <w:rPr>
          <w:b/>
          <w:color w:val="D97706"/>
          <w:sz w:val="19"/>
        </w:rPr>
        <w:t>The pessimistic case now carries the risk the model used to hide</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and that assumption is the single largest source of value in it. </w:t>
      </w:r>
      <w:r>
        <w:rPr>
          <w:b/>
          <w:color w:val="1F2937"/>
          <w:sz w:val="19"/>
        </w:rPr>
        <w:t>At benchmark churn, holding the same Y10 fan base needs 0.79M gross adds a year instead of 0.64M</w:t>
      </w:r>
      <w:r>
        <w:rPr>
          <w:b w:val="0"/>
          <w:color w:val="1F2937"/>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pPr>
        <w:pStyle w:val="Heading2"/>
        <w:keepNext/>
        <w:spacing w:before="320" w:after="100"/>
      </w:pPr>
      <w:r>
        <w:rPr>
          <w:b/>
          <w:color w:val="1F2937"/>
          <w:sz w:val="25"/>
        </w:rPr>
        <w:t>7.7 Valuation</w:t>
      </w:r>
    </w:p>
    <w:p>
      <w:pPr>
        <w:spacing w:before="120" w:after="40"/>
        <w:jc w:val="center"/>
      </w:pPr>
      <w:r>
        <w:drawing>
          <wp:inline xmlns:a="http://schemas.openxmlformats.org/drawingml/2006/main" xmlns:pic="http://schemas.openxmlformats.org/drawingml/2006/picture">
            <wp:extent cx="5760000" cy="3051066"/>
            <wp:docPr id="11" name="Picture 11"/>
            <wp:cNvGraphicFramePr>
              <a:graphicFrameLocks noChangeAspect="1"/>
            </wp:cNvGraphicFramePr>
            <a:graphic>
              <a:graphicData uri="http://schemas.openxmlformats.org/drawingml/2006/picture">
                <pic:pic>
                  <pic:nvPicPr>
                    <pic:cNvPr id="0" name="g10-valuation.png"/>
                    <pic:cNvPicPr/>
                  </pic:nvPicPr>
                  <pic:blipFill>
                    <a:blip r:embed="rId20"/>
                    <a:stretch>
                      <a:fillRect/>
                    </a:stretch>
                  </pic:blipFill>
                  <pic:spPr>
                    <a:xfrm>
                      <a:off x="0" y="0"/>
                      <a:ext cx="5760000" cy="3051066"/>
                    </a:xfrm>
                    <a:prstGeom prst="rect"/>
                  </pic:spPr>
                </pic:pic>
              </a:graphicData>
            </a:graphic>
          </wp:inline>
        </w:drawing>
      </w:r>
    </w:p>
    <w:p>
      <w:pPr>
        <w:spacing w:after="200"/>
        <w:jc w:val="center"/>
      </w:pPr>
      <w:r>
        <w:rPr>
          <w:b w:val="0"/>
          <w:color w:val="6B7280"/>
          <w:sz w:val="16"/>
        </w:rPr>
        <w:t>Figure 11: Two methods that disagree, for a reason.</w:t>
      </w:r>
    </w:p>
    <w:p>
      <w:pPr>
        <w:spacing w:after="140" w:line="276" w:lineRule="auto"/>
        <w:jc w:val="both"/>
      </w:pPr>
      <w:r>
        <w:rPr>
          <w:b w:val="0"/>
          <w:color w:val="1F2937"/>
          <w:sz w:val="20"/>
        </w:rPr>
        <w:t xml:space="preserve">The DCF says </w:t>
      </w:r>
      <w:r>
        <w:rPr>
          <w:b/>
          <w:color w:val="1F2937"/>
          <w:sz w:val="20"/>
        </w:rPr>
        <w:t>€8.60M</w:t>
      </w:r>
      <w:r>
        <w:rPr>
          <w:b w:val="0"/>
          <w:color w:val="1F2937"/>
          <w:sz w:val="20"/>
        </w:rP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pStyle w:val="Heading1"/>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pPr>
        <w:spacing w:after="120" w:before="0"/>
      </w:pPr>
    </w:p>
    <w:p>
      <w:pPr>
        <w:pStyle w:val="Heading3"/>
        <w:keepNext/>
        <w:spacing w:before="200" w:after="100"/>
      </w:pPr>
      <w:r>
        <w:rPr>
          <w:b/>
          <w:color w:val="6B7280"/>
          <w:sz w:val="22"/>
        </w:rPr>
        <w:t>8.1 Legal form and structure</w:t>
      </w:r>
    </w:p>
    <w:p>
      <w:pPr>
        <w:pStyle w:val="Heading4"/>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w:t>
            </w:r>
            <w:r>
              <w:rPr>
                <w:b w:val="0"/>
                <w:i/>
                <w:color w:val="1F2937"/>
                <w:sz w:val="17"/>
              </w:rPr>
              <w:t>Ley 18/2022, Crea y Crece</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and eligibility for the </w:t>
      </w:r>
      <w:r>
        <w:rPr>
          <w:b/>
          <w:color w:val="1F2937"/>
          <w:sz w:val="20"/>
        </w:rPr>
        <w:t>Ley 28/2022, Ley de Startups</w:t>
      </w:r>
      <w:r>
        <w:rPr>
          <w:b w:val="0"/>
          <w:color w:val="1F2937"/>
          <w:sz w:val="20"/>
        </w:rP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pStyle w:val="Heading4"/>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 no convertible notes, no SAFEs, an S.L. handles them badly under Spanish law 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 shares. Unusual to self-impose, and exactly what a pre-seed investor will ask 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pPr>
        <w:pStyle w:val="Heading4"/>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pStyle w:val="Heading3"/>
        <w:keepNext/>
        <w:spacing w:before="200" w:after="100"/>
      </w:pPr>
      <w:r>
        <w:rPr>
          <w:b/>
          <w:color w:val="6B7280"/>
          <w:sz w:val="22"/>
        </w:rPr>
        <w:t>8.2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pStyle w:val="Heading4"/>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the first class, €50 for the second, €150 for each beyond it, </w:t>
            </w:r>
            <w:r>
              <w:rPr>
                <w:b/>
                <w:color w:val="1F2937"/>
                <w:sz w:val="17"/>
              </w:rPr>
              <w:t>€1,200</w:t>
            </w:r>
            <w:r>
              <w:rPr>
                <w:b w:val="0"/>
                <w:color w:val="1F2937"/>
                <w:sz w:val="17"/>
              </w:rPr>
              <w:t xml:space="preserve"> for four</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pStyle w:val="Heading4"/>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 Spanish law, employee-created works generally vest in the employer, but contractor-created works do not by default. Every contractor agreement 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 No copyleft dependency ships in the served product. This is checked, not 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 authenticated, athlete-consented API connections. That is a product decision with a legal dividend: there is no scraping exposure and no terms-of-service breach in the data position.</w:t>
      </w:r>
    </w:p>
    <w:p>
      <w:pPr>
        <w:spacing w:after="120" w:before="0"/>
      </w:pPr>
    </w:p>
    <w:p>
      <w:pPr>
        <w:pStyle w:val="Heading1"/>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2" name="Picture 12"/>
            <wp:cNvGraphicFramePr>
              <a:graphicFrameLocks noChangeAspect="1"/>
            </wp:cNvGraphicFramePr>
            <a:graphic>
              <a:graphicData uri="http://schemas.openxmlformats.org/drawingml/2006/picture">
                <pic:pic>
                  <pic:nvPicPr>
                    <pic:cNvPr id="0" name="g12-risk-map.png"/>
                    <pic:cNvPicPr/>
                  </pic:nvPicPr>
                  <pic:blipFill>
                    <a:blip r:embed="rId21"/>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12: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pStyle w:val="Heading1"/>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i/>
          <w:color w:val="1F2937"/>
          <w:sz w:val="20"/>
        </w:rPr>
        <w:t>ESADE outline §12. Sequenced from the same model that produces the financial plan: each trigger below is a figure the plan already commits to, not a milestone invented for this section.</w:t>
      </w:r>
    </w:p>
    <w:p>
      <w:pPr>
        <w:spacing w:after="120" w:before="0"/>
      </w:pPr>
    </w:p>
    <w:p>
      <w:pPr>
        <w:spacing w:after="140" w:line="276" w:lineRule="auto"/>
        <w:jc w:val="both"/>
      </w:pPr>
      <w:r>
        <w:rPr>
          <w:b w:val="0"/>
          <w:color w:val="1F2937"/>
          <w:sz w:val="20"/>
        </w:rP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pPr>
        <w:pStyle w:val="Heading3"/>
        <w:keepNext/>
        <w:spacing w:before="200" w:after="100"/>
      </w:pPr>
      <w:r>
        <w:rPr>
          <w:b/>
          <w:color w:val="6B7280"/>
          <w:sz w:val="22"/>
        </w:rPr>
        <w:t>10.1 Axis 1: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+1 market (Portugal)</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(Italy first),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pStyle w:val="Heading3"/>
        <w:keepNext/>
        <w:spacing w:before="200" w:after="100"/>
      </w:pPr>
      <w:r>
        <w:rPr>
          <w:b/>
          <w:color w:val="6B7280"/>
          <w:sz w:val="22"/>
        </w:rPr>
        <w:t>10.2 Axis 2: Segment</w:t>
      </w:r>
    </w:p>
    <w:p>
      <w:pPr>
        <w:spacing w:after="140" w:line="276" w:lineRule="auto"/>
        <w:jc w:val="both"/>
      </w:pPr>
      <w:r>
        <w:rPr>
          <w:b w:val="0"/>
          <w:color w:val="1F2937"/>
          <w:sz w:val="20"/>
        </w:rPr>
        <w:t xml:space="preserve">The plan starts in niche sports and does not stay there. The athlete mix moves from </w:t>
      </w:r>
      <w:r>
        <w:rPr>
          <w:b/>
          <w:color w:val="1F2937"/>
          <w:sz w:val="20"/>
        </w:rPr>
        <w:t>95% niche in Y1 to 41% by Y10</w:t>
      </w:r>
      <w:r>
        <w:rPr>
          <w:b w:val="0"/>
          <w:color w:val="1F2937"/>
          <w:sz w:val="20"/>
        </w:rPr>
        <w:t xml:space="preserve">, crossing half in </w:t>
      </w:r>
      <w:r>
        <w:rPr>
          <w:b/>
          <w:color w:val="1F2937"/>
          <w:sz w:val="20"/>
        </w:rPr>
        <w:t>Y6</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Niche share of athletes</w:t>
            </w:r>
          </w:p>
        </w:tc>
        <w:tc>
          <w:tcPr>
            <w:tcW w:type="dxa" w:w="1512"/>
          </w:tcPr>
          <w:p>
            <w:pPr>
              <w:spacing w:after="40" w:before="40"/>
            </w:pPr>
            <w:r/>
            <w:r>
              <w:rPr>
                <w:b w:val="0"/>
                <w:color w:val="1F2937"/>
                <w:sz w:val="17"/>
              </w:rPr>
              <w:t>95%</w:t>
            </w:r>
          </w:p>
        </w:tc>
        <w:tc>
          <w:tcPr>
            <w:tcW w:type="dxa" w:w="1512"/>
          </w:tcPr>
          <w:p>
            <w:pPr>
              <w:spacing w:after="40" w:before="40"/>
            </w:pPr>
            <w:r/>
            <w:r>
              <w:rPr>
                <w:b w:val="0"/>
                <w:color w:val="1F2937"/>
                <w:sz w:val="17"/>
              </w:rPr>
              <w:t>80%</w:t>
            </w:r>
          </w:p>
        </w:tc>
        <w:tc>
          <w:tcPr>
            <w:tcW w:type="dxa" w:w="1512"/>
          </w:tcPr>
          <w:p>
            <w:pPr>
              <w:spacing w:after="40" w:before="40"/>
            </w:pPr>
            <w:r/>
            <w:r>
              <w:rPr>
                <w:b w:val="0"/>
                <w:color w:val="1F2937"/>
                <w:sz w:val="17"/>
              </w:rPr>
              <w:t>58%</w:t>
            </w:r>
          </w:p>
        </w:tc>
        <w:tc>
          <w:tcPr>
            <w:tcW w:type="dxa" w:w="1512"/>
          </w:tcPr>
          <w:p>
            <w:pPr>
              <w:spacing w:after="40" w:before="40"/>
            </w:pPr>
            <w:r/>
            <w:r>
              <w:rPr>
                <w:b w:val="0"/>
                <w:color w:val="1F2937"/>
                <w:sz w:val="17"/>
              </w:rPr>
              <w:t>45%</w:t>
            </w:r>
          </w:p>
        </w:tc>
        <w:tc>
          <w:tcPr>
            <w:tcW w:type="dxa" w:w="1512"/>
          </w:tcPr>
          <w:p>
            <w:pPr>
              <w:spacing w:after="40" w:before="40"/>
            </w:pPr>
            <w:r/>
            <w:r>
              <w:rPr>
                <w:b w:val="0"/>
                <w:color w:val="1F2937"/>
                <w:sz w:val="17"/>
              </w:rPr>
              <w:t>41%</w:t>
            </w:r>
          </w:p>
        </w:tc>
      </w:tr>
      <w:tr>
        <w:tc>
          <w:tcPr>
            <w:tcW w:type="dxa" w:w="1512"/>
          </w:tcPr>
          <w:p>
            <w:pPr>
              <w:spacing w:after="40" w:before="40"/>
            </w:pPr>
            <w:r/>
            <w:r>
              <w:rPr>
                <w:b w:val="0"/>
                <w:color w:val="1F2937"/>
                <w:sz w:val="17"/>
              </w:rPr>
              <w:t>Weighted athlete CAC</w:t>
            </w:r>
          </w:p>
        </w:tc>
        <w:tc>
          <w:tcPr>
            <w:tcW w:type="dxa" w:w="1512"/>
          </w:tcPr>
          <w:p>
            <w:pPr>
              <w:spacing w:after="40" w:before="40"/>
            </w:pPr>
            <w:r/>
            <w:r>
              <w:rPr>
                <w:b w:val="0"/>
                <w:color w:val="1F2937"/>
                <w:sz w:val="17"/>
              </w:rPr>
              <w:t>€17</w:t>
            </w:r>
          </w:p>
        </w:tc>
        <w:tc>
          <w:tcPr>
            <w:tcW w:type="dxa" w:w="1512"/>
          </w:tcPr>
          <w:p>
            <w:pPr>
              <w:spacing w:after="40" w:before="40"/>
            </w:pPr>
            <w:r/>
            <w:r>
              <w:rPr>
                <w:b w:val="0"/>
                <w:color w:val="1F2937"/>
                <w:sz w:val="17"/>
              </w:rPr>
              <w:t>€27</w:t>
            </w:r>
          </w:p>
        </w:tc>
        <w:tc>
          <w:tcPr>
            <w:tcW w:type="dxa" w:w="1512"/>
          </w:tcPr>
          <w:p>
            <w:pPr>
              <w:spacing w:after="40" w:before="40"/>
            </w:pPr>
            <w:r/>
            <w:r>
              <w:rPr>
                <w:b w:val="0"/>
                <w:color w:val="1F2937"/>
                <w:sz w:val="17"/>
              </w:rPr>
              <w:t>€44</w:t>
            </w:r>
          </w:p>
        </w:tc>
        <w:tc>
          <w:tcPr>
            <w:tcW w:type="dxa" w:w="1512"/>
          </w:tcPr>
          <w:p>
            <w:pPr>
              <w:spacing w:after="40" w:before="40"/>
            </w:pPr>
            <w:r/>
            <w:r>
              <w:rPr>
                <w:b w:val="0"/>
                <w:color w:val="1F2937"/>
                <w:sz w:val="17"/>
              </w:rPr>
              <w:t>€57</w:t>
            </w:r>
          </w:p>
        </w:tc>
        <w:tc>
          <w:tcPr>
            <w:tcW w:type="dxa" w:w="1512"/>
          </w:tcPr>
          <w:p>
            <w:pPr>
              <w:spacing w:after="40" w:before="40"/>
            </w:pPr>
            <w:r/>
            <w:r>
              <w:rPr>
                <w:b w:val="0"/>
                <w:color w:val="1F2937"/>
                <w:sz w:val="17"/>
              </w:rPr>
              <w:t>€67</w:t>
            </w:r>
          </w:p>
        </w:tc>
      </w:tr>
    </w:tbl>
    <w:p>
      <w:pPr>
        <w:spacing w:after="160" w:before="0"/>
      </w:pPr>
    </w:p>
    <w:p>
      <w:pPr>
        <w:spacing w:after="140" w:line="276" w:lineRule="auto"/>
        <w:jc w:val="both"/>
      </w:pPr>
      <w:r>
        <w:rPr>
          <w:b/>
          <w:color w:val="1F2937"/>
          <w:sz w:val="20"/>
        </w:rPr>
        <w:t>Why it starts there.</w:t>
      </w:r>
      <w:r>
        <w:rPr>
          <w:b w:val="0"/>
          <w:color w:val="1F2937"/>
          <w:sz w:val="20"/>
        </w:rP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pPr>
        <w:spacing w:after="140" w:line="276" w:lineRule="auto"/>
        <w:jc w:val="both"/>
      </w:pPr>
      <w:r>
        <w:rPr>
          <w:b/>
          <w:color w:val="1F2937"/>
          <w:sz w:val="20"/>
        </w:rPr>
        <w:t>Why it moves.</w:t>
      </w:r>
      <w:r>
        <w:rPr>
          <w:b w:val="0"/>
          <w:color w:val="1F2937"/>
          <w:sz w:val="20"/>
        </w:rP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pPr>
        <w:spacing w:after="140" w:line="276" w:lineRule="auto"/>
        <w:jc w:val="both"/>
      </w:pPr>
      <w:r>
        <w:rPr>
          <w:b/>
          <w:color w:val="1F2937"/>
          <w:sz w:val="20"/>
        </w:rPr>
        <w:t>What it costs.</w:t>
      </w:r>
      <w:r>
        <w:rPr>
          <w:b w:val="0"/>
          <w:color w:val="1F2937"/>
          <w:sz w:val="20"/>
        </w:rPr>
        <w:t xml:space="preserve"> Weighted athlete acquisition cost rises from </w:t>
      </w:r>
      <w:r>
        <w:rPr>
          <w:b/>
          <w:color w:val="1F2937"/>
          <w:sz w:val="20"/>
        </w:rPr>
        <w:t>€17 to €67</w:t>
      </w:r>
      <w:r>
        <w:rPr>
          <w:b w:val="0"/>
          <w:color w:val="1F2937"/>
          <w:sz w:val="20"/>
        </w:rPr>
        <w:t xml:space="preserve">, almost four times, and none of that is inflation or inefficiency. It is the mix. The plan's blended CAC therefore rises over time where a normal software plan would show it falling, and </w:t>
      </w:r>
      <w:r>
        <w:rPr>
          <w:b w:val="0"/>
          <w:color w:val="1F2937"/>
          <w:sz w:val="20"/>
        </w:rPr>
        <w:t>02</w:t>
      </w:r>
      <w:r>
        <w:rPr>
          <w:b w:val="0"/>
          <w:color w:val="1F2937"/>
          <w:sz w:val="20"/>
        </w:rPr>
        <w:t xml:space="preserve"> reports it that way rather than presenting an average that hides which segment the money went to.</w:t>
      </w:r>
    </w:p>
    <w:p>
      <w:pPr>
        <w:spacing w:after="140" w:line="276" w:lineRule="auto"/>
        <w:jc w:val="both"/>
      </w:pPr>
      <w:r>
        <w:rPr>
          <w:b/>
          <w:color w:val="1F2937"/>
          <w:sz w:val="20"/>
        </w:rPr>
        <w:t>This is a decision, not a drift.</w:t>
      </w:r>
      <w:r>
        <w:rPr>
          <w:b w:val="0"/>
          <w:color w:val="1F2937"/>
          <w:sz w:val="20"/>
        </w:rPr>
        <w:t xml:space="preserve"> </w:t>
      </w:r>
      <w:r>
        <w:rPr>
          <w:rFonts w:ascii="Consolas" w:hAnsi="Consolas"/>
          <w:b w:val="0"/>
          <w:color w:val="1F2937"/>
          <w:sz w:val="18"/>
        </w:rPr>
        <w:t>niche_share</w:t>
      </w:r>
      <w:r>
        <w:rPr>
          <w:b w:val="0"/>
          <w:color w:val="1F2937"/>
          <w:sz w:val="20"/>
        </w:rPr>
        <w:t xml:space="preserve"> is an input to the model, not an output of it, so the trajectory above is chosen and can be argued with. Holding the mix at Y1 levels is a different plan: smaller, cheaper to acquire into, and capped by how many niche athletes exist.</w:t>
      </w:r>
    </w:p>
    <w:p>
      <w:pPr>
        <w:pStyle w:val="Heading3"/>
        <w:keepNext/>
        <w:spacing w:before="200" w:after="100"/>
      </w:pPr>
      <w:r>
        <w:rPr>
          <w:b/>
          <w:color w:val="6B7280"/>
          <w:sz w:val="22"/>
        </w:rPr>
        <w:t>10.3 Axis 3: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5.11</w:t>
      </w:r>
      <w:r>
        <w:rPr>
          <w:b w:val="0"/>
          <w:color w:val="1F2937"/>
          <w:sz w:val="20"/>
        </w:rPr>
        <w:t>: tiers and billing, then one-off unlocks, then video, then events and the club revenue split.</w:t>
      </w:r>
    </w:p>
    <w:p>
      <w:pPr>
        <w:pStyle w:val="Heading3"/>
        <w:keepNext/>
        <w:spacing w:before="200" w:after="100"/>
      </w:pPr>
      <w:r>
        <w:rPr>
          <w:b/>
          <w:color w:val="6B7280"/>
          <w:sz w:val="22"/>
        </w:rPr>
        <w:t>10.4 Axis 4: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pPr>
        <w:pStyle w:val="Heading3"/>
        <w:keepNext/>
        <w:spacing w:before="200" w:after="100"/>
      </w:pPr>
      <w:r>
        <w:rPr>
          <w:b/>
          <w:color w:val="6B7280"/>
          <w:sz w:val="22"/>
        </w:rPr>
        <w:t>10.5 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 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 us. The model does not spend on fan acquisition, which is disclosed as 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 federation or an agency would rent out the one thing that is hard to copy.</w:t>
      </w:r>
    </w:p>
    <w:p>
      <w:pPr>
        <w:pStyle w:val="Heading3"/>
        <w:keepNext/>
        <w:spacing w:before="200" w:after="100"/>
      </w:pPr>
      <w:r>
        <w:rPr>
          <w:b/>
          <w:color w:val="6B7280"/>
          <w:sz w:val="22"/>
        </w:rPr>
        <w:t>10.6 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€10.2M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 a vertical, sports-data companies buying a consumer surface, or a sponsorship 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 </w:t>
      </w: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pStyle w:val="Heading1"/>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pStyle w:val="Heading1"/>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 documentation and blog.</w:t>
      </w:r>
    </w:p>
    <w:p>
      <w:pPr>
        <w:pStyle w:val="ListBullet"/>
        <w:spacing w:after="60" w:line="264" w:lineRule="auto"/>
        <w:ind w:left="340"/>
      </w:pPr>
      <w:r>
        <w:rPr>
          <w:b w:val="0"/>
          <w:color w:val="1F2937"/>
          <w:sz w:val="20"/>
        </w:rPr>
        <w:t xml:space="preserve">OnlyFans / Fenix International Ltd. </w:t>
      </w:r>
      <w:r>
        <w:rPr>
          <w:b w:val="0"/>
          <w:i/>
          <w:color w:val="1F2937"/>
          <w:sz w:val="20"/>
        </w:rPr>
        <w:t>Annual accounts filed at Companies House</w:t>
      </w:r>
      <w:r>
        <w:rPr>
          <w:b w:val="0"/>
          <w:color w:val="1F2937"/>
          <w:sz w:val="20"/>
        </w:rPr>
        <w:t>,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r>
        <w:rPr>
          <w:b w:val="0"/>
          <w:color w:val="1F2937"/>
          <w:sz w:val="20"/>
        </w:rPr>
        <w:t xml:space="preserve"> 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deemed supplier.</w:t>
      </w:r>
    </w:p>
    <w:p>
      <w:pPr>
        <w:pStyle w:val="ListBullet"/>
        <w:spacing w:after="60" w:line="264" w:lineRule="auto"/>
        <w:ind w:left="340"/>
      </w:pPr>
      <w:r>
        <w:rPr>
          <w:b w:val="0"/>
          <w:color w:val="1F2937"/>
          <w:sz w:val="20"/>
        </w:rPr>
        <w:t xml:space="preserve">Directive 96/9/EC,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 (</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five athletes, rugby league (Spain and Lebanon) and CrossFit (Lebanon,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2,644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pStyle w:val="Heading1"/>
        <w:keepNext/>
        <w:spacing w:before="320" w:after="100"/>
        <w:pBdr>
          <w:bottom w:val="single" w:sz="6" w:space="8" w:color="D1D5DB"/>
        </w:pBdr>
      </w:pPr>
      <w:r>
        <w:rPr>
          <w:b/>
          <w:color w:val="1F2937"/>
          <w:sz w:val="32"/>
        </w:rPr>
        <w:t>Appendix A: Revenue Model</w:t>
      </w:r>
    </w:p>
    <w:p>
      <w:pPr>
        <w:pStyle w:val="Heading2"/>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pStyle w:val="Heading2"/>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pStyle w:val="Heading2"/>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44% of our take after payment costs; €9.99 retains 64%.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worth ~€2.75/fan/year, against €13.35 of total take. Pushing 30% of subscribers annual is roughly equivalent to raising the take rate by a point, without asking athletes for anything.</w:t>
      </w:r>
    </w:p>
    <w:p>
      <w:pPr>
        <w:spacing w:after="120" w:before="0"/>
      </w:pPr>
    </w:p>
    <w:p>
      <w:pPr>
        <w:pStyle w:val="Heading2"/>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Starter</w:t>
            </w:r>
          </w:p>
        </w:tc>
        <w:tc>
          <w:tcPr>
            <w:tcW w:type="dxa" w:w="2268"/>
          </w:tcPr>
          <w:p>
            <w:pPr>
              <w:spacing w:after="40" w:before="40"/>
            </w:pPr>
            <w:r/>
            <w:r>
              <w:rPr>
                <w:b w:val="0"/>
                <w:color w:val="1F2937"/>
                <w:sz w:val="17"/>
              </w:rPr>
              <w:t>€99/mo</w:t>
            </w:r>
          </w:p>
        </w:tc>
        <w:tc>
          <w:tcPr>
            <w:tcW w:type="dxa" w:w="2268"/>
          </w:tcPr>
          <w:p>
            <w:pPr>
              <w:spacing w:after="40" w:before="40"/>
            </w:pPr>
            <w:r/>
            <w:r>
              <w:rPr>
                <w:b w:val="0"/>
                <w:color w:val="1F2937"/>
                <w:sz w:val="17"/>
              </w:rPr>
              <w:t>Full matching, 2 campaigns, no evidence views</w:t>
            </w:r>
          </w:p>
        </w:tc>
        <w:tc>
          <w:tcPr>
            <w:tcW w:type="dxa" w:w="2268"/>
          </w:tcPr>
          <w:p>
            <w:pPr>
              <w:spacing w:after="40" w:before="40"/>
            </w:pPr>
            <w:r/>
            <w:r>
              <w:rPr>
                <w:b w:val="0"/>
                <w:color w:val="1F2937"/>
                <w:sz w:val="17"/>
              </w:rPr>
              <w:t>First paid step, single-brand sponsors</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color w:val="1F2937"/>
          <w:sz w:val="20"/>
        </w:rPr>
        <w:t>Why an entry tier exists, and why it is €99.</w:t>
      </w:r>
      <w:r>
        <w:rPr>
          <w:b w:val="0"/>
          <w:color w:val="1F2937"/>
          <w:sz w:val="20"/>
        </w:rP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the point when the directory is thinnest and the software is worth least. €99 a month is credible against that; €249 is not. The ratio only reaches parity around Y7, when the average sponsor runs €19,848 of deals and the commission alone is €1,985.</w:t>
      </w:r>
    </w:p>
    <w:p>
      <w:pPr>
        <w:spacing w:after="140" w:line="276" w:lineRule="auto"/>
        <w:jc w:val="both"/>
      </w:pPr>
      <w:r>
        <w:rPr>
          <w:b/>
          <w:color w:val="1F2937"/>
          <w:sz w:val="20"/>
        </w:rPr>
        <w:t>This is what the ARPU path has always assumed.</w:t>
      </w:r>
      <w:r>
        <w:rPr>
          <w:b w:val="0"/>
          <w:color w:val="1F2937"/>
          <w:sz w:val="20"/>
        </w:rPr>
        <w:t xml:space="preserve"> Blended revenue per paying sponsor runs €199 in Y1 to €475 by Y10, and the early figures sit </w:t>
      </w:r>
      <w:r>
        <w:rPr>
          <w:b w:val="0"/>
          <w:i/>
          <w:color w:val="1F2937"/>
          <w:sz w:val="20"/>
        </w:rPr>
        <w:t>below</w:t>
      </w:r>
      <w:r>
        <w:rPr>
          <w:b w:val="0"/>
          <w:color w:val="1F2937"/>
          <w:sz w:val="20"/>
        </w:rPr>
        <w:t xml:space="preserve"> the old cheapest plan, which no mix of €249 and €999 can produce. With Starter in the list the series resolves, and it describes a ladder rather than a mystery:</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Y2</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Blended ARPU per month</w:t>
            </w:r>
          </w:p>
        </w:tc>
        <w:tc>
          <w:tcPr>
            <w:tcW w:type="dxa" w:w="1512"/>
          </w:tcPr>
          <w:p>
            <w:pPr>
              <w:spacing w:after="40" w:before="40"/>
            </w:pPr>
            <w:r/>
            <w:r>
              <w:rPr>
                <w:b w:val="0"/>
                <w:color w:val="1F2937"/>
                <w:sz w:val="17"/>
              </w:rPr>
              <w:t>€199</w:t>
            </w:r>
          </w:p>
        </w:tc>
        <w:tc>
          <w:tcPr>
            <w:tcW w:type="dxa" w:w="1512"/>
          </w:tcPr>
          <w:p>
            <w:pPr>
              <w:spacing w:after="40" w:before="40"/>
            </w:pPr>
            <w:r/>
            <w:r>
              <w:rPr>
                <w:b w:val="0"/>
                <w:color w:val="1F2937"/>
                <w:sz w:val="17"/>
              </w:rPr>
              <w:t>€229</w:t>
            </w:r>
          </w:p>
        </w:tc>
        <w:tc>
          <w:tcPr>
            <w:tcW w:type="dxa" w:w="1512"/>
          </w:tcPr>
          <w:p>
            <w:pPr>
              <w:spacing w:after="40" w:before="40"/>
            </w:pPr>
            <w:r/>
            <w:r>
              <w:rPr>
                <w:b w:val="0"/>
                <w:color w:val="1F2937"/>
                <w:sz w:val="17"/>
              </w:rPr>
              <w:t>€260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€475</w:t>
            </w:r>
          </w:p>
        </w:tc>
      </w:tr>
      <w:tr>
        <w:tc>
          <w:tcPr>
            <w:tcW w:type="dxa" w:w="1512"/>
          </w:tcPr>
          <w:p>
            <w:pPr>
              <w:spacing w:after="40" w:before="40"/>
            </w:pPr>
            <w:r/>
            <w:r>
              <w:rPr>
                <w:b w:val="0"/>
                <w:color w:val="1F2937"/>
                <w:sz w:val="17"/>
              </w:rPr>
              <w:t>Implied mix</w:t>
            </w:r>
          </w:p>
        </w:tc>
        <w:tc>
          <w:tcPr>
            <w:tcW w:type="dxa" w:w="1512"/>
          </w:tcPr>
          <w:p>
            <w:pPr>
              <w:spacing w:after="40" w:before="40"/>
            </w:pPr>
            <w:r/>
            <w:r>
              <w:rPr>
                <w:b w:val="0"/>
                <w:color w:val="1F2937"/>
                <w:sz w:val="17"/>
              </w:rPr>
              <w:t>33% Starter, 67% Pro</w:t>
            </w:r>
          </w:p>
        </w:tc>
        <w:tc>
          <w:tcPr>
            <w:tcW w:type="dxa" w:w="1512"/>
          </w:tcPr>
          <w:p>
            <w:pPr>
              <w:spacing w:after="40" w:before="40"/>
            </w:pPr>
            <w:r/>
            <w:r>
              <w:rPr>
                <w:b w:val="0"/>
                <w:color w:val="1F2937"/>
                <w:sz w:val="17"/>
              </w:rPr>
              <w:t>13% Starter, 87% Pro</w:t>
            </w:r>
          </w:p>
        </w:tc>
        <w:tc>
          <w:tcPr>
            <w:tcW w:type="dxa" w:w="1512"/>
          </w:tcPr>
          <w:p>
            <w:pPr>
              <w:spacing w:after="40" w:before="40"/>
            </w:pPr>
            <w:r/>
            <w:r>
              <w:rPr>
                <w:b w:val="0"/>
                <w:color w:val="1F2937"/>
                <w:sz w:val="17"/>
              </w:rPr>
              <w:t>1.5% Agency, rest Pro</w:t>
            </w:r>
          </w:p>
        </w:tc>
        <w:tc>
          <w:tcPr>
            <w:tcW w:type="dxa" w:w="1512"/>
          </w:tcPr>
          <w:p>
            <w:pPr>
              <w:spacing w:after="40" w:before="40"/>
            </w:pPr>
            <w:r/>
            <w:r>
              <w:rPr>
                <w:b w:val="0"/>
                <w:color w:val="1F2937"/>
                <w:sz w:val="17"/>
              </w:rPr>
              <w:t>20.1% Agency, rest Pro</w:t>
            </w:r>
          </w:p>
        </w:tc>
        <w:tc>
          <w:tcPr>
            <w:tcW w:type="dxa" w:w="1512"/>
          </w:tcPr>
          <w:p>
            <w:pPr>
              <w:spacing w:after="40" w:before="40"/>
            </w:pPr>
            <w:r/>
            <w:r>
              <w:rPr>
                <w:b w:val="0"/>
                <w:color w:val="1F2937"/>
                <w:sz w:val="17"/>
              </w:rPr>
              <w:t>30.1% Agency, rest Pro</w:t>
            </w:r>
          </w:p>
        </w:tc>
      </w:tr>
    </w:tbl>
    <w:p>
      <w:pPr>
        <w:spacing w:after="160" w:before="0"/>
      </w:pPr>
    </w:p>
    <w:p>
      <w:pPr>
        <w:spacing w:after="140" w:line="276" w:lineRule="auto"/>
        <w:jc w:val="both"/>
      </w:pPr>
      <w:r>
        <w:rPr>
          <w:b w:val="0"/>
          <w:color w:val="1F2937"/>
          <w:sz w:val="20"/>
        </w:rPr>
        <w:t>Sponsors enter on Starter, graduate to Pro as they run more campaigns, and the Agency share grows to roughly a third by Y10 as agencies rather than single brands become the larger buyer.</w:t>
      </w: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€10.16M: 18% of revenue at close to 100% gross margin, which is roughly 28% of gross profit.</w:t>
      </w:r>
    </w:p>
    <w:p>
      <w:pPr>
        <w:spacing w:after="120" w:before="0"/>
      </w:pPr>
    </w:p>
    <w:p>
      <w:pPr>
        <w:pStyle w:val="Heading2"/>
        <w:keepNext/>
        <w:spacing w:before="320" w:after="100"/>
      </w:pPr>
      <w:r>
        <w:rPr>
          <w:b/>
          <w:color w:val="1F2937"/>
          <w:sz w:val="25"/>
        </w:rPr>
        <w:t>Commission by plan, and what it does to the agent comparison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Subscription</w:t>
            </w:r>
          </w:p>
        </w:tc>
        <w:tc>
          <w:tcPr>
            <w:tcW w:type="dxa" w:w="2268"/>
            <w:shd w:val="clear" w:fill="EFF1F3"/>
          </w:tcPr>
          <w:p>
            <w:pPr>
              <w:spacing w:after="40" w:before="40"/>
            </w:pPr>
            <w:r/>
            <w:r>
              <w:rPr>
                <w:b/>
                <w:color w:val="1F2937"/>
                <w:sz w:val="17"/>
              </w:rPr>
              <w:t>Commission</w:t>
            </w:r>
          </w:p>
        </w:tc>
        <w:tc>
          <w:tcPr>
            <w:tcW w:type="dxa" w:w="2268"/>
            <w:shd w:val="clear" w:fill="EFF1F3"/>
          </w:tcPr>
          <w:p>
            <w:pPr>
              <w:spacing w:after="40" w:before="40"/>
            </w:pPr>
            <w:r/>
            <w:r>
              <w:rPr>
                <w:b/>
                <w:color w:val="1F2937"/>
                <w:sz w:val="17"/>
              </w:rPr>
              <w:t>An agent charges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color w:val="1F2937"/>
                <w:sz w:val="17"/>
              </w:rPr>
              <w:t>10%</w:t>
            </w:r>
          </w:p>
        </w:tc>
        <w:tc>
          <w:tcPr>
            <w:tcW w:type="dxa" w:w="2268"/>
          </w:tcPr>
          <w:p>
            <w:pPr>
              <w:spacing w:after="40" w:before="40"/>
            </w:pPr>
            <w:r/>
            <w:r>
              <w:rPr>
                <w:b w:val="0"/>
                <w:color w:val="1F2937"/>
                <w:sz w:val="17"/>
              </w:rPr>
              <w:t>10 to 20%</w:t>
            </w:r>
          </w:p>
        </w:tc>
      </w:tr>
      <w:tr>
        <w:tc>
          <w:tcPr>
            <w:tcW w:type="dxa" w:w="2268"/>
          </w:tcPr>
          <w:p>
            <w:pPr>
              <w:spacing w:after="40" w:before="40"/>
            </w:pPr>
            <w:r/>
            <w:r>
              <w:rPr>
                <w:b w:val="0"/>
                <w:color w:val="1F2937"/>
                <w:sz w:val="17"/>
              </w:rPr>
              <w:t>Scout Starter</w:t>
            </w:r>
          </w:p>
        </w:tc>
        <w:tc>
          <w:tcPr>
            <w:tcW w:type="dxa" w:w="2268"/>
          </w:tcPr>
          <w:p>
            <w:pPr>
              <w:spacing w:after="40" w:before="40"/>
            </w:pPr>
            <w:r/>
            <w:r>
              <w:rPr>
                <w:b w:val="0"/>
                <w:color w:val="1F2937"/>
                <w:sz w:val="17"/>
              </w:rPr>
              <w:t>€99/mo</w:t>
            </w:r>
          </w:p>
        </w:tc>
        <w:tc>
          <w:tcPr>
            <w:tcW w:type="dxa" w:w="2268"/>
          </w:tcPr>
          <w:p>
            <w:pPr>
              <w:spacing w:after="40" w:before="40"/>
            </w:pPr>
            <w:r/>
            <w:r>
              <w:rPr>
                <w:b/>
                <w:color w:val="1F2937"/>
                <w:sz w:val="17"/>
              </w:rPr>
              <w:t>10%</w:t>
            </w:r>
          </w:p>
        </w:tc>
        <w:tc>
          <w:tcPr>
            <w:tcW w:type="dxa" w:w="2268"/>
          </w:tcPr>
          <w:p>
            <w:pPr>
              <w:spacing w:after="40" w:before="40"/>
            </w:pPr>
            <w:r/>
            <w:r>
              <w:rPr>
                <w:b w:val="0"/>
                <w:color w:val="1F2937"/>
                <w:sz w:val="17"/>
              </w:rPr>
              <w:t>10 to 20%</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color w:val="1F2937"/>
                <w:sz w:val="17"/>
              </w:rPr>
              <w:t>7%</w:t>
            </w:r>
          </w:p>
        </w:tc>
        <w:tc>
          <w:tcPr>
            <w:tcW w:type="dxa" w:w="2268"/>
          </w:tcPr>
          <w:p>
            <w:pPr>
              <w:spacing w:after="40" w:before="40"/>
            </w:pPr>
            <w:r/>
            <w:r>
              <w:rPr>
                <w:b w:val="0"/>
                <w:color w:val="1F2937"/>
                <w:sz w:val="17"/>
              </w:rPr>
              <w:t>10 to 20%</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color w:val="1F2937"/>
                <w:sz w:val="17"/>
              </w:rPr>
              <w:t>5%</w:t>
            </w:r>
          </w:p>
        </w:tc>
        <w:tc>
          <w:tcPr>
            <w:tcW w:type="dxa" w:w="2268"/>
          </w:tcPr>
          <w:p>
            <w:pPr>
              <w:spacing w:after="40" w:before="40"/>
            </w:pPr>
            <w:r/>
            <w:r>
              <w:rPr>
                <w:b w:val="0"/>
                <w:color w:val="1F2937"/>
                <w:sz w:val="17"/>
              </w:rPr>
              <w:t>10 to 20%</w:t>
            </w:r>
          </w:p>
        </w:tc>
      </w:tr>
    </w:tbl>
    <w:p>
      <w:pPr>
        <w:spacing w:after="160" w:before="0"/>
      </w:pPr>
    </w:p>
    <w:p>
      <w:pPr>
        <w:spacing w:after="140" w:line="276" w:lineRule="auto"/>
        <w:jc w:val="both"/>
      </w:pPr>
      <w:r>
        <w:rPr>
          <w:b w:val="0"/>
          <w:color w:val="1F2937"/>
          <w:sz w:val="20"/>
        </w:rPr>
        <w:t>A sponsor paying €11,988 a year for the tooling is already paying for the relationship. Charging them the full headline rate on every deal as well is charging twice for the same thing, and the tiering removes that.</w:t>
      </w:r>
    </w:p>
    <w:p>
      <w:pPr>
        <w:spacing w:after="140" w:line="276" w:lineRule="auto"/>
        <w:jc w:val="both"/>
      </w:pPr>
      <w:r>
        <w:rPr>
          <w:b w:val="0"/>
          <w:color w:val="1F2937"/>
          <w:sz w:val="20"/>
        </w:rPr>
        <w:t xml:space="preserve">It also sharpens the comparison the whole plan rests on. </w:t>
      </w:r>
      <w:r>
        <w:rPr>
          <w:b/>
          <w:color w:val="1F2937"/>
          <w:sz w:val="20"/>
        </w:rPr>
        <w:t>An agent takes 10 to 20% and gives a sponsor one relationship. Stride's most committed sponsors pay 5% and get a matched market</w:t>
      </w:r>
      <w:r>
        <w:rPr>
          <w:b w:val="0"/>
          <w:color w:val="1F2937"/>
          <w:sz w:val="20"/>
        </w:rPr>
        <w:t>, with the evidence behind every match. At the top tier that is a quarter of what an agent charges at the high end, and half at the low end.</w:t>
      </w:r>
    </w:p>
    <w:p>
      <w:pPr>
        <w:spacing w:after="140" w:line="276" w:lineRule="auto"/>
        <w:jc w:val="both"/>
      </w:pPr>
      <w:r>
        <w:rPr>
          <w:b w:val="0"/>
          <w:color w:val="1F2937"/>
          <w:sz w:val="20"/>
        </w:rPr>
        <w:t xml:space="preserve">The blended rate this produces falls from </w:t>
      </w:r>
      <w:r>
        <w:rPr>
          <w:b/>
          <w:color w:val="1F2937"/>
          <w:sz w:val="20"/>
        </w:rPr>
        <w:t>9.60% in Y1 to 8.56% by Y10</w:t>
      </w:r>
      <w:r>
        <w:rPr>
          <w:b w:val="0"/>
          <w:color w:val="1F2937"/>
          <w:sz w:val="20"/>
        </w:rP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pPr>
        <w:spacing w:after="120" w:before="0"/>
      </w:pPr>
    </w:p>
    <w:p>
      <w:pPr>
        <w:pStyle w:val="Heading2"/>
        <w:keepNext/>
        <w:spacing w:before="320" w:after="100"/>
      </w:pPr>
      <w:r>
        <w:rPr>
          <w:b/>
          <w:color w:val="1F2937"/>
          <w:sz w:val="25"/>
        </w:rPr>
        <w:t>Take rate: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both say 10%,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and endorsement is exactly the work Stride's 15% replaces.</w:t>
      </w:r>
    </w:p>
    <w:p>
      <w:pPr>
        <w:pStyle w:val="Heading3"/>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pStyle w:val="Heading3"/>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€11.77M</w:t>
            </w:r>
          </w:p>
        </w:tc>
        <w:tc>
          <w:tcPr>
            <w:tcW w:type="dxa" w:w="2268"/>
          </w:tcPr>
          <w:p>
            <w:pPr>
              <w:spacing w:after="40" w:before="40"/>
            </w:pPr>
            <w:r/>
            <w:r>
              <w:rPr>
                <w:b w:val="0"/>
                <w:color w:val="1F2937"/>
                <w:sz w:val="17"/>
              </w:rPr>
              <w:t>€4.73M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€10.16M</w:t>
            </w:r>
          </w:p>
        </w:tc>
        <w:tc>
          <w:tcPr>
            <w:tcW w:type="dxa" w:w="2268"/>
          </w:tcPr>
          <w:p>
            <w:pPr>
              <w:spacing w:after="40" w:before="40"/>
            </w:pPr>
            <w:r/>
            <w:r>
              <w:rPr>
                <w:b/>
                <w:color w:val="1F2937"/>
                <w:sz w:val="17"/>
              </w:rPr>
              <w:t>€3.25M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€8.56M</w:t>
            </w:r>
          </w:p>
        </w:tc>
        <w:tc>
          <w:tcPr>
            <w:tcW w:type="dxa" w:w="2268"/>
          </w:tcPr>
          <w:p>
            <w:pPr>
              <w:spacing w:after="40" w:before="40"/>
            </w:pPr>
            <w:r/>
            <w:r>
              <w:rPr>
                <w:b w:val="0"/>
                <w:color w:val="1F2937"/>
                <w:sz w:val="17"/>
              </w:rPr>
              <w:t>€1.78M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EBITDA falls 45%, from €3.25M to €1.78M.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that 10% plus $0.30 a transaction plus $29 a month is worse than a flat 15% for any athlete earning under €1,380 a month: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Sacra plus the rebrand release, both live and both primary, and on the crossover arithmetic, which is computed from the model rather than cited.*</w:t>
      </w:r>
    </w:p>
    <w:p>
      <w:pPr>
        <w:spacing w:after="120" w:before="0"/>
      </w:pPr>
    </w:p>
    <w:p>
      <w:pPr>
        <w:pStyle w:val="Heading2"/>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(10%)</w:t>
            </w:r>
          </w:p>
        </w:tc>
        <w:tc>
          <w:tcPr>
            <w:tcW w:type="dxa" w:w="1814"/>
          </w:tcPr>
          <w:p>
            <w:pPr>
              <w:spacing w:after="40" w:before="40"/>
            </w:pPr>
            <w:r/>
            <w:r>
              <w:rPr>
                <w:b w:val="0"/>
                <w:color w:val="1F2937"/>
                <w:sz w:val="17"/>
              </w:rPr>
              <w:t>€81k (16%)</w:t>
            </w:r>
          </w:p>
        </w:tc>
        <w:tc>
          <w:tcPr>
            <w:tcW w:type="dxa" w:w="1814"/>
          </w:tcPr>
          <w:p>
            <w:pPr>
              <w:spacing w:after="40" w:before="40"/>
            </w:pPr>
            <w:r/>
            <w:r>
              <w:rPr>
                <w:b w:val="0"/>
                <w:color w:val="1F2937"/>
                <w:sz w:val="17"/>
              </w:rPr>
              <w:t>€907k (28%)</w:t>
            </w:r>
          </w:p>
        </w:tc>
        <w:tc>
          <w:tcPr>
            <w:tcW w:type="dxa" w:w="1814"/>
          </w:tcPr>
          <w:p>
            <w:pPr>
              <w:spacing w:after="40" w:before="40"/>
            </w:pPr>
            <w:r/>
            <w:r>
              <w:rPr>
                <w:b w:val="0"/>
                <w:color w:val="1F2937"/>
                <w:sz w:val="17"/>
              </w:rPr>
              <w:t>€3.43M (34%)</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€3.29M</w:t>
            </w:r>
          </w:p>
        </w:tc>
        <w:tc>
          <w:tcPr>
            <w:tcW w:type="dxa" w:w="1814"/>
          </w:tcPr>
          <w:p>
            <w:pPr>
              <w:spacing w:after="40" w:before="40"/>
            </w:pPr>
            <w:r/>
            <w:r>
              <w:rPr>
                <w:b/>
                <w:color w:val="1F2937"/>
                <w:sz w:val="17"/>
              </w:rPr>
              <w:t>€10.16M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pStyle w:val="Heading2"/>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ten to thirty athletes without ten to thirty 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 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pStyle w:val="Heading1"/>
        <w:keepNext/>
        <w:spacing w:before="320" w:after="100"/>
        <w:pBdr>
          <w:bottom w:val="single" w:sz="6" w:space="8" w:color="D1D5DB"/>
        </w:pBdr>
      </w:pPr>
      <w:r>
        <w:rPr>
          <w:b/>
          <w:color w:val="1F2937"/>
          <w:sz w:val="32"/>
        </w:rPr>
        <w:t>Appendix B: Cost Model</w:t>
      </w:r>
    </w:p>
    <w:p>
      <w:pPr>
        <w:spacing w:after="140" w:line="276" w:lineRule="auto"/>
        <w:jc w:val="both"/>
      </w:pPr>
      <w:r>
        <w:rPr>
          <w:b w:val="0"/>
          <w:color w:val="1F2937"/>
          <w:sz w:val="20"/>
        </w:rPr>
        <w:t>Two costs decide whether this business works. Neither is engineering salary.</w:t>
      </w:r>
    </w:p>
    <w:p>
      <w:pPr>
        <w:spacing w:after="120" w:before="0"/>
      </w:pPr>
    </w:p>
    <w:p>
      <w:pPr>
        <w:pStyle w:val="Heading2"/>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 retained take: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worth ~€2.75 per subscriber per year. Patreon reports annual patrons churn at </w:t>
      </w:r>
      <w:r>
        <w:rPr>
          <w:b/>
          <w:color w:val="1F2937"/>
          <w:sz w:val="20"/>
        </w:rPr>
        <w:t>one third</w:t>
      </w:r>
      <w:r>
        <w:rPr>
          <w:b w:val="0"/>
          <w:color w:val="1F2937"/>
          <w:sz w:val="20"/>
        </w:rPr>
        <w:t xml:space="preserve"> the rate of monthly ones, 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 available. Not modelled: upside.</w:t>
      </w:r>
    </w:p>
    <w:p>
      <w:pPr>
        <w:spacing w:after="140" w:line="276" w:lineRule="auto"/>
        <w:jc w:val="both"/>
      </w:pPr>
      <w:r>
        <w:rPr>
          <w:b w:val="0"/>
          <w:color w:val="1F2937"/>
          <w:sz w:val="20"/>
        </w:rPr>
        <w:t xml:space="preserve">At Y7 the payment rail costs </w:t>
      </w:r>
      <w:r>
        <w:rPr>
          <w:b/>
          <w:color w:val="1F2937"/>
          <w:sz w:val="20"/>
        </w:rPr>
        <w:t>€2.55M against €10.16M of revenue</w:t>
      </w:r>
      <w:r>
        <w:rPr>
          <w:b w:val="0"/>
          <w:color w:val="1F2937"/>
          <w:sz w:val="20"/>
        </w:rPr>
        <w:t>, 25%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pStyle w:val="Heading2"/>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pPr>
        <w:spacing w:after="140" w:line="276" w:lineRule="auto"/>
        <w:jc w:val="both"/>
      </w:pPr>
      <w:r>
        <w:rPr>
          <w:b/>
          <w:color w:val="1F2937"/>
          <w:sz w:val="20"/>
        </w:rPr>
        <w:t>€402k a year is most of this plan's entire €280k cash trough, spent annually and decided by one architectural choice</w:t>
      </w:r>
      <w:r>
        <w:rPr>
          <w:b w:val="0"/>
          <w:color w:val="1F2937"/>
          <w:sz w:val="20"/>
        </w:rPr>
        <w:t>, €3.1M across the ten years.</w:t>
      </w:r>
    </w:p>
    <w:p>
      <w:pPr>
        <w:spacing w:after="140" w:line="276" w:lineRule="auto"/>
        <w:jc w:val="both"/>
      </w:pPr>
      <w:r>
        <w:rPr>
          <w:b w:val="0"/>
          <w:color w:val="1F2937"/>
          <w:sz w:val="20"/>
        </w:rPr>
        <w:t>The recommendation is AWS for compute and database, where its managed services genuinely earn their premium, and a zero-egress provider for media delivery. Hybrid, deliberately.</w:t>
      </w:r>
    </w:p>
    <w:p>
      <w:pPr>
        <w:spacing w:after="120" w:before="0"/>
      </w:pPr>
    </w:p>
    <w:p>
      <w:pPr>
        <w:pStyle w:val="Heading2"/>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pStyle w:val="Heading3"/>
        <w:keepNext/>
        <w:spacing w:before="200" w:after="100"/>
      </w:pPr>
      <w:r>
        <w:rPr>
          <w:b/>
          <w:color w:val="6B7280"/>
          <w:sz w:val="22"/>
        </w:rPr>
        <w:t>Stage 1: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pStyle w:val="Heading3"/>
        <w:keepNext/>
        <w:spacing w:before="200" w:after="100"/>
      </w:pPr>
      <w:r>
        <w:rPr>
          <w:b/>
          <w:color w:val="6B7280"/>
          <w:sz w:val="22"/>
        </w:rPr>
        <w:t>Stage 2: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pStyle w:val="Heading3"/>
        <w:keepNext/>
        <w:spacing w:before="200" w:after="100"/>
      </w:pPr>
      <w:r>
        <w:rPr>
          <w:b/>
          <w:color w:val="6B7280"/>
          <w:sz w:val="22"/>
        </w:rPr>
        <w:t>Stage 3: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worth roughly €60–90k/yr by Y7. Treated as upside, not as plan.</w:t>
      </w:r>
    </w:p>
    <w:p>
      <w:pPr>
        <w:spacing w:after="120" w:before="0"/>
      </w:pPr>
    </w:p>
    <w:p>
      <w:pPr>
        <w:pStyle w:val="Heading2"/>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1.0</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9.0</w:t>
            </w:r>
          </w:p>
        </w:tc>
        <w:tc>
          <w:tcPr>
            <w:tcW w:type="dxa" w:w="1134"/>
          </w:tcPr>
          <w:p>
            <w:pPr>
              <w:spacing w:after="40" w:before="40"/>
            </w:pPr>
            <w:r/>
            <w:r>
              <w:rPr>
                <w:b w:val="0"/>
                <w:color w:val="1F2937"/>
                <w:sz w:val="17"/>
              </w:rPr>
              <w:t>13.0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€38k</w:t>
            </w:r>
          </w:p>
        </w:tc>
        <w:tc>
          <w:tcPr>
            <w:tcW w:type="dxa" w:w="1134"/>
          </w:tcPr>
          <w:p>
            <w:pPr>
              <w:spacing w:after="40" w:before="40"/>
            </w:pPr>
            <w:r/>
            <w:r>
              <w:rPr>
                <w:b w:val="0"/>
                <w:color w:val="1F2937"/>
                <w:sz w:val="17"/>
              </w:rPr>
              <w:t>€78k</w:t>
            </w:r>
          </w:p>
        </w:tc>
        <w:tc>
          <w:tcPr>
            <w:tcW w:type="dxa" w:w="1134"/>
          </w:tcPr>
          <w:p>
            <w:pPr>
              <w:spacing w:after="40" w:before="40"/>
            </w:pPr>
            <w:r/>
            <w:r>
              <w:rPr>
                <w:b w:val="0"/>
                <w:color w:val="1F2937"/>
                <w:sz w:val="17"/>
              </w:rPr>
              <w:t>€120k</w:t>
            </w:r>
          </w:p>
        </w:tc>
        <w:tc>
          <w:tcPr>
            <w:tcW w:type="dxa" w:w="1134"/>
          </w:tcPr>
          <w:p>
            <w:pPr>
              <w:spacing w:after="40" w:before="40"/>
            </w:pPr>
            <w:r/>
            <w:r>
              <w:rPr>
                <w:b w:val="0"/>
                <w:color w:val="1F2937"/>
                <w:sz w:val="17"/>
              </w:rPr>
              <w:t>€224k</w:t>
            </w:r>
          </w:p>
        </w:tc>
        <w:tc>
          <w:tcPr>
            <w:tcW w:type="dxa" w:w="1134"/>
          </w:tcPr>
          <w:p>
            <w:pPr>
              <w:spacing w:after="40" w:before="40"/>
            </w:pPr>
            <w:r/>
            <w:r>
              <w:rPr>
                <w:b w:val="0"/>
                <w:color w:val="1F2937"/>
                <w:sz w:val="17"/>
              </w:rPr>
              <w:t>€396k</w:t>
            </w:r>
          </w:p>
        </w:tc>
        <w:tc>
          <w:tcPr>
            <w:tcW w:type="dxa" w:w="1134"/>
          </w:tcPr>
          <w:p>
            <w:pPr>
              <w:spacing w:after="40" w:before="40"/>
            </w:pPr>
            <w:r/>
            <w:r>
              <w:rPr>
                <w:b w:val="0"/>
                <w:color w:val="1F2937"/>
                <w:sz w:val="17"/>
              </w:rPr>
              <w:t>€0.61M</w:t>
            </w:r>
          </w:p>
        </w:tc>
        <w:tc>
          <w:tcPr>
            <w:tcW w:type="dxa" w:w="1134"/>
          </w:tcPr>
          <w:p>
            <w:pPr>
              <w:spacing w:after="40" w:before="40"/>
            </w:pPr>
            <w:r/>
            <w:r>
              <w:rPr>
                <w:b w:val="0"/>
                <w:color w:val="1F2937"/>
                <w:sz w:val="17"/>
              </w:rPr>
              <w:t>€0.91M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pPr>
        <w:spacing w:after="120" w:before="0"/>
      </w:pPr>
    </w:p>
    <w:p>
      <w:pPr>
        <w:pStyle w:val="Heading2"/>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 from 20% to 32% purely because club nominations grow as a share of applicants, and a nominated applicant arrives with a verified club's credibility floor behind them. Club partnerships are not just a cheaper channel; they are a </w:t>
      </w: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 sitting in the queue is not listed, not matchable and not earning. At 0.6 FTE nobody automates to save the salary; you automate so supply goes live the day it applies.</w:t>
      </w:r>
    </w:p>
    <w:p>
      <w:pPr>
        <w:spacing w:after="120" w:before="0"/>
      </w:pPr>
    </w:p>
    <w:p>
      <w:pPr>
        <w:pStyle w:val="Heading2"/>
        <w:keepNext/>
        <w:spacing w:before="320" w:after="100"/>
      </w:pPr>
      <w:r>
        <w:rPr>
          <w:b/>
          <w:color w:val="1F2937"/>
          <w:sz w:val="25"/>
        </w:rPr>
        <w:t>Customer acquisition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p>
        </w:tc>
        <w:tc>
          <w:tcPr>
            <w:tcW w:type="dxa" w:w="2268"/>
          </w:tcPr>
          <w:p>
            <w:pPr>
              <w:spacing w:after="40" w:before="40"/>
            </w:pPr>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one conversation, a whole roster.</w:t>
      </w:r>
    </w:p>
    <w:p>
      <w:pPr>
        <w:spacing w:after="120" w:before="0"/>
      </w:pPr>
    </w:p>
    <w:p>
      <w:pPr>
        <w:pStyle w:val="Heading2"/>
        <w:keepNext/>
        <w:spacing w:before="320" w:after="100"/>
      </w:pPr>
      <w:r>
        <w:rPr>
          <w:b/>
          <w:color w:val="1F2937"/>
          <w:sz w:val="25"/>
        </w:rPr>
        <w:t>Cost structure at maturity (Y7)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25.1%</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16.8%</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€910k</w:t>
            </w:r>
          </w:p>
        </w:tc>
        <w:tc>
          <w:tcPr>
            <w:tcW w:type="dxa" w:w="3024"/>
          </w:tcPr>
          <w:p>
            <w:pPr>
              <w:spacing w:after="40" w:before="40"/>
            </w:pPr>
            <w:r/>
            <w:r>
              <w:rPr>
                <w:b w:val="0"/>
                <w:color w:val="1F2937"/>
                <w:sz w:val="17"/>
              </w:rPr>
              <w:t>9.0%</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€813k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3.3%</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2.7%</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2.3%</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€3.25M</w:t>
            </w:r>
          </w:p>
        </w:tc>
        <w:tc>
          <w:tcPr>
            <w:tcW w:type="dxa" w:w="3024"/>
          </w:tcPr>
          <w:p>
            <w:pPr>
              <w:spacing w:after="40" w:before="40"/>
            </w:pPr>
            <w:r/>
            <w:r>
              <w:rPr>
                <w:b/>
                <w:color w:val="1F2937"/>
                <w:sz w:val="17"/>
              </w:rPr>
              <w:t>32.0%</w:t>
            </w:r>
          </w:p>
        </w:tc>
      </w:tr>
    </w:tbl>
    <w:p>
      <w:pPr>
        <w:spacing w:after="160" w:before="0"/>
      </w:pPr>
    </w:p>
    <w:p>
      <w:pPr>
        <w:spacing w:after="140" w:line="276" w:lineRule="auto"/>
        <w:jc w:val="both"/>
      </w:pPr>
      <w:r>
        <w:rPr>
          <w:b w:val="0"/>
          <w:color w:val="1F2937"/>
          <w:sz w:val="20"/>
        </w:rPr>
        <w:t xml:space="preserve">Infrastructure is 3.3% of revenue. </w:t>
      </w:r>
      <w:r>
        <w:rPr>
          <w:b/>
          <w:color w:val="1F2937"/>
          <w:sz w:val="20"/>
        </w:rPr>
        <w:t>Payments are nearly eight times larger.</w:t>
      </w:r>
      <w:r>
        <w:rPr>
          <w:b w:val="0"/>
          <w:color w:val="1F2937"/>
          <w:sz w:val="20"/>
        </w:rPr>
        <w:t xml:space="preserve"> Any optimisation effort belongs there: tier pricing, annual billing, processor negotiation, not in the AWS bill.</w:t>
      </w:r>
    </w:p>
    <w:p>
      <w:r>
        <w:br w:type="page"/>
      </w:r>
    </w:p>
    <w:p>
      <w:pPr>
        <w:pStyle w:val="Heading1"/>
        <w:keepNext/>
        <w:spacing w:before="320" w:after="100"/>
        <w:pBdr>
          <w:bottom w:val="single" w:sz="6" w:space="8" w:color="D1D5DB"/>
        </w:pBdr>
      </w:pPr>
      <w:r>
        <w:rPr>
          <w:b/>
          <w:color w:val="1F2937"/>
          <w:sz w:val="32"/>
        </w:rPr>
        <w:t>Appendix C: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pStyle w:val="Heading2"/>
        <w:keepNext/>
        <w:spacing w:before="320" w:after="100"/>
      </w:pPr>
      <w:r>
        <w:rPr>
          <w:b/>
          <w:color w:val="1F2937"/>
          <w:sz w:val="25"/>
        </w:rPr>
        <w:t>Drivers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1.0</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9.0</w:t>
            </w:r>
          </w:p>
        </w:tc>
        <w:tc>
          <w:tcPr>
            <w:tcW w:type="dxa" w:w="825"/>
          </w:tcPr>
          <w:p>
            <w:pPr>
              <w:spacing w:after="40" w:before="40"/>
            </w:pPr>
            <w:r/>
            <w:r>
              <w:rPr>
                <w:b w:val="0"/>
                <w:color w:val="1F2937"/>
                <w:sz w:val="17"/>
              </w:rPr>
              <w:t>13.0</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23.0</w:t>
            </w:r>
          </w:p>
        </w:tc>
        <w:tc>
          <w:tcPr>
            <w:tcW w:type="dxa" w:w="825"/>
          </w:tcPr>
          <w:p>
            <w:pPr>
              <w:spacing w:after="40" w:before="40"/>
            </w:pPr>
            <w:r/>
            <w:r>
              <w:rPr>
                <w:b w:val="0"/>
                <w:color w:val="1F2937"/>
                <w:sz w:val="17"/>
              </w:rPr>
              <w:t>28.0</w:t>
            </w:r>
          </w:p>
        </w:tc>
      </w:tr>
    </w:tbl>
    <w:p>
      <w:pPr>
        <w:spacing w:after="160" w:before="0"/>
      </w:pPr>
    </w:p>
    <w:p>
      <w:pPr>
        <w:spacing w:after="120" w:before="0"/>
      </w:pPr>
    </w:p>
    <w:p>
      <w:pPr>
        <w:pStyle w:val="Heading2"/>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pStyle w:val="Heading2"/>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pPr>
        <w:pStyle w:val="Heading3"/>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pStyle w:val="Heading2"/>
        <w:keepNext/>
        <w:spacing w:before="320" w:after="100"/>
      </w:pPr>
      <w:r>
        <w:rPr>
          <w:b/>
          <w:color w:val="1F2937"/>
          <w:sz w:val="25"/>
        </w:rPr>
        <w:t>Marketplace volume (GMV)</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pStyle w:val="Heading2"/>
        <w:keepNext/>
        <w:spacing w:before="320" w:after="100"/>
      </w:pPr>
      <w:r>
        <w:rPr>
          <w:b/>
          <w:color w:val="1F2937"/>
          <w:sz w:val="25"/>
        </w:rPr>
        <w:t>Net revenue</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(blended by plan)</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€81k</w:t>
            </w:r>
          </w:p>
        </w:tc>
        <w:tc>
          <w:tcPr>
            <w:tcW w:type="dxa" w:w="825"/>
          </w:tcPr>
          <w:p>
            <w:pPr>
              <w:spacing w:after="40" w:before="40"/>
            </w:pPr>
            <w:r/>
            <w:r>
              <w:rPr>
                <w:b w:val="0"/>
                <w:color w:val="1F2937"/>
                <w:sz w:val="17"/>
              </w:rPr>
              <w:t>€319k</w:t>
            </w:r>
          </w:p>
        </w:tc>
        <w:tc>
          <w:tcPr>
            <w:tcW w:type="dxa" w:w="825"/>
          </w:tcPr>
          <w:p>
            <w:pPr>
              <w:spacing w:after="40" w:before="40"/>
            </w:pPr>
            <w:r/>
            <w:r>
              <w:rPr>
                <w:b w:val="0"/>
                <w:color w:val="1F2937"/>
                <w:sz w:val="17"/>
              </w:rPr>
              <w:t>€907k</w:t>
            </w:r>
          </w:p>
        </w:tc>
        <w:tc>
          <w:tcPr>
            <w:tcW w:type="dxa" w:w="825"/>
          </w:tcPr>
          <w:p>
            <w:pPr>
              <w:spacing w:after="40" w:before="40"/>
            </w:pPr>
            <w:r/>
            <w:r>
              <w:rPr>
                <w:b w:val="0"/>
                <w:color w:val="1F2937"/>
                <w:sz w:val="17"/>
              </w:rPr>
              <w:t>€2.00M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€5.07M</w:t>
            </w:r>
          </w:p>
        </w:tc>
        <w:tc>
          <w:tcPr>
            <w:tcW w:type="dxa" w:w="825"/>
          </w:tcPr>
          <w:p>
            <w:pPr>
              <w:spacing w:after="40" w:before="40"/>
            </w:pPr>
            <w:r/>
            <w:r>
              <w:rPr>
                <w:b w:val="0"/>
                <w:color w:val="1F2937"/>
                <w:sz w:val="17"/>
              </w:rPr>
              <w:t>€6.52M</w:t>
            </w:r>
          </w:p>
        </w:tc>
        <w:tc>
          <w:tcPr>
            <w:tcW w:type="dxa" w:w="825"/>
          </w:tcPr>
          <w:p>
            <w:pPr>
              <w:spacing w:after="40" w:before="40"/>
            </w:pPr>
            <w:r/>
            <w:r>
              <w:rPr>
                <w:b w:val="0"/>
                <w:color w:val="1F2937"/>
                <w:sz w:val="17"/>
              </w:rPr>
              <w:t>€8.74M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€133k</w:t>
            </w:r>
          </w:p>
        </w:tc>
        <w:tc>
          <w:tcPr>
            <w:tcW w:type="dxa" w:w="825"/>
          </w:tcPr>
          <w:p>
            <w:pPr>
              <w:spacing w:after="40" w:before="40"/>
            </w:pPr>
            <w:r/>
            <w:r>
              <w:rPr>
                <w:b w:val="0"/>
                <w:color w:val="1F2937"/>
                <w:sz w:val="17"/>
              </w:rPr>
              <w:t>€525k</w:t>
            </w:r>
          </w:p>
        </w:tc>
        <w:tc>
          <w:tcPr>
            <w:tcW w:type="dxa" w:w="825"/>
          </w:tcPr>
          <w:p>
            <w:pPr>
              <w:spacing w:after="40" w:before="40"/>
            </w:pPr>
            <w:r/>
            <w:r>
              <w:rPr>
                <w:b w:val="0"/>
                <w:color w:val="1F2937"/>
                <w:sz w:val="17"/>
              </w:rPr>
              <w:t>€1.46M</w:t>
            </w:r>
          </w:p>
        </w:tc>
        <w:tc>
          <w:tcPr>
            <w:tcW w:type="dxa" w:w="825"/>
          </w:tcPr>
          <w:p>
            <w:pPr>
              <w:spacing w:after="40" w:before="40"/>
            </w:pPr>
            <w:r/>
            <w:r>
              <w:rPr>
                <w:b w:val="0"/>
                <w:color w:val="1F2937"/>
                <w:sz w:val="17"/>
              </w:rPr>
              <w:t>€3.29M</w:t>
            </w:r>
          </w:p>
        </w:tc>
        <w:tc>
          <w:tcPr>
            <w:tcW w:type="dxa" w:w="825"/>
          </w:tcPr>
          <w:p>
            <w:pPr>
              <w:spacing w:after="40" w:before="40"/>
            </w:pPr>
            <w:r/>
            <w:r>
              <w:rPr>
                <w:b w:val="0"/>
                <w:color w:val="1F2937"/>
                <w:sz w:val="17"/>
              </w:rPr>
              <w:t>€6.22M</w:t>
            </w:r>
          </w:p>
        </w:tc>
        <w:tc>
          <w:tcPr>
            <w:tcW w:type="dxa" w:w="825"/>
          </w:tcPr>
          <w:p>
            <w:pPr>
              <w:spacing w:after="40" w:before="40"/>
            </w:pPr>
            <w:r/>
            <w:r>
              <w:rPr>
                <w:b w:val="0"/>
                <w:color w:val="1F2937"/>
                <w:sz w:val="17"/>
              </w:rPr>
              <w:t>€10.16M</w:t>
            </w:r>
          </w:p>
        </w:tc>
        <w:tc>
          <w:tcPr>
            <w:tcW w:type="dxa" w:w="825"/>
          </w:tcPr>
          <w:p>
            <w:pPr>
              <w:spacing w:after="40" w:before="40"/>
            </w:pPr>
            <w:r/>
            <w:r>
              <w:rPr>
                <w:b w:val="0"/>
                <w:color w:val="1F2937"/>
                <w:sz w:val="17"/>
              </w:rPr>
              <w:t>€14.57M</w:t>
            </w:r>
          </w:p>
        </w:tc>
        <w:tc>
          <w:tcPr>
            <w:tcW w:type="dxa" w:w="825"/>
          </w:tcPr>
          <w:p>
            <w:pPr>
              <w:spacing w:after="40" w:before="40"/>
            </w:pPr>
            <w:r/>
            <w:r>
              <w:rPr>
                <w:b w:val="0"/>
                <w:color w:val="1F2937"/>
                <w:sz w:val="17"/>
              </w:rPr>
              <w:t>€18.84M</w:t>
            </w:r>
          </w:p>
        </w:tc>
        <w:tc>
          <w:tcPr>
            <w:tcW w:type="dxa" w:w="825"/>
          </w:tcPr>
          <w:p>
            <w:pPr>
              <w:spacing w:after="40" w:before="40"/>
            </w:pPr>
            <w:r/>
            <w:r>
              <w:rPr>
                <w:b w:val="0"/>
                <w:color w:val="1F2937"/>
                <w:sz w:val="17"/>
              </w:rPr>
              <w:t>€23.91M</w:t>
            </w:r>
          </w:p>
        </w:tc>
      </w:tr>
    </w:tbl>
    <w:p>
      <w:pPr>
        <w:spacing w:after="160" w:before="0"/>
      </w:pPr>
    </w:p>
    <w:p>
      <w:pPr>
        <w:spacing w:after="140" w:line="276" w:lineRule="auto"/>
        <w:jc w:val="both"/>
      </w:pPr>
      <w:r>
        <w:rPr>
          <w:b w:val="0"/>
          <w:color w:val="1F2937"/>
          <w:sz w:val="20"/>
        </w:rPr>
        <w:t>Growth: Y2 +440%, Y3 +298%, Y4 +181%, Y5 +128%, Y6 +90%, Y7 +64%. A decelerating curve that stays above 50% through Y7 is what a Series B buyer wants to see.</w:t>
      </w:r>
    </w:p>
    <w:p>
      <w:pPr>
        <w:spacing w:after="120" w:before="0"/>
      </w:pPr>
    </w:p>
    <w:p>
      <w:pPr>
        <w:pStyle w:val="Heading2"/>
        <w:keepNext/>
        <w:spacing w:before="320" w:after="100"/>
      </w:pPr>
      <w:r>
        <w:rPr>
          <w:b/>
          <w:color w:val="1F2937"/>
          <w:sz w:val="25"/>
        </w:rPr>
        <w:t>Profit and loss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€133k</w:t>
            </w:r>
          </w:p>
        </w:tc>
        <w:tc>
          <w:tcPr>
            <w:tcW w:type="dxa" w:w="825"/>
          </w:tcPr>
          <w:p>
            <w:pPr>
              <w:spacing w:after="40" w:before="40"/>
            </w:pPr>
            <w:r/>
            <w:r>
              <w:rPr>
                <w:b w:val="0"/>
                <w:color w:val="1F2937"/>
                <w:sz w:val="17"/>
              </w:rPr>
              <w:t>€525k</w:t>
            </w:r>
          </w:p>
        </w:tc>
        <w:tc>
          <w:tcPr>
            <w:tcW w:type="dxa" w:w="825"/>
          </w:tcPr>
          <w:p>
            <w:pPr>
              <w:spacing w:after="40" w:before="40"/>
            </w:pPr>
            <w:r/>
            <w:r>
              <w:rPr>
                <w:b w:val="0"/>
                <w:color w:val="1F2937"/>
                <w:sz w:val="17"/>
              </w:rPr>
              <w:t>€1.46M</w:t>
            </w:r>
          </w:p>
        </w:tc>
        <w:tc>
          <w:tcPr>
            <w:tcW w:type="dxa" w:w="825"/>
          </w:tcPr>
          <w:p>
            <w:pPr>
              <w:spacing w:after="40" w:before="40"/>
            </w:pPr>
            <w:r/>
            <w:r>
              <w:rPr>
                <w:b w:val="0"/>
                <w:color w:val="1F2937"/>
                <w:sz w:val="17"/>
              </w:rPr>
              <w:t>€3.29M</w:t>
            </w:r>
          </w:p>
        </w:tc>
        <w:tc>
          <w:tcPr>
            <w:tcW w:type="dxa" w:w="825"/>
          </w:tcPr>
          <w:p>
            <w:pPr>
              <w:spacing w:after="40" w:before="40"/>
            </w:pPr>
            <w:r/>
            <w:r>
              <w:rPr>
                <w:b w:val="0"/>
                <w:color w:val="1F2937"/>
                <w:sz w:val="17"/>
              </w:rPr>
              <w:t>€6.22M</w:t>
            </w:r>
          </w:p>
        </w:tc>
        <w:tc>
          <w:tcPr>
            <w:tcW w:type="dxa" w:w="825"/>
          </w:tcPr>
          <w:p>
            <w:pPr>
              <w:spacing w:after="40" w:before="40"/>
            </w:pPr>
            <w:r/>
            <w:r>
              <w:rPr>
                <w:b w:val="0"/>
                <w:color w:val="1F2937"/>
                <w:sz w:val="17"/>
              </w:rPr>
              <w:t>€10.16M</w:t>
            </w:r>
          </w:p>
        </w:tc>
        <w:tc>
          <w:tcPr>
            <w:tcW w:type="dxa" w:w="825"/>
          </w:tcPr>
          <w:p>
            <w:pPr>
              <w:spacing w:after="40" w:before="40"/>
            </w:pPr>
            <w:r/>
            <w:r>
              <w:rPr>
                <w:b w:val="0"/>
                <w:color w:val="1F2937"/>
                <w:sz w:val="17"/>
              </w:rPr>
              <w:t>€14.57M</w:t>
            </w:r>
          </w:p>
        </w:tc>
        <w:tc>
          <w:tcPr>
            <w:tcW w:type="dxa" w:w="825"/>
          </w:tcPr>
          <w:p>
            <w:pPr>
              <w:spacing w:after="40" w:before="40"/>
            </w:pPr>
            <w:r/>
            <w:r>
              <w:rPr>
                <w:b w:val="0"/>
                <w:color w:val="1F2937"/>
                <w:sz w:val="17"/>
              </w:rPr>
              <w:t>€18.84M</w:t>
            </w:r>
          </w:p>
        </w:tc>
        <w:tc>
          <w:tcPr>
            <w:tcW w:type="dxa" w:w="825"/>
          </w:tcPr>
          <w:p>
            <w:pPr>
              <w:spacing w:after="40" w:before="40"/>
            </w:pPr>
            <w:r/>
            <w:r>
              <w:rPr>
                <w:b w:val="0"/>
                <w:color w:val="1F2937"/>
                <w:sz w:val="17"/>
              </w:rPr>
              <w:t>€23.91M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€76k</w:t>
            </w:r>
          </w:p>
        </w:tc>
        <w:tc>
          <w:tcPr>
            <w:tcW w:type="dxa" w:w="825"/>
          </w:tcPr>
          <w:p>
            <w:pPr>
              <w:spacing w:after="40" w:before="40"/>
            </w:pPr>
            <w:r/>
            <w:r>
              <w:rPr>
                <w:b w:val="0"/>
                <w:color w:val="1F2937"/>
                <w:sz w:val="17"/>
              </w:rPr>
              <w:t>€334k</w:t>
            </w:r>
          </w:p>
        </w:tc>
        <w:tc>
          <w:tcPr>
            <w:tcW w:type="dxa" w:w="825"/>
          </w:tcPr>
          <w:p>
            <w:pPr>
              <w:spacing w:after="40" w:before="40"/>
            </w:pPr>
            <w:r/>
            <w:r>
              <w:rPr>
                <w:b w:val="0"/>
                <w:color w:val="1F2937"/>
                <w:sz w:val="17"/>
              </w:rPr>
              <w:t>€958k</w:t>
            </w:r>
          </w:p>
        </w:tc>
        <w:tc>
          <w:tcPr>
            <w:tcW w:type="dxa" w:w="825"/>
          </w:tcPr>
          <w:p>
            <w:pPr>
              <w:spacing w:after="40" w:before="40"/>
            </w:pPr>
            <w:r/>
            <w:r>
              <w:rPr>
                <w:b w:val="0"/>
                <w:color w:val="1F2937"/>
                <w:sz w:val="17"/>
              </w:rPr>
              <w:t>€2.20M</w:t>
            </w:r>
          </w:p>
        </w:tc>
        <w:tc>
          <w:tcPr>
            <w:tcW w:type="dxa" w:w="825"/>
          </w:tcPr>
          <w:p>
            <w:pPr>
              <w:spacing w:after="40" w:before="40"/>
            </w:pPr>
            <w:r/>
            <w:r>
              <w:rPr>
                <w:b w:val="0"/>
                <w:color w:val="1F2937"/>
                <w:sz w:val="17"/>
              </w:rPr>
              <w:t>€4.22M</w:t>
            </w:r>
          </w:p>
        </w:tc>
        <w:tc>
          <w:tcPr>
            <w:tcW w:type="dxa" w:w="825"/>
          </w:tcPr>
          <w:p>
            <w:pPr>
              <w:spacing w:after="40" w:before="40"/>
            </w:pPr>
            <w:r/>
            <w:r>
              <w:rPr>
                <w:b w:val="0"/>
                <w:color w:val="1F2937"/>
                <w:sz w:val="17"/>
              </w:rPr>
              <w:t>€6.95M</w:t>
            </w:r>
          </w:p>
        </w:tc>
        <w:tc>
          <w:tcPr>
            <w:tcW w:type="dxa" w:w="825"/>
          </w:tcPr>
          <w:p>
            <w:pPr>
              <w:spacing w:after="40" w:before="40"/>
            </w:pPr>
            <w:r/>
            <w:r>
              <w:rPr>
                <w:b w:val="0"/>
                <w:color w:val="1F2937"/>
                <w:sz w:val="17"/>
              </w:rPr>
              <w:t>€10.03M</w:t>
            </w:r>
          </w:p>
        </w:tc>
        <w:tc>
          <w:tcPr>
            <w:tcW w:type="dxa" w:w="825"/>
          </w:tcPr>
          <w:p>
            <w:pPr>
              <w:spacing w:after="40" w:before="40"/>
            </w:pPr>
            <w:r/>
            <w:r>
              <w:rPr>
                <w:b w:val="0"/>
                <w:color w:val="1F2937"/>
                <w:sz w:val="17"/>
              </w:rPr>
              <w:t>€12.97M</w:t>
            </w:r>
          </w:p>
        </w:tc>
        <w:tc>
          <w:tcPr>
            <w:tcW w:type="dxa" w:w="825"/>
          </w:tcPr>
          <w:p>
            <w:pPr>
              <w:spacing w:after="40" w:before="40"/>
            </w:pPr>
            <w:r/>
            <w:r>
              <w:rPr>
                <w:b w:val="0"/>
                <w:color w:val="1F2937"/>
                <w:sz w:val="17"/>
              </w:rPr>
              <w:t>€16.53M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66%</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69%</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€78k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€224k</w:t>
            </w:r>
          </w:p>
        </w:tc>
        <w:tc>
          <w:tcPr>
            <w:tcW w:type="dxa" w:w="825"/>
          </w:tcPr>
          <w:p>
            <w:pPr>
              <w:spacing w:after="40" w:before="40"/>
            </w:pPr>
            <w:r/>
            <w:r>
              <w:rPr>
                <w:b w:val="0"/>
                <w:color w:val="1F2937"/>
                <w:sz w:val="17"/>
              </w:rPr>
              <w:t>€396k</w:t>
            </w:r>
          </w:p>
        </w:tc>
        <w:tc>
          <w:tcPr>
            <w:tcW w:type="dxa" w:w="825"/>
          </w:tcPr>
          <w:p>
            <w:pPr>
              <w:spacing w:after="40" w:before="40"/>
            </w:pPr>
            <w:r/>
            <w:r>
              <w:rPr>
                <w:b w:val="0"/>
                <w:color w:val="1F2937"/>
                <w:sz w:val="17"/>
              </w:rPr>
              <w:t>€612k</w:t>
            </w:r>
          </w:p>
        </w:tc>
        <w:tc>
          <w:tcPr>
            <w:tcW w:type="dxa" w:w="825"/>
          </w:tcPr>
          <w:p>
            <w:pPr>
              <w:spacing w:after="40" w:before="40"/>
            </w:pPr>
            <w:r/>
            <w:r>
              <w:rPr>
                <w:b w:val="0"/>
                <w:color w:val="1F2937"/>
                <w:sz w:val="17"/>
              </w:rPr>
              <w:t>€910k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€2.13M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€42k</w:t>
            </w:r>
          </w:p>
        </w:tc>
        <w:tc>
          <w:tcPr>
            <w:tcW w:type="dxa" w:w="825"/>
          </w:tcPr>
          <w:p>
            <w:pPr>
              <w:spacing w:after="40" w:before="40"/>
            </w:pPr>
            <w:r/>
            <w:r>
              <w:rPr>
                <w:b w:val="0"/>
                <w:color w:val="1F2937"/>
                <w:sz w:val="17"/>
              </w:rPr>
              <w:t>€117k</w:t>
            </w:r>
          </w:p>
        </w:tc>
        <w:tc>
          <w:tcPr>
            <w:tcW w:type="dxa" w:w="825"/>
          </w:tcPr>
          <w:p>
            <w:pPr>
              <w:spacing w:after="40" w:before="40"/>
            </w:pPr>
            <w:r/>
            <w:r>
              <w:rPr>
                <w:b w:val="0"/>
                <w:color w:val="1F2937"/>
                <w:sz w:val="17"/>
              </w:rPr>
              <w:t>€263k</w:t>
            </w:r>
          </w:p>
        </w:tc>
        <w:tc>
          <w:tcPr>
            <w:tcW w:type="dxa" w:w="825"/>
          </w:tcPr>
          <w:p>
            <w:pPr>
              <w:spacing w:after="40" w:before="40"/>
            </w:pPr>
            <w:r/>
            <w:r>
              <w:rPr>
                <w:b w:val="0"/>
                <w:color w:val="1F2937"/>
                <w:sz w:val="17"/>
              </w:rPr>
              <w:t>€498k</w:t>
            </w:r>
          </w:p>
        </w:tc>
        <w:tc>
          <w:tcPr>
            <w:tcW w:type="dxa" w:w="825"/>
          </w:tcPr>
          <w:p>
            <w:pPr>
              <w:spacing w:after="40" w:before="40"/>
            </w:pPr>
            <w:r/>
            <w:r>
              <w:rPr>
                <w:b w:val="0"/>
                <w:color w:val="1F2937"/>
                <w:sz w:val="17"/>
              </w:rPr>
              <w:t>€813k</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€1.51M</w:t>
            </w:r>
          </w:p>
        </w:tc>
        <w:tc>
          <w:tcPr>
            <w:tcW w:type="dxa" w:w="825"/>
          </w:tcPr>
          <w:p>
            <w:pPr>
              <w:spacing w:after="40" w:before="40"/>
            </w:pPr>
            <w:r/>
            <w:r>
              <w:rPr>
                <w:b w:val="0"/>
                <w:color w:val="1F2937"/>
                <w:sz w:val="17"/>
              </w:rPr>
              <w:t>€1.91M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€-76k</w:t>
            </w:r>
          </w:p>
        </w:tc>
        <w:tc>
          <w:tcPr>
            <w:tcW w:type="dxa" w:w="825"/>
          </w:tcPr>
          <w:p>
            <w:pPr>
              <w:spacing w:after="40" w:before="40"/>
            </w:pPr>
            <w:r/>
            <w:r>
              <w:rPr>
                <w:b w:val="0"/>
                <w:color w:val="1F2937"/>
                <w:sz w:val="17"/>
              </w:rPr>
              <w:t>€-145k</w:t>
            </w:r>
          </w:p>
        </w:tc>
        <w:tc>
          <w:tcPr>
            <w:tcW w:type="dxa" w:w="825"/>
          </w:tcPr>
          <w:p>
            <w:pPr>
              <w:spacing w:after="40" w:before="40"/>
            </w:pPr>
            <w:r/>
            <w:r>
              <w:rPr>
                <w:b w:val="0"/>
                <w:color w:val="1F2937"/>
                <w:sz w:val="17"/>
              </w:rPr>
              <w:t>€-147k</w:t>
            </w:r>
          </w:p>
        </w:tc>
        <w:tc>
          <w:tcPr>
            <w:tcW w:type="dxa" w:w="825"/>
          </w:tcPr>
          <w:p>
            <w:pPr>
              <w:spacing w:after="40" w:before="40"/>
            </w:pPr>
            <w:r/>
            <w:r>
              <w:rPr>
                <w:b w:val="0"/>
                <w:color w:val="1F2937"/>
                <w:sz w:val="17"/>
              </w:rPr>
              <w:t>€-53k</w:t>
            </w:r>
          </w:p>
        </w:tc>
        <w:tc>
          <w:tcPr>
            <w:tcW w:type="dxa" w:w="825"/>
          </w:tcPr>
          <w:p>
            <w:pPr>
              <w:spacing w:after="40" w:before="40"/>
            </w:pPr>
            <w:r/>
            <w:r>
              <w:rPr>
                <w:b w:val="0"/>
                <w:color w:val="1F2937"/>
                <w:sz w:val="17"/>
              </w:rPr>
              <w:t>€420k</w:t>
            </w:r>
          </w:p>
        </w:tc>
        <w:tc>
          <w:tcPr>
            <w:tcW w:type="dxa" w:w="825"/>
          </w:tcPr>
          <w:p>
            <w:pPr>
              <w:spacing w:after="40" w:before="40"/>
            </w:pPr>
            <w:r/>
            <w:r>
              <w:rPr>
                <w:b w:val="0"/>
                <w:color w:val="1F2937"/>
                <w:sz w:val="17"/>
              </w:rPr>
              <w:t>€1.57M</w:t>
            </w:r>
          </w:p>
        </w:tc>
        <w:tc>
          <w:tcPr>
            <w:tcW w:type="dxa" w:w="825"/>
          </w:tcPr>
          <w:p>
            <w:pPr>
              <w:spacing w:after="40" w:before="40"/>
            </w:pPr>
            <w:r/>
            <w:r>
              <w:rPr>
                <w:b w:val="0"/>
                <w:color w:val="1F2937"/>
                <w:sz w:val="17"/>
              </w:rPr>
              <w:t>€3.25M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€7.64M</w:t>
            </w:r>
          </w:p>
        </w:tc>
        <w:tc>
          <w:tcPr>
            <w:tcW w:type="dxa" w:w="825"/>
          </w:tcPr>
          <w:p>
            <w:pPr>
              <w:spacing w:after="40" w:before="40"/>
            </w:pPr>
            <w:r/>
            <w:r>
              <w:rPr>
                <w:b w:val="0"/>
                <w:color w:val="1F2937"/>
                <w:sz w:val="17"/>
              </w:rPr>
              <w:t>€10.20M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€193k</w:t>
            </w:r>
          </w:p>
        </w:tc>
        <w:tc>
          <w:tcPr>
            <w:tcW w:type="dxa" w:w="825"/>
          </w:tcPr>
          <w:p>
            <w:pPr>
              <w:spacing w:after="40" w:before="40"/>
            </w:pPr>
            <w:r/>
            <w:r>
              <w:rPr>
                <w:b w:val="0"/>
                <w:color w:val="1F2937"/>
                <w:sz w:val="17"/>
              </w:rPr>
              <w:t>€459k</w:t>
            </w:r>
          </w:p>
        </w:tc>
        <w:tc>
          <w:tcPr>
            <w:tcW w:type="dxa" w:w="825"/>
          </w:tcPr>
          <w:p>
            <w:pPr>
              <w:spacing w:after="40" w:before="40"/>
            </w:pPr>
            <w:r/>
            <w:r>
              <w:rPr>
                <w:b w:val="0"/>
                <w:color w:val="1F2937"/>
                <w:sz w:val="17"/>
              </w:rPr>
              <w:t>€769k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€2.42M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€-106k</w:t>
            </w:r>
          </w:p>
        </w:tc>
        <w:tc>
          <w:tcPr>
            <w:tcW w:type="dxa" w:w="825"/>
          </w:tcPr>
          <w:p>
            <w:pPr>
              <w:spacing w:after="40" w:before="40"/>
            </w:pPr>
            <w:r/>
            <w:r>
              <w:rPr>
                <w:b w:val="0"/>
                <w:color w:val="1F2937"/>
                <w:sz w:val="17"/>
              </w:rPr>
              <w:t>€-262k</w:t>
            </w:r>
          </w:p>
        </w:tc>
        <w:tc>
          <w:tcPr>
            <w:tcW w:type="dxa" w:w="825"/>
          </w:tcPr>
          <w:p>
            <w:pPr>
              <w:spacing w:after="40" w:before="40"/>
            </w:pPr>
            <w:r/>
            <w:r>
              <w:rPr>
                <w:b w:val="0"/>
                <w:color w:val="1F2937"/>
                <w:sz w:val="17"/>
              </w:rPr>
              <w:t>€-517k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€-1.10M</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€-1.20M</w:t>
            </w:r>
          </w:p>
        </w:tc>
        <w:tc>
          <w:tcPr>
            <w:tcW w:type="dxa" w:w="825"/>
          </w:tcPr>
          <w:p>
            <w:pPr>
              <w:spacing w:after="40" w:before="40"/>
            </w:pPr>
            <w:r/>
            <w:r>
              <w:rPr>
                <w:b w:val="0"/>
                <w:color w:val="1F2937"/>
                <w:sz w:val="17"/>
              </w:rPr>
              <w:t>€-1.50M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€36k</w:t>
            </w:r>
          </w:p>
        </w:tc>
        <w:tc>
          <w:tcPr>
            <w:tcW w:type="dxa" w:w="825"/>
          </w:tcPr>
          <w:p>
            <w:pPr>
              <w:spacing w:after="40" w:before="40"/>
            </w:pPr>
            <w:r/>
            <w:r>
              <w:rPr>
                <w:b w:val="0"/>
                <w:color w:val="1F2937"/>
                <w:sz w:val="17"/>
              </w:rPr>
              <w:t>€67k</w:t>
            </w:r>
          </w:p>
        </w:tc>
        <w:tc>
          <w:tcPr>
            <w:tcW w:type="dxa" w:w="825"/>
          </w:tcPr>
          <w:p>
            <w:pPr>
              <w:spacing w:after="40" w:before="40"/>
            </w:pPr>
            <w:r/>
            <w:r>
              <w:rPr>
                <w:b w:val="0"/>
                <w:color w:val="1F2937"/>
                <w:sz w:val="17"/>
              </w:rPr>
              <w:t>€119k</w:t>
            </w:r>
          </w:p>
        </w:tc>
        <w:tc>
          <w:tcPr>
            <w:tcW w:type="dxa" w:w="825"/>
          </w:tcPr>
          <w:p>
            <w:pPr>
              <w:spacing w:after="40" w:before="40"/>
            </w:pPr>
            <w:r/>
            <w:r>
              <w:rPr>
                <w:b w:val="0"/>
                <w:color w:val="1F2937"/>
                <w:sz w:val="17"/>
              </w:rPr>
              <w:t>€184k</w:t>
            </w:r>
          </w:p>
        </w:tc>
        <w:tc>
          <w:tcPr>
            <w:tcW w:type="dxa" w:w="825"/>
          </w:tcPr>
          <w:p>
            <w:pPr>
              <w:spacing w:after="40" w:before="40"/>
            </w:pPr>
            <w:r/>
            <w:r>
              <w:rPr>
                <w:b w:val="0"/>
                <w:color w:val="1F2937"/>
                <w:sz w:val="17"/>
              </w:rPr>
              <w:t>€273k</w:t>
            </w:r>
          </w:p>
        </w:tc>
        <w:tc>
          <w:tcPr>
            <w:tcW w:type="dxa" w:w="825"/>
          </w:tcPr>
          <w:p>
            <w:pPr>
              <w:spacing w:after="40" w:before="40"/>
            </w:pPr>
            <w:r/>
            <w:r>
              <w:rPr>
                <w:b w:val="0"/>
                <w:color w:val="1F2937"/>
                <w:sz w:val="17"/>
              </w:rPr>
              <w:t>€389k</w:t>
            </w:r>
          </w:p>
        </w:tc>
        <w:tc>
          <w:tcPr>
            <w:tcW w:type="dxa" w:w="825"/>
          </w:tcPr>
          <w:p>
            <w:pPr>
              <w:spacing w:after="40" w:before="40"/>
            </w:pPr>
            <w:r/>
            <w:r>
              <w:rPr>
                <w:b w:val="0"/>
                <w:color w:val="1F2937"/>
                <w:sz w:val="17"/>
              </w:rPr>
              <w:t>€511k</w:t>
            </w:r>
          </w:p>
        </w:tc>
        <w:tc>
          <w:tcPr>
            <w:tcW w:type="dxa" w:w="825"/>
          </w:tcPr>
          <w:p>
            <w:pPr>
              <w:spacing w:after="40" w:before="40"/>
            </w:pPr>
            <w:r/>
            <w:r>
              <w:rPr>
                <w:b w:val="0"/>
                <w:color w:val="1F2937"/>
                <w:sz w:val="17"/>
              </w:rPr>
              <w:t>€638k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€-130k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€142k</w:t>
            </w:r>
          </w:p>
        </w:tc>
        <w:tc>
          <w:tcPr>
            <w:tcW w:type="dxa" w:w="825"/>
          </w:tcPr>
          <w:p>
            <w:pPr>
              <w:spacing w:after="40" w:before="40"/>
            </w:pPr>
            <w:r/>
            <w:r>
              <w:rPr>
                <w:b w:val="0"/>
                <w:color w:val="1F2937"/>
                <w:sz w:val="17"/>
              </w:rPr>
              <w:t>€819k</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€5.49M</w:t>
            </w:r>
          </w:p>
        </w:tc>
        <w:tc>
          <w:tcPr>
            <w:tcW w:type="dxa" w:w="825"/>
          </w:tcPr>
          <w:p>
            <w:pPr>
              <w:spacing w:after="40" w:before="40"/>
            </w:pPr>
            <w:r/>
            <w:r>
              <w:rPr>
                <w:b w:val="0"/>
                <w:color w:val="1F2937"/>
                <w:sz w:val="17"/>
              </w:rPr>
              <w:t>€7.24M</w:t>
            </w:r>
          </w:p>
        </w:tc>
        <w:tc>
          <w:tcPr>
            <w:tcW w:type="dxa" w:w="825"/>
          </w:tcPr>
          <w:p>
            <w:pPr>
              <w:spacing w:after="40" w:before="40"/>
            </w:pPr>
            <w:r/>
            <w:r>
              <w:rPr>
                <w:b w:val="0"/>
                <w:color w:val="1F2937"/>
                <w:sz w:val="17"/>
              </w:rPr>
              <w:t>€8.64M</w:t>
            </w:r>
          </w:p>
        </w:tc>
      </w:tr>
    </w:tbl>
    <w:p>
      <w:pPr>
        <w:spacing w:after="160" w:before="0"/>
      </w:pPr>
    </w:p>
    <w:p>
      <w:pPr>
        <w:spacing w:after="140" w:line="276" w:lineRule="auto"/>
        <w:jc w:val="both"/>
      </w:pPr>
      <w:r>
        <w:rPr>
          <w:b w:val="0"/>
          <w:color w:val="1F2937"/>
          <w:sz w:val="20"/>
        </w:rPr>
        <w:t xml:space="preserve">Free cash flow is EBITDA less tax, working capital movement and capex,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pStyle w:val="Heading2"/>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€-73k</w:t>
            </w:r>
          </w:p>
        </w:tc>
        <w:tc>
          <w:tcPr>
            <w:tcW w:type="dxa" w:w="3024"/>
          </w:tcPr>
          <w:p>
            <w:pPr>
              <w:spacing w:after="40" w:before="40"/>
            </w:pPr>
            <w:r/>
            <w:r>
              <w:rPr>
                <w:b w:val="0"/>
                <w:color w:val="1F2937"/>
                <w:sz w:val="17"/>
              </w:rPr>
              <w:t>€-73k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€-130k</w:t>
            </w:r>
          </w:p>
        </w:tc>
        <w:tc>
          <w:tcPr>
            <w:tcW w:type="dxa" w:w="3024"/>
          </w:tcPr>
          <w:p>
            <w:pPr>
              <w:spacing w:after="40" w:before="40"/>
            </w:pPr>
            <w:r/>
            <w:r>
              <w:rPr>
                <w:b w:val="0"/>
                <w:color w:val="1F2937"/>
                <w:sz w:val="17"/>
              </w:rPr>
              <w:t>€-203k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€-77k</w:t>
            </w:r>
          </w:p>
        </w:tc>
        <w:tc>
          <w:tcPr>
            <w:tcW w:type="dxa" w:w="3024"/>
          </w:tcPr>
          <w:p>
            <w:pPr>
              <w:spacing w:after="40" w:before="40"/>
            </w:pPr>
            <w:r/>
            <w:r>
              <w:rPr>
                <w:b w:val="0"/>
                <w:color w:val="1F2937"/>
                <w:sz w:val="17"/>
              </w:rPr>
              <w:t>€-280k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€142k</w:t>
            </w:r>
          </w:p>
        </w:tc>
        <w:tc>
          <w:tcPr>
            <w:tcW w:type="dxa" w:w="3024"/>
          </w:tcPr>
          <w:p>
            <w:pPr>
              <w:spacing w:after="40" w:before="40"/>
            </w:pPr>
            <w:r/>
            <w:r>
              <w:rPr>
                <w:b w:val="0"/>
                <w:color w:val="1F2937"/>
                <w:sz w:val="17"/>
              </w:rPr>
              <w:t>€-138k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€819k</w:t>
            </w:r>
          </w:p>
        </w:tc>
        <w:tc>
          <w:tcPr>
            <w:tcW w:type="dxa" w:w="3024"/>
          </w:tcPr>
          <w:p>
            <w:pPr>
              <w:spacing w:after="40" w:before="40"/>
            </w:pPr>
            <w:r/>
            <w:r>
              <w:rPr>
                <w:b w:val="0"/>
                <w:color w:val="1F2937"/>
                <w:sz w:val="17"/>
              </w:rPr>
              <w:t>€681k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€2.02M</w:t>
            </w:r>
          </w:p>
        </w:tc>
        <w:tc>
          <w:tcPr>
            <w:tcW w:type="dxa" w:w="3024"/>
          </w:tcPr>
          <w:p>
            <w:pPr>
              <w:spacing w:after="40" w:before="40"/>
            </w:pPr>
            <w:r/>
            <w:r>
              <w:rPr>
                <w:b w:val="0"/>
                <w:color w:val="1F2937"/>
                <w:sz w:val="17"/>
              </w:rPr>
              <w:t>€2.70M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€3.62M</w:t>
            </w:r>
          </w:p>
        </w:tc>
        <w:tc>
          <w:tcPr>
            <w:tcW w:type="dxa" w:w="3024"/>
          </w:tcPr>
          <w:p>
            <w:pPr>
              <w:spacing w:after="40" w:before="40"/>
            </w:pPr>
            <w:r/>
            <w:r>
              <w:rPr>
                <w:b w:val="0"/>
                <w:color w:val="1F2937"/>
                <w:sz w:val="17"/>
              </w:rPr>
              <w:t>€6.32M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€5.49M</w:t>
            </w:r>
          </w:p>
        </w:tc>
        <w:tc>
          <w:tcPr>
            <w:tcW w:type="dxa" w:w="3024"/>
          </w:tcPr>
          <w:p>
            <w:pPr>
              <w:spacing w:after="40" w:before="40"/>
            </w:pPr>
            <w:r/>
            <w:r>
              <w:rPr>
                <w:b w:val="0"/>
                <w:color w:val="1F2937"/>
                <w:sz w:val="17"/>
              </w:rPr>
              <w:t>€11.81M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€7.24M</w:t>
            </w:r>
          </w:p>
        </w:tc>
        <w:tc>
          <w:tcPr>
            <w:tcW w:type="dxa" w:w="3024"/>
          </w:tcPr>
          <w:p>
            <w:pPr>
              <w:spacing w:after="40" w:before="40"/>
            </w:pPr>
            <w:r/>
            <w:r>
              <w:rPr>
                <w:b w:val="0"/>
                <w:color w:val="1F2937"/>
                <w:sz w:val="17"/>
              </w:rPr>
              <w:t>€19.05M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€8.64M</w:t>
            </w:r>
          </w:p>
        </w:tc>
        <w:tc>
          <w:tcPr>
            <w:tcW w:type="dxa" w:w="3024"/>
          </w:tcPr>
          <w:p>
            <w:pPr>
              <w:spacing w:after="40" w:before="40"/>
            </w:pPr>
            <w:r/>
            <w:r>
              <w:rPr>
                <w:b w:val="0"/>
                <w:color w:val="1F2937"/>
                <w:sz w:val="17"/>
              </w:rPr>
              <w:t>€27.69M</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€-280k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Y3</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€112k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€392k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color w:val="1F2937"/>
          <w:sz w:val="20"/>
        </w:rPr>
        <w:t>€392k is a small number for a plan that reaches €10.16M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pStyle w:val="Heading2"/>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€10.16M</w:t>
            </w:r>
          </w:p>
        </w:tc>
        <w:tc>
          <w:tcPr>
            <w:tcW w:type="dxa" w:w="1814"/>
          </w:tcPr>
          <w:p>
            <w:pPr>
              <w:spacing w:after="40" w:before="40"/>
            </w:pPr>
            <w:r/>
            <w:r>
              <w:rPr>
                <w:b w:val="0"/>
                <w:color w:val="1F2937"/>
                <w:sz w:val="17"/>
              </w:rPr>
              <w:t>€3.25M</w:t>
            </w:r>
          </w:p>
        </w:tc>
        <w:tc>
          <w:tcPr>
            <w:tcW w:type="dxa" w:w="1814"/>
          </w:tcPr>
          <w:p>
            <w:pPr>
              <w:spacing w:after="40" w:before="40"/>
            </w:pPr>
            <w:r/>
            <w:r>
              <w:rPr>
                <w:b w:val="0"/>
                <w:color w:val="1F2937"/>
                <w:sz w:val="17"/>
              </w:rPr>
              <w:t>€392k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pStyle w:val="Heading2"/>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in practice the athletes who join in Y6 are unlikely to convert as well as the hand-picked ones in Y1.</w:t>
      </w:r>
    </w:p>
    <w:p>
      <w:r>
        <w:br w:type="page"/>
      </w:r>
    </w:p>
    <w:p>
      <w:pPr>
        <w:pStyle w:val="Heading1"/>
        <w:keepNext/>
        <w:spacing w:before="320" w:after="100"/>
        <w:pBdr>
          <w:bottom w:val="single" w:sz="6" w:space="8" w:color="D1D5DB"/>
        </w:pBdr>
      </w:pPr>
      <w:r>
        <w:rPr>
          <w:b/>
          <w:color w:val="1F2937"/>
          <w:sz w:val="32"/>
        </w:rPr>
        <w:t>Appendix D: Capital &amp; Valuation</w:t>
      </w:r>
    </w:p>
    <w:p>
      <w:pPr>
        <w:spacing w:after="120" w:before="0"/>
      </w:pPr>
    </w:p>
    <w:p>
      <w:pPr>
        <w:pStyle w:val="Heading2"/>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because the scarce input is not the money.</w:t>
      </w:r>
    </w:p>
    <w:p>
      <w:pPr>
        <w:pStyle w:val="Heading3"/>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pStyle w:val="Heading3"/>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of taking the job and investing the €80k,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~55% through the Series A holds that share of the enterprise value: </w:t>
      </w:r>
      <w:r>
        <w:rPr>
          <w:b/>
          <w:color w:val="1F2937"/>
          <w:sz w:val="20"/>
        </w:rPr>
        <w:t>€4.73M against the DCF floor of €8.60M</w:t>
      </w:r>
      <w:r>
        <w:rPr>
          <w:b w:val="0"/>
          <w:color w:val="1F2937"/>
          <w:sz w:val="20"/>
        </w:rPr>
        <w:t xml:space="preserve">, and €5.6–12.7M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pStyle w:val="Heading2"/>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€150k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€392k. The rounds above raise €2.4M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€280k trough in Y4</w:t>
      </w:r>
      <w:r>
        <w:rPr>
          <w:b w:val="0"/>
          <w:color w:val="1F2937"/>
          <w:sz w:val="20"/>
        </w:rP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€400k clears both the trough the model produces and that trough plus the 40% buffer</w:t>
      </w:r>
      <w:r>
        <w:rPr>
          <w:b w:val="0"/>
          <w:color w:val="1F2937"/>
          <w:sz w:val="20"/>
        </w:rP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pPr>
        <w:pStyle w:val="Heading3"/>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pStyle w:val="Heading2"/>
        <w:keepNext/>
        <w:spacing w:before="320" w:after="100"/>
      </w:pPr>
      <w:r>
        <w:rPr>
          <w:b/>
          <w:color w:val="1F2937"/>
          <w:sz w:val="25"/>
        </w:rPr>
        <w:t>Is this raiseable, by this founder, in this market</w:t>
      </w:r>
    </w:p>
    <w:p>
      <w:pPr>
        <w:spacing w:after="140" w:line="276" w:lineRule="auto"/>
        <w:jc w:val="both"/>
      </w:pPr>
      <w:r>
        <w:rPr>
          <w:b w:val="0"/>
          <w:color w:val="1F2937"/>
          <w:sz w:val="20"/>
        </w:rPr>
        <w:t>The honest version of the question is whether a first-time founder in their twenties raises this in Spain. Three things say yes, and one says be careful.</w:t>
      </w:r>
    </w:p>
    <w:p>
      <w:pPr>
        <w:spacing w:after="140" w:line="276" w:lineRule="auto"/>
        <w:jc w:val="both"/>
      </w:pPr>
      <w:r>
        <w:rPr>
          <w:b/>
          <w:color w:val="1F2937"/>
          <w:sz w:val="20"/>
        </w:rPr>
        <w:t>The ask is small and the price is unremarkable.</w:t>
      </w:r>
      <w:r>
        <w:rPr>
          <w:b w:val="0"/>
          <w:color w:val="1F2937"/>
          <w:sz w:val="20"/>
        </w:rPr>
        <w:t xml:space="preserve"> European pre-seed pre-money valuations had a median of </w:t>
      </w:r>
      <w:r>
        <w:rPr>
          <w:b/>
          <w:color w:val="1F2937"/>
          <w:sz w:val="20"/>
        </w:rPr>
        <w:t>€3.3M in 2024</w:t>
      </w:r>
      <w:r>
        <w:rPr>
          <w:b w:val="0"/>
          <w:color w:val="1F2937"/>
          <w:sz w:val="20"/>
        </w:rPr>
        <w:t xml:space="preserve">, up from €1.7M the year before, with the usual band €2M to €4M. This plan asks </w:t>
      </w:r>
      <w:r>
        <w:rPr>
          <w:b/>
          <w:color w:val="1F2937"/>
          <w:sz w:val="20"/>
        </w:rPr>
        <w:t>€150k at €2.5M pre-money</w:t>
      </w:r>
      <w:r>
        <w:rPr>
          <w:b w:val="0"/>
          <w:color w:val="1F2937"/>
          <w:sz w:val="20"/>
        </w:rPr>
        <w:t xml:space="preserve">: the price sits </w:t>
      </w:r>
      <w:r>
        <w:rPr>
          <w:b/>
          <w:color w:val="1F2937"/>
          <w:sz w:val="20"/>
        </w:rPr>
        <w:t>inside that band and below the median</w:t>
      </w:r>
      <w:r>
        <w:rPr>
          <w:b w:val="0"/>
          <w:color w:val="1F2937"/>
          <w:sz w:val="20"/>
        </w:rPr>
        <w:t xml:space="preserve">, and the round itself is </w:t>
      </w:r>
      <w:r>
        <w:rPr>
          <w:b/>
          <w:color w:val="1F2937"/>
          <w:sz w:val="20"/>
        </w:rPr>
        <w:t>below</w:t>
      </w:r>
      <w:r>
        <w:rPr>
          <w:b w:val="0"/>
          <w:color w:val="1F2937"/>
          <w:sz w:val="20"/>
        </w:rPr>
        <w:t xml:space="preserve"> the €500k to €3M that European pre-seed rounds now typically raise. So the valuation is ordinary and the cheque is small, which is the combination that makes a first round easy to say yes to.</w:t>
      </w:r>
    </w:p>
    <w:p>
      <w:pPr>
        <w:spacing w:after="140" w:line="276" w:lineRule="auto"/>
        <w:jc w:val="both"/>
      </w:pPr>
      <w:r>
        <w:rPr>
          <w:b/>
          <w:color w:val="1F2937"/>
          <w:sz w:val="20"/>
        </w:rPr>
        <w:t>ENISA Jóvenes Emprendedores fits this founder exactly.</w:t>
      </w:r>
      <w:r>
        <w:rPr>
          <w:b w:val="0"/>
          <w:color w:val="1F2937"/>
          <w:sz w:val="20"/>
        </w:rPr>
        <w:t xml:space="preserve"> It lends up to </w:t>
      </w:r>
      <w:r>
        <w:rPr>
          <w:b/>
          <w:color w:val="1F2937"/>
          <w:sz w:val="20"/>
        </w:rPr>
        <w:t>€75,000</w:t>
      </w:r>
      <w:r>
        <w:rPr>
          <w:b w:val="0"/>
          <w:color w:val="1F2937"/>
          <w:sz w:val="20"/>
        </w:rPr>
        <w:t xml:space="preserve"> as a participative loan that is </w:t>
      </w:r>
      <w:r>
        <w:rPr>
          <w:b/>
          <w:color w:val="1F2937"/>
          <w:sz w:val="20"/>
        </w:rPr>
        <w:t>not convertible into equity</w:t>
      </w:r>
      <w:r>
        <w:rPr>
          <w:b w:val="0"/>
          <w:color w:val="1F2937"/>
          <w:sz w:val="20"/>
        </w:rPr>
        <w:t xml:space="preserve">, with no personal guarantees, to companies whose majority shareholders are </w:t>
      </w:r>
      <w:r>
        <w:rPr>
          <w:b/>
          <w:color w:val="1F2937"/>
          <w:sz w:val="20"/>
        </w:rPr>
        <w:t>under 40</w:t>
      </w:r>
      <w:r>
        <w:rPr>
          <w:b w:val="0"/>
          <w:color w:val="1F2937"/>
          <w:sz w:val="20"/>
        </w:rPr>
        <w:t xml:space="preserve"> and which have fewer than two closed financial years. Both conditions hold. The loan runs up to seven years with up to five years of grace, at Euribor plus 3.25% on the first tranche.</w:t>
      </w:r>
    </w:p>
    <w:p>
      <w:pPr>
        <w:spacing w:after="140" w:line="276" w:lineRule="auto"/>
        <w:jc w:val="both"/>
      </w:pPr>
      <w:r>
        <w:rPr>
          <w:b w:val="0"/>
          <w:color w:val="1F2937"/>
          <w:sz w:val="20"/>
        </w:rPr>
        <w:t xml:space="preserve">Against a </w:t>
      </w:r>
      <w:r>
        <w:rPr>
          <w:b/>
          <w:color w:val="1F2937"/>
          <w:sz w:val="20"/>
        </w:rPr>
        <w:t>Y1 cash need of €73k</w:t>
      </w:r>
      <w:r>
        <w:rPr>
          <w:b w:val="0"/>
          <w:color w:val="1F2937"/>
          <w:sz w:val="20"/>
        </w:rPr>
        <w:t>, that is close to the whole of the first year at no equity cost. The two are complementary rather than alternatives: ENISA asks for an own-funds ratio of roughly 50%, so the €150k equity tranche is what makes the €75k loan available. Together they are €225k against a cumulative need of €203k to the end of Y2.</w:t>
      </w:r>
    </w:p>
    <w:p>
      <w:pPr>
        <w:spacing w:after="140" w:line="276" w:lineRule="auto"/>
        <w:jc w:val="both"/>
      </w:pPr>
      <w:r>
        <w:rPr>
          <w:b/>
          <w:color w:val="1F2937"/>
          <w:sz w:val="20"/>
        </w:rPr>
        <w:t>The product exists.</w:t>
      </w:r>
      <w:r>
        <w:rPr>
          <w:b w:val="0"/>
          <w:color w:val="1F2937"/>
          <w:sz w:val="20"/>
        </w:rP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pPr>
        <w:pStyle w:val="Heading3"/>
        <w:keepNext/>
        <w:spacing w:before="200" w:after="100"/>
      </w:pPr>
      <w:r>
        <w:rPr>
          <w:b/>
          <w:color w:val="6B7280"/>
          <w:sz w:val="22"/>
        </w:rPr>
        <w:t>The later rounds, as multiples rather than as numbers</w:t>
      </w:r>
    </w:p>
    <w:p>
      <w:pPr>
        <w:spacing w:after="140" w:line="276" w:lineRule="auto"/>
        <w:jc w:val="both"/>
      </w:pPr>
      <w:r>
        <w:rPr>
          <w:b w:val="0"/>
          <w:color w:val="1F2937"/>
          <w:sz w:val="20"/>
        </w:rPr>
        <w:t xml:space="preserve">€10M and €40M look like large numbers. The question an investor asks is not how large they are but what they are a multiple </w:t>
      </w:r>
      <w:r>
        <w:rPr>
          <w:b/>
          <w:color w:val="1F2937"/>
          <w:sz w:val="20"/>
        </w:rPr>
        <w:t>of</w:t>
      </w:r>
      <w:r>
        <w:rPr>
          <w:b w:val="0"/>
          <w:color w:val="1F2937"/>
          <w:sz w:val="20"/>
        </w:rPr>
        <w:t>, and each round here is gated on a revenue milestone, so both can be stated that way.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Round</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w:t>
            </w:r>
          </w:p>
        </w:tc>
        <w:tc>
          <w:tcPr>
            <w:tcW w:type="dxa" w:w="1814"/>
            <w:shd w:val="clear" w:fill="EFF1F3"/>
          </w:tcPr>
          <w:p>
            <w:pPr>
              <w:spacing w:after="40" w:before="40"/>
            </w:pPr>
            <w:r/>
            <w:r>
              <w:rPr>
                <w:b/>
                <w:color w:val="1F2937"/>
                <w:sz w:val="17"/>
              </w:rPr>
              <w:t>Implied multiple</w:t>
            </w:r>
          </w:p>
        </w:tc>
        <w:tc>
          <w:tcPr>
            <w:tcW w:type="dxa" w:w="1814"/>
            <w:shd w:val="clear" w:fill="EFF1F3"/>
          </w:tcPr>
          <w:p>
            <w:pPr>
              <w:spacing w:after="40" w:before="40"/>
            </w:pPr>
            <w:r/>
            <w:r>
              <w:rPr>
                <w:b/>
                <w:color w:val="1F2937"/>
                <w:sz w:val="17"/>
              </w:rPr>
              <w:t>European benchmark</w:t>
            </w:r>
          </w:p>
        </w:tc>
      </w:tr>
      <w:tr>
        <w:tc>
          <w:tcPr>
            <w:tcW w:type="dxa" w:w="1814"/>
          </w:tcPr>
          <w:p>
            <w:pPr>
              <w:spacing w:after="40" w:before="40"/>
            </w:pPr>
            <w:r/>
            <w:r>
              <w:rPr>
                <w:b/>
                <w:color w:val="1F2937"/>
                <w:sz w:val="17"/>
              </w:rPr>
              <w:t>Seed</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€0.96M ARR</w:t>
            </w:r>
          </w:p>
        </w:tc>
        <w:tc>
          <w:tcPr>
            <w:tcW w:type="dxa" w:w="1814"/>
          </w:tcPr>
          <w:p>
            <w:pPr>
              <w:spacing w:after="40" w:before="40"/>
            </w:pPr>
            <w:r/>
            <w:r>
              <w:rPr>
                <w:b/>
                <w:color w:val="1F2937"/>
                <w:sz w:val="17"/>
              </w:rPr>
              <w:t>10.4x ARR</w:t>
            </w:r>
          </w:p>
        </w:tc>
        <w:tc>
          <w:tcPr>
            <w:tcW w:type="dxa" w:w="1814"/>
          </w:tcPr>
          <w:p>
            <w:pPr>
              <w:spacing w:after="40" w:before="40"/>
            </w:pPr>
            <w:r/>
            <w:r>
              <w:rPr>
                <w:b w:val="0"/>
                <w:color w:val="1F2937"/>
                <w:sz w:val="17"/>
              </w:rPr>
              <w:t>Marketplaces 4x to 10x net revenue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€3.6M ARR</w:t>
            </w:r>
          </w:p>
        </w:tc>
        <w:tc>
          <w:tcPr>
            <w:tcW w:type="dxa" w:w="1814"/>
          </w:tcPr>
          <w:p>
            <w:pPr>
              <w:spacing w:after="40" w:before="40"/>
            </w:pPr>
            <w:r/>
            <w:r>
              <w:rPr>
                <w:b/>
                <w:color w:val="1F2937"/>
                <w:sz w:val="17"/>
              </w:rPr>
              <w:t>11.1x ARR</w:t>
            </w:r>
          </w:p>
        </w:tc>
        <w:tc>
          <w:tcPr>
            <w:tcW w:type="dxa" w:w="1814"/>
          </w:tcPr>
          <w:p>
            <w:pPr>
              <w:spacing w:after="40" w:before="40"/>
            </w:pPr>
            <w:r/>
            <w:r>
              <w:rPr>
                <w:b w:val="0"/>
                <w:color w:val="1F2937"/>
                <w:sz w:val="17"/>
              </w:rPr>
              <w:t>European Series A median ~13x ARR</w:t>
            </w:r>
          </w:p>
        </w:tc>
      </w:tr>
    </w:tbl>
    <w:p>
      <w:pPr>
        <w:spacing w:after="160" w:before="0"/>
      </w:pPr>
    </w:p>
    <w:p>
      <w:pPr>
        <w:spacing w:after="140" w:line="276" w:lineRule="auto"/>
        <w:jc w:val="both"/>
      </w:pPr>
      <w:r>
        <w:rPr>
          <w:b w:val="0"/>
          <w:color w:val="1F2937"/>
          <w:sz w:val="20"/>
        </w:rPr>
        <w:t xml:space="preserve">Against the revenue the model actually produces in those years rather than the gate, the multiples are lower still: </w:t>
      </w:r>
      <w:r>
        <w:rPr>
          <w:b/>
          <w:color w:val="1F2937"/>
          <w:sz w:val="20"/>
        </w:rPr>
        <w:t>6.8x</w:t>
      </w:r>
      <w:r>
        <w:rPr>
          <w:b w:val="0"/>
          <w:color w:val="1F2937"/>
          <w:sz w:val="20"/>
        </w:rPr>
        <w:t xml:space="preserve"> at the Seed and </w:t>
      </w:r>
      <w:r>
        <w:rPr>
          <w:b/>
          <w:color w:val="1F2937"/>
          <w:sz w:val="20"/>
        </w:rPr>
        <w:t>6.4x</w:t>
      </w:r>
      <w:r>
        <w:rPr>
          <w:b w:val="0"/>
          <w:color w:val="1F2937"/>
          <w:sz w:val="20"/>
        </w:rPr>
        <w:t xml:space="preserve"> at the Series A.</w:t>
      </w:r>
    </w:p>
    <w:p>
      <w:pPr>
        <w:spacing w:after="140" w:line="276" w:lineRule="auto"/>
        <w:jc w:val="both"/>
      </w:pPr>
      <w:r>
        <w:rPr>
          <w:b/>
          <w:color w:val="1F2937"/>
          <w:sz w:val="20"/>
        </w:rPr>
        <w:t>So the prices are conservative on the measure that matters and only look aggressive in absolute terms.</w:t>
      </w:r>
      <w:r>
        <w:rPr>
          <w:b w:val="0"/>
          <w:color w:val="1F2937"/>
          <w:sz w:val="20"/>
        </w:rPr>
        <w:t xml:space="preserve"> The median European Series A sits near $28M pre-money against roughly $2.3M of ARR; SaaS specifically is nearer $45M against $2.5M. This plan asks €40M against €3.6M, which is more revenue for a similar price. European rounds already price 30 to 50% below US equivalents on identical metrics, and these numbers sit inside that discount rather than arguing with it.</w:t>
      </w:r>
    </w:p>
    <w:p>
      <w:pPr>
        <w:keepNext/>
        <w:spacing w:before="160" w:after="20"/>
        <w:ind w:left="227"/>
        <w:shd w:val="clear" w:fill="F6F7F9"/>
        <w:pBdr>
          <w:left w:val="single" w:sz="18" w:space="8" w:color="D97706"/>
        </w:pBdr>
      </w:pPr>
      <w:r>
        <w:rPr>
          <w:b/>
          <w:color w:val="D97706"/>
          <w:sz w:val="19"/>
        </w:rPr>
        <w:t>What that still does not settle</w:t>
      </w:r>
    </w:p>
    <w:p>
      <w:pPr>
        <w:spacing w:before="0" w:after="160" w:line="264" w:lineRule="auto"/>
        <w:ind w:left="227"/>
        <w:shd w:val="clear" w:fill="F6F7F9"/>
        <w:pBdr>
          <w:left w:val="single" w:sz="18" w:space="8" w:color="D97706"/>
        </w:pBdr>
      </w:pPr>
      <w:r>
        <w:rPr>
          <w:b w:val="0"/>
          <w:color w:val="1F2937"/>
          <w:sz w:val="19"/>
        </w:rPr>
        <w:t xml:space="preserve">A multiple is only conservative if the revenue behind it arrives. Both rounds are gated on metrics in the table above, neither is a commitment anyone has made, and the plan reaches break-even in Y5 without either of them. </w:t>
      </w:r>
      <w:r>
        <w:rPr>
          <w:b/>
          <w:color w:val="1F2937"/>
          <w:sz w:val="19"/>
        </w:rPr>
        <w:t>The pre-seed is the only round this plan depends on.</w:t>
      </w:r>
      <w:r>
        <w:rPr>
          <w:b w:val="0"/>
          <w:color w:val="1F2937"/>
          <w:sz w:val="19"/>
        </w:rPr>
        <w:t xml:space="preserve"> Everything after it is a description of what good would look like, priced sensibly, and nothing more.</w:t>
      </w:r>
    </w:p>
    <w:p>
      <w:pPr>
        <w:spacing w:after="120" w:before="0"/>
      </w:pPr>
    </w:p>
    <w:p>
      <w:pPr>
        <w:pStyle w:val="Heading2"/>
        <w:keepNext/>
        <w:spacing w:before="320" w:after="100"/>
      </w:pPr>
      <w:r>
        <w:rPr>
          <w:b/>
          <w:color w:val="1F2937"/>
          <w:sz w:val="25"/>
        </w:rPr>
        <w:t>Spanish instruments: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worth €1.67M across Y6–Y9</w:t>
            </w:r>
          </w:p>
        </w:tc>
      </w:tr>
      <w:tr>
        <w:tc>
          <w:tcPr>
            <w:tcW w:type="dxa" w:w="2268"/>
          </w:tcPr>
          <w:p>
            <w:pPr>
              <w:spacing w:after="40" w:before="40"/>
            </w:pPr>
            <w:r/>
            <w:r>
              <w:rPr>
                <w:b w:val="0"/>
                <w:color w:val="1F2937"/>
                <w:sz w:val="17"/>
              </w:rPr>
              <w:t>Beckham Law</w:t>
            </w:r>
          </w:p>
        </w:tc>
        <w:tc>
          <w:tcPr>
            <w:tcW w:type="dxa" w:w="2268"/>
          </w:tcPr>
          <w:p>
            <w:pPr>
              <w:spacing w:after="40" w:before="40"/>
            </w:pPr>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€280k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they are upside, and grant timelines are unreliable enough that no plan should depend on them.</w:t>
      </w:r>
    </w:p>
    <w:p>
      <w:pPr>
        <w:spacing w:after="120" w:before="0"/>
      </w:pPr>
    </w:p>
    <w:p>
      <w:pPr>
        <w:pStyle w:val="Heading2"/>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pStyle w:val="Heading3"/>
        <w:keepNext/>
        <w:spacing w:before="200" w:after="100"/>
      </w:pPr>
      <w:r>
        <w:rPr>
          <w:b/>
          <w:color w:val="6B7280"/>
          <w:sz w:val="22"/>
        </w:rPr>
        <w:t>Discounted cash flow</w:t>
      </w:r>
    </w:p>
    <w:p>
      <w:pPr>
        <w:pStyle w:val="Heading3"/>
        <w:keepNext/>
        <w:spacing w:before="200" w:after="100"/>
      </w:pPr>
      <w:r>
        <w:rPr>
          <w:b/>
          <w:color w:val="6B7280"/>
          <w:sz w:val="22"/>
        </w:rPr>
        <w:t>Where the 25% comes from</w:t>
      </w:r>
    </w:p>
    <w:p>
      <w:pPr>
        <w:spacing w:after="140" w:line="276" w:lineRule="auto"/>
        <w:jc w:val="both"/>
      </w:pPr>
      <w:r>
        <w:rPr>
          <w:b w:val="0"/>
          <w:color w:val="1F2937"/>
          <w:sz w:val="20"/>
        </w:rPr>
        <w:t>It is three components, and only two of them are published. The workbook derives it the same way, on the Assumptions sheet, so tracing precedents from the discount rate lands on these rows rather than on a typed constant.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Rate</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Mature listed software, Europe, in euros</w:t>
            </w:r>
          </w:p>
        </w:tc>
        <w:tc>
          <w:tcPr>
            <w:tcW w:type="dxa" w:w="3024"/>
          </w:tcPr>
          <w:p>
            <w:pPr>
              <w:spacing w:after="40" w:before="40"/>
            </w:pPr>
            <w:r/>
            <w:r>
              <w:rPr>
                <w:b w:val="0"/>
                <w:color w:val="1F2937"/>
                <w:sz w:val="17"/>
              </w:rPr>
              <w:t>6.01%</w:t>
            </w:r>
          </w:p>
        </w:tc>
        <w:tc>
          <w:tcPr>
            <w:tcW w:type="dxa" w:w="3024"/>
          </w:tcPr>
          <w:p>
            <w:pPr>
              <w:spacing w:after="40" w:before="40"/>
            </w:pPr>
            <w:r/>
            <w:r>
              <w:rPr>
                <w:b w:val="0"/>
                <w:color w:val="1F2937"/>
                <w:sz w:val="17"/>
              </w:rPr>
              <w:t>Damodaran, NYU Stern, 5 Jan 2026, 23 firms</w:t>
            </w:r>
          </w:p>
        </w:tc>
      </w:tr>
      <w:tr>
        <w:tc>
          <w:tcPr>
            <w:tcW w:type="dxa" w:w="3024"/>
          </w:tcPr>
          <w:p>
            <w:pPr>
              <w:spacing w:after="40" w:before="40"/>
            </w:pPr>
            <w:r/>
            <w:r>
              <w:rPr>
                <w:b w:val="0"/>
                <w:color w:val="1F2937"/>
                <w:sz w:val="17"/>
              </w:rPr>
              <w:t>Spain country risk premium</w:t>
            </w:r>
          </w:p>
        </w:tc>
        <w:tc>
          <w:tcPr>
            <w:tcW w:type="dxa" w:w="3024"/>
          </w:tcPr>
          <w:p>
            <w:pPr>
              <w:spacing w:after="40" w:before="40"/>
            </w:pPr>
            <w:r/>
            <w:r>
              <w:rPr>
                <w:b w:val="0"/>
                <w:color w:val="1F2937"/>
                <w:sz w:val="17"/>
              </w:rPr>
              <w:t>1.55%</w:t>
            </w:r>
          </w:p>
        </w:tc>
        <w:tc>
          <w:tcPr>
            <w:tcW w:type="dxa" w:w="3024"/>
          </w:tcPr>
          <w:p>
            <w:pPr>
              <w:spacing w:after="40" w:before="40"/>
            </w:pPr>
            <w:r/>
            <w:r>
              <w:rPr>
                <w:b w:val="0"/>
                <w:color w:val="1F2937"/>
                <w:sz w:val="17"/>
              </w:rPr>
              <w:t>Damodaran, country risk premiums, 5 Jan 2026</w:t>
            </w:r>
          </w:p>
        </w:tc>
      </w:tr>
      <w:tr>
        <w:tc>
          <w:tcPr>
            <w:tcW w:type="dxa" w:w="3024"/>
          </w:tcPr>
          <w:p>
            <w:pPr>
              <w:spacing w:after="40" w:before="40"/>
            </w:pPr>
            <w:r/>
            <w:r>
              <w:rPr>
                <w:b/>
                <w:color w:val="1F2937"/>
                <w:sz w:val="17"/>
              </w:rPr>
              <w:t>= a mature Spanish software company</w:t>
            </w:r>
          </w:p>
        </w:tc>
        <w:tc>
          <w:tcPr>
            <w:tcW w:type="dxa" w:w="3024"/>
          </w:tcPr>
          <w:p>
            <w:pPr>
              <w:spacing w:after="40" w:before="40"/>
            </w:pPr>
            <w:r/>
            <w:r>
              <w:rPr>
                <w:b/>
                <w:color w:val="1F2937"/>
                <w:sz w:val="17"/>
              </w:rPr>
              <w:t>7.56%</w:t>
            </w:r>
          </w:p>
        </w:tc>
        <w:tc>
          <w:tcPr>
            <w:tcW w:type="dxa" w:w="3024"/>
          </w:tcPr>
          <w:p>
            <w:pPr>
              <w:spacing w:after="40" w:before="40"/>
            </w:pPr>
            <w:r/>
          </w:p>
        </w:tc>
      </w:tr>
      <w:tr>
        <w:tc>
          <w:tcPr>
            <w:tcW w:type="dxa" w:w="3024"/>
          </w:tcPr>
          <w:p>
            <w:pPr>
              <w:spacing w:after="40" w:before="40"/>
            </w:pPr>
            <w:r/>
            <w:r>
              <w:rPr>
                <w:b w:val="0"/>
                <w:color w:val="1F2937"/>
                <w:sz w:val="17"/>
              </w:rPr>
              <w:t>Size and stage premium</w:t>
            </w:r>
          </w:p>
        </w:tc>
        <w:tc>
          <w:tcPr>
            <w:tcW w:type="dxa" w:w="3024"/>
          </w:tcPr>
          <w:p>
            <w:pPr>
              <w:spacing w:after="40" w:before="40"/>
            </w:pPr>
            <w:r/>
            <w:r>
              <w:rPr>
                <w:b w:val="0"/>
                <w:color w:val="1F2937"/>
                <w:sz w:val="17"/>
              </w:rPr>
              <w:t>17.44%</w:t>
            </w:r>
          </w:p>
        </w:tc>
        <w:tc>
          <w:tcPr>
            <w:tcW w:type="dxa" w:w="3024"/>
          </w:tcPr>
          <w:p>
            <w:pPr>
              <w:spacing w:after="40" w:before="40"/>
            </w:pPr>
            <w:r/>
            <w:r>
              <w:rPr>
                <w:b/>
                <w:color w:val="1F2937"/>
                <w:sz w:val="17"/>
              </w:rPr>
              <w:t>Judgement. Not sourced</w:t>
            </w:r>
          </w:p>
        </w:tc>
      </w:tr>
      <w:tr>
        <w:tc>
          <w:tcPr>
            <w:tcW w:type="dxa" w:w="3024"/>
          </w:tcPr>
          <w:p>
            <w:pPr>
              <w:spacing w:after="40" w:before="40"/>
            </w:pPr>
            <w:r/>
            <w:r>
              <w:rPr>
                <w:b/>
                <w:color w:val="1F2937"/>
                <w:sz w:val="17"/>
              </w:rPr>
              <w:t>= discount rate used</w:t>
            </w:r>
          </w:p>
        </w:tc>
        <w:tc>
          <w:tcPr>
            <w:tcW w:type="dxa" w:w="3024"/>
          </w:tcPr>
          <w:p>
            <w:pPr>
              <w:spacing w:after="40" w:before="40"/>
            </w:pPr>
            <w:r/>
            <w:r>
              <w:rPr>
                <w:b/>
                <w:color w:val="1F2937"/>
                <w:sz w:val="17"/>
              </w:rPr>
              <w:t>25.00%</w:t>
            </w:r>
          </w:p>
        </w:tc>
        <w:tc>
          <w:tcPr>
            <w:tcW w:type="dxa" w:w="3024"/>
          </w:tcPr>
          <w:p>
            <w:pPr>
              <w:spacing w:after="40" w:before="40"/>
            </w:pPr>
            <w:r/>
          </w:p>
        </w:tc>
      </w:tr>
    </w:tbl>
    <w:p>
      <w:pPr>
        <w:spacing w:after="160" w:before="0"/>
      </w:pPr>
    </w:p>
    <w:p>
      <w:pPr>
        <w:spacing w:after="140" w:line="276" w:lineRule="auto"/>
        <w:jc w:val="both"/>
      </w:pPr>
      <w:r>
        <w:rPr>
          <w:b/>
          <w:color w:val="1F2937"/>
          <w:sz w:val="20"/>
        </w:rPr>
        <w:t>Seventeen of the twenty-five points are asserted.</w:t>
      </w:r>
      <w:r>
        <w:rPr>
          <w:b w:val="0"/>
          <w:color w:val="1F2937"/>
          <w:sz w:val="20"/>
        </w:rP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pPr>
        <w:keepNext/>
        <w:spacing w:before="160" w:after="20"/>
        <w:ind w:left="227"/>
        <w:shd w:val="clear" w:fill="F6F7F9"/>
        <w:pBdr>
          <w:left w:val="single" w:sz="18" w:space="8" w:color="D97706"/>
        </w:pBdr>
      </w:pPr>
      <w:r>
        <w:rPr>
          <w:b/>
          <w:color w:val="D97706"/>
          <w:sz w:val="19"/>
        </w:rPr>
        <w:t>The honest objection, which points the other way</w:t>
      </w:r>
    </w:p>
    <w:p>
      <w:pPr>
        <w:spacing w:before="0" w:after="160" w:line="264" w:lineRule="auto"/>
        <w:ind w:left="227"/>
        <w:shd w:val="clear" w:fill="F6F7F9"/>
        <w:pBdr>
          <w:left w:val="single" w:sz="18" w:space="8" w:color="D97706"/>
        </w:pBdr>
      </w:pPr>
      <w:r>
        <w:rPr>
          <w:b w:val="0"/>
          <w:color w:val="1F2937"/>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color w:val="1F2937"/>
          <w:sz w:val="19"/>
        </w:rPr>
        <w:t>This plan does neither.</w:t>
      </w:r>
      <w:r>
        <w:rPr>
          <w:b w:val="0"/>
          <w:color w:val="1F2937"/>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€4.25M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€40.46M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€4.34M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€8.60M</w:t>
            </w:r>
          </w:p>
        </w:tc>
      </w:tr>
    </w:tbl>
    <w:p>
      <w:pPr>
        <w:spacing w:after="160" w:before="0"/>
      </w:pPr>
    </w:p>
    <w:p>
      <w:pPr>
        <w:pStyle w:val="Heading3"/>
        <w:keepNext/>
        <w:spacing w:before="200" w:after="100"/>
      </w:pPr>
      <w:r>
        <w:rPr>
          <w:b/>
          <w:color w:val="6B7280"/>
          <w:sz w:val="22"/>
        </w:rPr>
        <w:t>Exit multiple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€95.65M</w:t>
            </w:r>
          </w:p>
        </w:tc>
        <w:tc>
          <w:tcPr>
            <w:tcW w:type="dxa" w:w="2268"/>
          </w:tcPr>
          <w:p>
            <w:pPr>
              <w:spacing w:after="40" w:before="40"/>
            </w:pPr>
            <w:r/>
            <w:r>
              <w:rPr>
                <w:b w:val="0"/>
                <w:color w:val="1F2937"/>
                <w:sz w:val="17"/>
              </w:rPr>
              <w:t>€10.27M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€155.42M</w:t>
            </w:r>
          </w:p>
        </w:tc>
        <w:tc>
          <w:tcPr>
            <w:tcW w:type="dxa" w:w="2268"/>
          </w:tcPr>
          <w:p>
            <w:pPr>
              <w:spacing w:after="40" w:before="40"/>
            </w:pPr>
            <w:r/>
            <w:r>
              <w:rPr>
                <w:b w:val="0"/>
                <w:color w:val="1F2937"/>
                <w:sz w:val="17"/>
              </w:rPr>
              <w:t>€16.69M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€215.20M</w:t>
            </w:r>
          </w:p>
        </w:tc>
        <w:tc>
          <w:tcPr>
            <w:tcW w:type="dxa" w:w="2268"/>
          </w:tcPr>
          <w:p>
            <w:pPr>
              <w:spacing w:after="40" w:before="40"/>
            </w:pPr>
            <w:r/>
            <w:r>
              <w:rPr>
                <w:b w:val="0"/>
                <w:color w:val="1F2937"/>
                <w:sz w:val="17"/>
              </w:rPr>
              <w:t>€23.11M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€142.82M</w:t>
            </w:r>
          </w:p>
        </w:tc>
        <w:tc>
          <w:tcPr>
            <w:tcW w:type="dxa" w:w="2268"/>
          </w:tcPr>
          <w:p>
            <w:pPr>
              <w:spacing w:after="40" w:before="40"/>
            </w:pPr>
            <w:r/>
            <w:r>
              <w:rPr>
                <w:b w:val="0"/>
                <w:color w:val="1F2937"/>
                <w:sz w:val="17"/>
              </w:rPr>
              <w:t>€15.33M</w:t>
            </w:r>
          </w:p>
        </w:tc>
      </w:tr>
    </w:tbl>
    <w:p>
      <w:pPr>
        <w:spacing w:after="160" w:before="0"/>
      </w:pPr>
    </w:p>
    <w:p>
      <w:pPr>
        <w:pStyle w:val="Heading3"/>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€8.6M; the blended exit multiple says €155.4M. </w:t>
      </w:r>
      <w:r>
        <w:rPr>
          <w:b/>
          <w:color w:val="1F2937"/>
          <w:sz w:val="20"/>
        </w:rPr>
        <w:t>This is not an error in either: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€8.6M today.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€13.87M</w:t>
            </w:r>
          </w:p>
        </w:tc>
        <w:tc>
          <w:tcPr>
            <w:tcW w:type="dxa" w:w="2268"/>
          </w:tcPr>
          <w:p>
            <w:pPr>
              <w:spacing w:after="40" w:before="40"/>
            </w:pPr>
            <w:r/>
            <w:r>
              <w:rPr>
                <w:b w:val="0"/>
                <w:color w:val="1F2937"/>
                <w:sz w:val="17"/>
              </w:rPr>
              <w:t>€8.37M</w:t>
            </w:r>
          </w:p>
        </w:tc>
        <w:tc>
          <w:tcPr>
            <w:tcW w:type="dxa" w:w="2268"/>
          </w:tcPr>
          <w:p>
            <w:pPr>
              <w:spacing w:after="40" w:before="40"/>
            </w:pPr>
            <w:r/>
            <w:r>
              <w:rPr>
                <w:b w:val="0"/>
                <w:color w:val="1F2937"/>
                <w:sz w:val="17"/>
              </w:rPr>
              <w:t>€5.36M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€14.42M</w:t>
            </w:r>
          </w:p>
        </w:tc>
        <w:tc>
          <w:tcPr>
            <w:tcW w:type="dxa" w:w="2268"/>
          </w:tcPr>
          <w:p>
            <w:pPr>
              <w:spacing w:after="40" w:before="40"/>
            </w:pPr>
            <w:r/>
            <w:r>
              <w:rPr>
                <w:b/>
                <w:color w:val="1F2937"/>
                <w:sz w:val="17"/>
              </w:rPr>
              <w:t>€8.60M</w:t>
            </w:r>
          </w:p>
        </w:tc>
        <w:tc>
          <w:tcPr>
            <w:tcW w:type="dxa" w:w="2268"/>
          </w:tcPr>
          <w:p>
            <w:pPr>
              <w:spacing w:after="40" w:before="40"/>
            </w:pPr>
            <w:r/>
            <w:r>
              <w:rPr>
                <w:b w:val="0"/>
                <w:color w:val="1F2937"/>
                <w:sz w:val="17"/>
              </w:rPr>
              <w:t>€5.47M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€15.04M</w:t>
            </w:r>
          </w:p>
        </w:tc>
        <w:tc>
          <w:tcPr>
            <w:tcW w:type="dxa" w:w="2268"/>
          </w:tcPr>
          <w:p>
            <w:pPr>
              <w:spacing w:after="40" w:before="40"/>
            </w:pPr>
            <w:r/>
            <w:r>
              <w:rPr>
                <w:b w:val="0"/>
                <w:color w:val="1F2937"/>
                <w:sz w:val="17"/>
              </w:rPr>
              <w:t>€8.85M</w:t>
            </w:r>
          </w:p>
        </w:tc>
        <w:tc>
          <w:tcPr>
            <w:tcW w:type="dxa" w:w="2268"/>
          </w:tcPr>
          <w:p>
            <w:pPr>
              <w:spacing w:after="40" w:before="40"/>
            </w:pPr>
            <w:r/>
            <w:r>
              <w:rPr>
                <w:b w:val="0"/>
                <w:color w:val="1F2937"/>
                <w:sz w:val="17"/>
              </w:rPr>
              <w:t>€5.59M</w:t>
            </w:r>
          </w:p>
        </w:tc>
      </w:tr>
    </w:tbl>
    <w:p>
      <w:pPr>
        <w:spacing w:after="160" w:before="0"/>
      </w:pP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pStyle w:val="Heading2"/>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an extra 0.5% if they bring three clubs or 25 athletes. The cliff protects you if they lose interest after the launch photos.</w:t>
      </w:r>
    </w:p>
    <w:p>
      <w:pPr>
        <w:pStyle w:val="Heading3"/>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pStyle w:val="Heading2"/>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€150k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€2.6M</w:t>
            </w:r>
          </w:p>
        </w:tc>
        <w:tc>
          <w:tcPr>
            <w:tcW w:type="dxa" w:w="1512"/>
          </w:tcPr>
          <w:p>
            <w:pPr>
              <w:spacing w:after="40" w:before="40"/>
            </w:pPr>
            <w:r/>
            <w:r>
              <w:rPr>
                <w:b w:val="0"/>
                <w:color w:val="1F2937"/>
                <w:sz w:val="17"/>
              </w:rPr>
              <w:t>5.7%</w:t>
            </w:r>
          </w:p>
        </w:tc>
        <w:tc>
          <w:tcPr>
            <w:tcW w:type="dxa" w:w="1512"/>
          </w:tcPr>
          <w:p>
            <w:pPr>
              <w:spacing w:after="40" w:before="40"/>
            </w:pPr>
            <w:r/>
            <w:r>
              <w:rPr>
                <w:b w:val="0"/>
                <w:color w:val="1F2937"/>
                <w:sz w:val="17"/>
              </w:rPr>
              <w:t>92%</w:t>
            </w:r>
          </w:p>
        </w:tc>
      </w:tr>
      <w:tr>
        <w:tc>
          <w:tcPr>
            <w:tcW w:type="dxa" w:w="1512"/>
          </w:tcPr>
          <w:p>
            <w:pPr>
              <w:spacing w:after="40" w:before="40"/>
            </w:pPr>
            <w:r/>
            <w:r>
              <w:rPr>
                <w:b w:val="0"/>
                <w:color w:val="1F2937"/>
                <w:sz w:val="17"/>
              </w:rPr>
              <w:t>Pre-seed extension</w:t>
            </w:r>
          </w:p>
        </w:tc>
        <w:tc>
          <w:tcPr>
            <w:tcW w:type="dxa" w:w="1512"/>
          </w:tcPr>
          <w:p>
            <w:pPr>
              <w:spacing w:after="40" w:before="40"/>
            </w:pPr>
            <w:r/>
            <w:r>
              <w:rPr>
                <w:b w:val="0"/>
                <w:color w:val="1F2937"/>
                <w:sz w:val="17"/>
              </w:rPr>
              <w:t>€250k</w:t>
            </w:r>
          </w:p>
        </w:tc>
        <w:tc>
          <w:tcPr>
            <w:tcW w:type="dxa" w:w="1512"/>
          </w:tcPr>
          <w:p>
            <w:pPr>
              <w:spacing w:after="40" w:before="40"/>
            </w:pPr>
            <w:r/>
            <w:r>
              <w:rPr>
                <w:b w:val="0"/>
                <w:color w:val="1F2937"/>
                <w:sz w:val="17"/>
              </w:rPr>
              <w:t>€5M</w:t>
            </w:r>
          </w:p>
        </w:tc>
        <w:tc>
          <w:tcPr>
            <w:tcW w:type="dxa" w:w="1512"/>
          </w:tcPr>
          <w:p>
            <w:pPr>
              <w:spacing w:after="40" w:before="40"/>
            </w:pPr>
            <w:r/>
            <w:r>
              <w:rPr>
                <w:b w:val="0"/>
                <w:color w:val="1F2937"/>
                <w:sz w:val="17"/>
              </w:rPr>
              <w:t>€5.2M</w:t>
            </w:r>
          </w:p>
        </w:tc>
        <w:tc>
          <w:tcPr>
            <w:tcW w:type="dxa" w:w="1512"/>
          </w:tcPr>
          <w:p>
            <w:pPr>
              <w:spacing w:after="40" w:before="40"/>
            </w:pPr>
            <w:r/>
            <w:r>
              <w:rPr>
                <w:b w:val="0"/>
                <w:color w:val="1F2937"/>
                <w:sz w:val="17"/>
              </w:rPr>
              <w:t>4.8%</w:t>
            </w:r>
          </w:p>
        </w:tc>
        <w:tc>
          <w:tcPr>
            <w:tcW w:type="dxa" w:w="1512"/>
          </w:tcPr>
          <w:p>
            <w:pPr>
              <w:spacing w:after="40" w:before="40"/>
            </w:pPr>
            <w:r/>
            <w:r>
              <w:rPr>
                <w:b w:val="0"/>
                <w:color w:val="1F2937"/>
                <w:sz w:val="17"/>
              </w:rPr>
              <w:t>88%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73%</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61%</w:t>
            </w:r>
          </w:p>
        </w:tc>
      </w:tr>
      <w:tr>
        <w:tc>
          <w:tcPr>
            <w:tcW w:type="dxa" w:w="1512"/>
          </w:tcPr>
          <w:p>
            <w:pPr>
              <w:spacing w:after="40" w:before="40"/>
            </w:pPr>
            <w:r/>
            <w:r>
              <w:rPr>
                <w:b w:val="0"/>
                <w:color w:val="1F2937"/>
                <w:sz w:val="17"/>
              </w:rPr>
              <w:t>ESOP (cumulative)</w:t>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~55%</w:t>
            </w:r>
          </w:p>
        </w:tc>
      </w:tr>
    </w:tbl>
    <w:p>
      <w:pPr>
        <w:spacing w:after="160" w:before="0"/>
      </w:pPr>
    </w:p>
    <w:p>
      <w:pPr>
        <w:spacing w:after="140" w:line="276" w:lineRule="auto"/>
        <w:jc w:val="both"/>
      </w:pPr>
      <w:r>
        <w:rPr>
          <w:b w:val="0"/>
          <w:color w:val="1F2937"/>
          <w:sz w:val="20"/>
        </w:rPr>
        <w:t>Retaining ~55%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€600k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fell by €200k and retention went </w:t>
      </w:r>
      <w:r>
        <w:rPr>
          <w:b/>
          <w:color w:val="1F2937"/>
          <w:sz w:val="19"/>
        </w:rPr>
        <w:t>up</w:t>
      </w:r>
      <w:r>
        <w:rPr>
          <w:b w:val="0"/>
          <w:color w:val="1F2937"/>
          <w:sz w:val="19"/>
        </w:rPr>
        <w:t>, because the arithmetic was wrong before, not because the round got cheaper.</w:t>
      </w:r>
    </w:p>
    <w:p>
      <w:r>
        <w:br w:type="page"/>
      </w:r>
    </w:p>
    <w:p>
      <w:pPr>
        <w:pStyle w:val="Heading1"/>
        <w:keepNext/>
        <w:spacing w:before="320" w:after="100"/>
        <w:pBdr>
          <w:bottom w:val="single" w:sz="6" w:space="8" w:color="D1D5DB"/>
        </w:pBdr>
      </w:pPr>
      <w:r>
        <w:rPr>
          <w:b/>
          <w:color w:val="1F2937"/>
          <w:sz w:val="32"/>
        </w:rPr>
        <w:t>Appendix E: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pStyle w:val="Heading2"/>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posts, image upload, locked items, polls, products, follow versus subscribe, a fan feed, fan DMs,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60% of Y7 revenue,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pStyle w:val="Heading2"/>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p>
        </w:tc>
        <w:tc>
          <w:tcPr>
            <w:tcW w:type="dxa" w:w="1814"/>
          </w:tcPr>
          <w:p>
            <w:pPr>
              <w:spacing w:after="40" w:before="40"/>
            </w:pPr>
            <w:r/>
            <w:r>
              <w:rPr>
                <w:b/>
                <w:color w:val="1F2937"/>
                <w:sz w:val="17"/>
              </w:rPr>
              <w:t>Shipped</w:t>
            </w:r>
            <w:r>
              <w:rPr>
                <w:b w:val="0"/>
                <w:color w:val="1F2937"/>
                <w:sz w:val="17"/>
              </w:rPr>
              <w:t xml:space="preserve">: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p>
        </w:tc>
        <w:tc>
          <w:tcPr>
            <w:tcW w:type="dxa" w:w="1814"/>
          </w:tcPr>
          <w:p>
            <w:pPr>
              <w:spacing w:after="40" w:before="40"/>
            </w:pPr>
            <w:r/>
            <w:r>
              <w:rPr>
                <w:b/>
                <w:color w:val="1F2937"/>
                <w:sz w:val="17"/>
              </w:rPr>
              <w:t>Shipped</w:t>
            </w:r>
            <w:r>
              <w:rPr>
                <w:b w:val="0"/>
                <w:color w:val="1F2937"/>
                <w:sz w:val="17"/>
              </w:rPr>
              <w:t>: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pPr>
        <w:spacing w:after="120" w:before="0"/>
      </w:pPr>
    </w:p>
    <w:p>
      <w:pPr>
        <w:pStyle w:val="Heading2"/>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pPr>
        <w:spacing w:after="120" w:before="0"/>
      </w:pPr>
    </w:p>
    <w:p>
      <w:pPr>
        <w:pStyle w:val="Heading2"/>
        <w:keepNext/>
        <w:spacing w:before="320" w:after="100"/>
      </w:pPr>
      <w:r>
        <w:rPr>
          <w:b/>
          <w:color w:val="1F2937"/>
          <w:sz w:val="25"/>
        </w:rPr>
        <w:t>Campaign measurement: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pStyle w:val="Heading3"/>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a failed token refresh: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b w:val="0"/>
          <w:color w:val="1F2937"/>
          <w:sz w:val="18"/>
        </w:rPr>
        <w:t xml:space="preserve">: </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 xml:space="preserve">, </w:t>
      </w:r>
      <w:r>
        <w:rPr>
          <w:b w:val="0"/>
          <w:color w:val="1F2937"/>
          <w:sz w:val="20"/>
        </w:rPr>
        <w:t xml:space="preserve"> rather than as a zero variance: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pPr>
        <w:pStyle w:val="Heading3"/>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 of faith. Renewal rate is the difference between the base and conservative 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 outcomes (</w:t>
      </w:r>
      <w:r>
        <w:rPr>
          <w:b w:val="0"/>
          <w:color w:val="1F2937"/>
          <w:sz w:val="20"/>
        </w:rPr>
        <w:t>09</w:t>
      </w:r>
      <w:r>
        <w:rPr>
          <w:b w:val="0"/>
          <w:color w:val="1F2937"/>
          <w:sz w:val="20"/>
        </w:rPr>
        <w:t>); there were none to learn from, so 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 intelligence" is a claim. This one opens.</w:t>
      </w:r>
    </w:p>
    <w:p>
      <w:pPr>
        <w:pStyle w:val="Heading3"/>
        <w:keepNext/>
        <w:spacing w:before="200" w:after="100"/>
      </w:pPr>
      <w:r>
        <w:rPr>
          <w:b/>
          <w:color w:val="6B7280"/>
          <w:sz w:val="22"/>
        </w:rPr>
        <w:t>The two companions from the same reading,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pStyle w:val="Heading3"/>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 keeps accruing views keeps improving the deal's number. Honest, but not the same as a 30-day campaign measurement, and the difference should be named 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 attribution guard proves the post is the athlete's, not that it mentions the brand. Verifying that needs the disclosure tag or a campaign hashtag matched against post text: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 wants a campaign roll-up, which is a query over the same table.</w:t>
      </w:r>
    </w:p>
    <w:p>
      <w:pPr>
        <w:spacing w:after="120" w:before="0"/>
      </w:pPr>
    </w:p>
    <w:p>
      <w:pPr>
        <w:pStyle w:val="Heading2"/>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pStyle w:val="Heading3"/>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only the deadline is uncertain.</w:t>
      </w:r>
    </w:p>
    <w:p>
      <w:pPr>
        <w:pStyle w:val="Heading3"/>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pStyle w:val="Heading3"/>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pStyle w:val="Heading3"/>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r>
        <w:rPr>
          <w:b w:val="0"/>
          <w:color w:val="1F2937"/>
          <w:sz w:val="20"/>
        </w:rPr>
        <w:t xml:space="preserve"> stays: </w:t>
      </w:r>
      <w:r>
        <w:rPr>
          <w:b/>
          <w:color w:val="1F2937"/>
          <w:sz w:val="20"/>
        </w:rPr>
        <w:t>the first partner should be over 18</w:t>
      </w:r>
      <w:r>
        <w:rPr>
          <w:b w:val="0"/>
          <w:color w:val="1F2937"/>
          <w:sz w:val="20"/>
        </w:rPr>
        <w:t>, because the pre-seed gate tests fan subscriptions and that surface is 18+ in v1.</w:t>
      </w:r>
    </w:p>
    <w:p>
      <w:pPr>
        <w:pStyle w:val="ListBullet"/>
        <w:spacing w:after="60" w:line="264" w:lineRule="auto"/>
        <w:ind w:left="340"/>
      </w:pPr>
      <w:r>
        <w:rPr>
          <w:b w:val="0"/>
          <w:color w:val="1F2937"/>
          <w:sz w:val="20"/>
        </w:rPr>
        <w:t xml:space="preserve">Under-18 athletes are still worth onboarding from day one. They build the analytics pool, they attract sponsors, and they convert to fan monetisation automatically on their eighteenth birthday. </w:t>
      </w:r>
      <w:r>
        <w:rPr>
          <w:b/>
          <w:color w:val="1F2937"/>
          <w:sz w:val="20"/>
        </w:rPr>
        <w:t>The cohort is an asset that matures on a known date.</w:t>
      </w:r>
    </w:p>
    <w:p>
      <w:pPr>
        <w:spacing w:after="120" w:before="0"/>
      </w:pPr>
    </w:p>
    <w:p>
      <w:pPr>
        <w:pStyle w:val="Heading2"/>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p>
        </w:tc>
      </w:tr>
      <w:tr>
        <w:tc>
          <w:tcPr>
            <w:tcW w:type="dxa" w:w="2268"/>
          </w:tcPr>
          <w:p>
            <w:pPr>
              <w:spacing w:after="40" w:before="40"/>
            </w:pPr>
            <w:r/>
            <w:r>
              <w:rPr>
                <w:b/>
                <w:color w:val="1F2937"/>
                <w:sz w:val="17"/>
              </w:rPr>
              <w:t>P1</w:t>
            </w:r>
            <w:r>
              <w:rPr>
                <w:b w:val="0"/>
                <w:color w:val="1F2937"/>
                <w:sz w:val="17"/>
              </w:rPr>
              <w:t>: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one the product already supports today.</w:t>
      </w:r>
    </w:p>
    <w:p>
      <w:r>
        <w:br w:type="page"/>
      </w:r>
    </w:p>
    <w:p>
      <w:pPr>
        <w:pStyle w:val="Heading1"/>
        <w:keepNext/>
        <w:spacing w:before="320" w:after="100"/>
        <w:pBdr>
          <w:bottom w:val="single" w:sz="6" w:space="8" w:color="D1D5DB"/>
        </w:pBdr>
      </w:pPr>
      <w:r>
        <w:rPr>
          <w:b/>
          <w:color w:val="1F2937"/>
          <w:sz w:val="32"/>
        </w:rPr>
        <w:t>Appendix F: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keep more, matched on evidence</w:t>
            </w:r>
          </w:p>
        </w:tc>
        <w:tc>
          <w:tcPr>
            <w:tcW w:type="dxa" w:w="3024"/>
          </w:tcPr>
          <w:p>
            <w:pPr>
              <w:spacing w:after="40" w:before="40"/>
            </w:pPr>
            <w:r/>
            <w:r>
              <w:rPr>
                <w:b/>
                <w:color w:val="1F2937"/>
                <w:sz w:val="17"/>
              </w:rPr>
              <w:t>Market creation</w:t>
            </w:r>
            <w:r>
              <w:rPr>
                <w:b w:val="0"/>
                <w:color w:val="1F2937"/>
                <w:sz w:val="17"/>
              </w:rPr>
              <w:t>: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must beat an incumbent relationship</w:t>
            </w:r>
          </w:p>
        </w:tc>
        <w:tc>
          <w:tcPr>
            <w:tcW w:type="dxa" w:w="3024"/>
          </w:tcPr>
          <w:p>
            <w:pPr>
              <w:spacing w:after="40" w:before="40"/>
            </w:pPr>
            <w:r/>
            <w:r>
              <w:rPr>
                <w:b/>
                <w:color w:val="1F2937"/>
                <w:sz w:val="17"/>
              </w:rPr>
              <w:t>Lower</w:t>
            </w:r>
            <w:r>
              <w:rPr>
                <w:b w:val="0"/>
                <w:color w:val="1F2937"/>
                <w:sz w:val="17"/>
              </w:rPr>
              <w:t>: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but no one else is competing for it</w:t>
            </w:r>
          </w:p>
        </w:tc>
      </w:tr>
    </w:tbl>
    <w:p>
      <w:pPr>
        <w:spacing w:after="160" w:before="0"/>
      </w:pPr>
    </w:p>
    <w:p>
      <w:pPr>
        <w:spacing w:after="120" w:before="0"/>
      </w:pPr>
    </w:p>
    <w:p>
      <w:pPr>
        <w:pStyle w:val="Heading2"/>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success with a famous athlete proves only that fame monetises, which nobody doubted and which does not generalise to the long tail the model is built on.</w:t>
      </w:r>
    </w:p>
    <w:p>
      <w:pPr>
        <w:spacing w:after="120" w:before="0"/>
      </w:pPr>
    </w:p>
    <w:p>
      <w:pPr>
        <w:pStyle w:val="Heading2"/>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one segment, cheap CAC</w:t>
            </w:r>
          </w:p>
        </w:tc>
        <w:tc>
          <w:tcPr>
            <w:tcW w:type="dxa" w:w="3024"/>
          </w:tcPr>
          <w:p>
            <w:pPr>
              <w:spacing w:after="40" w:before="40"/>
            </w:pPr>
            <w:r/>
            <w:r>
              <w:rPr>
                <w:b w:val="0"/>
                <w:color w:val="1F2937"/>
                <w:sz w:val="17"/>
              </w:rPr>
              <w:t>Large: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pStyle w:val="Heading2"/>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pStyle w:val="Heading2"/>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audience, consistency, professionalism, willingness to publish: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pStyle w:val="Heading2"/>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pStyle w:val="Heading1"/>
        <w:keepNext/>
        <w:spacing w:before="320" w:after="100"/>
        <w:pBdr>
          <w:bottom w:val="single" w:sz="6" w:space="8" w:color="D1D5DB"/>
        </w:pBdr>
      </w:pPr>
      <w:r>
        <w:rPr>
          <w:b/>
          <w:color w:val="1F2937"/>
          <w:sz w:val="32"/>
        </w:rPr>
        <w:t>Appendix G: Decisions &amp; Open Questions</w:t>
      </w:r>
    </w:p>
    <w:p>
      <w:pPr>
        <w:spacing w:after="120" w:before="0"/>
      </w:pPr>
    </w:p>
    <w:p>
      <w:pPr>
        <w:pStyle w:val="Heading2"/>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pStyle w:val="Heading3"/>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 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 first year or two. Bought: distance from the risk that has produced litigation against creator platforms. The cohort still builds the analytics pool and 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 upward, and no incumbent fighting back while the model is still fragile.</w:t>
      </w:r>
    </w:p>
    <w:p>
      <w:pPr>
        <w:spacing w:after="120" w:before="0"/>
      </w:pPr>
    </w:p>
    <w:p>
      <w:pPr>
        <w:pStyle w:val="Heading2"/>
        <w:keepNext/>
        <w:spacing w:before="320" w:after="100"/>
      </w:pPr>
      <w:r>
        <w:rPr>
          <w:b/>
          <w:color w:val="1F2937"/>
          <w:sz w:val="25"/>
        </w:rPr>
        <w:t>Still open</w:t>
      </w:r>
    </w:p>
    <w:p>
      <w:pPr>
        <w:pStyle w:val="Heading3"/>
        <w:keepNext/>
        <w:spacing w:before="200" w:after="100"/>
      </w:pPr>
      <w:r>
        <w:rPr>
          <w:b/>
          <w:color w:val="6B7280"/>
          <w:sz w:val="22"/>
        </w:rPr>
        <w:t>A2: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and a monthly athlete fee is precisely the Passes mistake we are pricing against. </w:t>
      </w:r>
      <w:r>
        <w:rPr>
          <w:b/>
          <w:color w:val="1F2937"/>
          <w:sz w:val="20"/>
        </w:rPr>
        <w:t>This is close to settled; flag it if you disagree.</w:t>
      </w:r>
    </w:p>
    <w:p>
      <w:pPr>
        <w:pStyle w:val="Heading3"/>
        <w:keepNext/>
        <w:spacing w:before="200" w:after="100"/>
      </w:pPr>
      <w:r>
        <w:rPr>
          <w:b/>
          <w:color w:val="6B7280"/>
          <w:sz w:val="22"/>
        </w:rPr>
        <w:t>A3: Minimum tier price and annual billing</w:t>
      </w:r>
    </w:p>
    <w:p>
      <w:pPr>
        <w:spacing w:after="140" w:line="276" w:lineRule="auto"/>
        <w:jc w:val="both"/>
      </w:pPr>
      <w:r>
        <w:rPr>
          <w:b w:val="0"/>
          <w:color w:val="1F2937"/>
          <w:sz w:val="20"/>
        </w:rPr>
        <w:t>€4.99 retains 44% of our take after payment costs; €9.99 retains 64%; a €89 season pass retains 82%.</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pStyle w:val="Heading3"/>
        <w:keepNext/>
        <w:spacing w:before="200" w:after="100"/>
      </w:pPr>
      <w:r>
        <w:rPr>
          <w:b/>
          <w:color w:val="6B7280"/>
          <w:sz w:val="22"/>
        </w:rPr>
        <w:t>B1: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w:t>
      </w:r>
      <w:r>
        <w:rPr>
          <w:b w:val="0"/>
          <w:i/>
          <w:color w:val="1F2937"/>
          <w:sz w:val="20"/>
        </w:rPr>
        <w:t>will fans pay?</w:t>
      </w:r>
      <w:r>
        <w:rPr>
          <w:b w:val="0"/>
          <w:color w:val="1F2937"/>
          <w:sz w:val="20"/>
        </w:rPr>
        <w:t xml:space="preserve">, without a transcoding pipeline, a CDN decision, or video's moderation exposure. Commit to video only once P1 has three months of churn data. See </w:t>
      </w:r>
      <w:r>
        <w:rPr>
          <w:b w:val="0"/>
          <w:color w:val="1F2937"/>
          <w:sz w:val="20"/>
        </w:rPr>
        <w:t>05</w:t>
      </w:r>
      <w:r>
        <w:rPr>
          <w:b w:val="0"/>
          <w:color w:val="1F2937"/>
          <w:sz w:val="20"/>
        </w:rPr>
        <w:t>.</w:t>
      </w:r>
    </w:p>
    <w:p>
      <w:pPr>
        <w:pStyle w:val="Heading3"/>
        <w:keepNext/>
        <w:spacing w:before="200" w:after="100"/>
      </w:pPr>
      <w:r>
        <w:rPr>
          <w:b/>
          <w:color w:val="6B7280"/>
          <w:sz w:val="22"/>
        </w:rPr>
        <w:t>B3: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which makes this decision load-bearing for </w:t>
      </w:r>
      <w:r>
        <w:rPr>
          <w:b w:val="0"/>
          <w:color w:val="1F2937"/>
          <w:sz w:val="20"/>
        </w:rPr>
        <w:t>06</w:t>
      </w:r>
      <w:r>
        <w:rPr>
          <w:b w:val="0"/>
          <w:color w:val="1F2937"/>
          <w:sz w:val="20"/>
        </w:rPr>
        <w:t>, not just for revenue.</w:t>
      </w:r>
    </w:p>
    <w:p>
      <w:pPr>
        <w:pStyle w:val="Heading3"/>
        <w:keepNext/>
        <w:spacing w:before="200" w:after="100"/>
      </w:pPr>
      <w:r>
        <w:rPr>
          <w:b/>
          <w:color w:val="6B7280"/>
          <w:sz w:val="22"/>
        </w:rPr>
        <w:t>C1: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pStyle w:val="Heading3"/>
        <w:keepNext/>
        <w:spacing w:before="200" w:after="100"/>
      </w:pPr>
      <w:r>
        <w:rPr>
          <w:b/>
          <w:color w:val="6B7280"/>
          <w:sz w:val="22"/>
        </w:rPr>
        <w:t>C3: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pStyle w:val="Heading3"/>
        <w:keepNext/>
        <w:spacing w:before="200" w:after="100"/>
      </w:pPr>
      <w:r>
        <w:rPr>
          <w:b/>
          <w:color w:val="6B7280"/>
          <w:sz w:val="22"/>
        </w:rPr>
        <w:t>C4: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an agent still negotiates, we just make the introduction on evidence instead of on their contact list.</w:t>
      </w:r>
    </w:p>
    <w:p>
      <w:pPr>
        <w:pStyle w:val="Heading3"/>
        <w:keepNext/>
        <w:spacing w:before="200" w:after="100"/>
      </w:pPr>
      <w:r>
        <w:rPr>
          <w:b/>
          <w:color w:val="6B7280"/>
          <w:sz w:val="22"/>
        </w:rPr>
        <w:t>D1: Raise €392k, or the €2.4M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pStyle w:val="Heading3"/>
        <w:keepNext/>
        <w:spacing w:before="200" w:after="100"/>
      </w:pPr>
      <w:r>
        <w:rPr>
          <w:b/>
          <w:color w:val="6B7280"/>
          <w:sz w:val="22"/>
        </w:rPr>
        <w:t>D2: Founder salary in Y1?</w:t>
      </w:r>
    </w:p>
    <w:p>
      <w:pPr>
        <w:spacing w:after="140" w:line="276" w:lineRule="auto"/>
        <w:jc w:val="both"/>
      </w:pPr>
      <w:r>
        <w:rPr>
          <w:b w:val="0"/>
          <w:color w:val="1F2937"/>
          <w:sz w:val="20"/>
        </w:rPr>
        <w:t xml:space="preserve">The model assumes unpaid Y1: €50k of forgone earnings. Given the plan's modest capital need, €24k of Y1 salary changes little in the model and quite a lot in sustainability. </w:t>
      </w:r>
      <w:r>
        <w:rPr>
          <w:b/>
          <w:color w:val="1F2937"/>
          <w:sz w:val="20"/>
        </w:rPr>
        <w:t>Worth deciding deliberately rather than by default.</w:t>
      </w:r>
    </w:p>
    <w:p>
      <w:pPr>
        <w:pStyle w:val="Heading3"/>
        <w:keepNext/>
        <w:spacing w:before="200" w:after="100"/>
      </w:pPr>
      <w:r>
        <w:rPr>
          <w:b/>
          <w:color w:val="6B7280"/>
          <w:sz w:val="22"/>
        </w:rPr>
        <w:t>D3: Which valuation do we present?</w:t>
      </w:r>
    </w:p>
    <w:p>
      <w:pPr>
        <w:spacing w:after="140" w:line="276" w:lineRule="auto"/>
        <w:jc w:val="both"/>
      </w:pPr>
      <w:r>
        <w:rPr>
          <w:b/>
          <w:color w:val="1F2937"/>
          <w:sz w:val="20"/>
        </w:rPr>
        <w:t>Recommendation: lead with the exit multiple discounted back (€11–25M), present the DCF (€8.6M)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pStyle w:val="Heading2"/>
        <w:keepNext/>
        <w:spacing w:before="320" w:after="100"/>
      </w:pPr>
      <w:r>
        <w:rPr>
          <w:b/>
          <w:color w:val="1F2937"/>
          <w:sz w:val="25"/>
        </w:rPr>
        <w:t>New questions raised by the decisions just made</w:t>
      </w:r>
    </w:p>
    <w:p>
      <w:pPr>
        <w:pStyle w:val="Heading3"/>
        <w:keepNext/>
        <w:spacing w:before="200" w:after="100"/>
      </w:pPr>
      <w:r>
        <w:rPr>
          <w:b/>
          <w:color w:val="6B7280"/>
          <w:sz w:val="22"/>
        </w:rPr>
        <w:t>F1: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pStyle w:val="Heading3"/>
        <w:keepNext/>
        <w:spacing w:before="200" w:after="100"/>
      </w:pPr>
      <w:r>
        <w:rPr>
          <w:b/>
          <w:color w:val="6B7280"/>
          <w:sz w:val="22"/>
        </w:rPr>
        <w:t>F2: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pStyle w:val="Heading3"/>
        <w:keepNext/>
        <w:spacing w:before="200" w:after="100"/>
      </w:pPr>
      <w:r>
        <w:rPr>
          <w:b/>
          <w:color w:val="6B7280"/>
          <w:sz w:val="22"/>
        </w:rPr>
        <w:t xml:space="preserve">F3: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pStyle w:val="Heading3"/>
        <w:keepNext/>
        <w:spacing w:before="200" w:after="100"/>
      </w:pPr>
      <w:r>
        <w:rPr>
          <w:b/>
          <w:color w:val="6B7280"/>
          <w:sz w:val="22"/>
        </w:rPr>
        <w:t>F4: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it is a genuine floor under the downside, and few pre-seed companies have one.</w:t>
      </w:r>
    </w:p>
    <w:p>
      <w:r>
        <w:br w:type="page"/>
      </w:r>
    </w:p>
    <w:p>
      <w:pPr>
        <w:pStyle w:val="Heading1"/>
        <w:keepNext/>
        <w:spacing w:before="320" w:after="100"/>
        <w:pBdr>
          <w:bottom w:val="single" w:sz="6" w:space="8" w:color="D1D5DB"/>
        </w:pBdr>
      </w:pPr>
      <w:r>
        <w:rPr>
          <w:b/>
          <w:color w:val="1F2937"/>
          <w:sz w:val="32"/>
        </w:rPr>
        <w:t>Appendix H: Sport Opportunity Index</w:t>
      </w:r>
    </w:p>
    <w:p>
      <w:pPr>
        <w:spacing w:after="140" w:line="276" w:lineRule="auto"/>
        <w:jc w:val="both"/>
      </w:pPr>
      <w:r>
        <w:rPr>
          <w:b/>
          <w:color w:val="1F2937"/>
          <w:sz w:val="20"/>
        </w:rPr>
        <w:t>714 country × sport pairs</w:t>
      </w:r>
      <w:r>
        <w:rPr>
          <w:b w:val="0"/>
          <w:color w:val="1F2937"/>
          <w:sz w:val="20"/>
        </w:rPr>
        <w:t xml:space="preserve">: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audience, consistency, professionalism, willingness to publish, and their sport is one input among those. What the index does is tell us, and them, how to read their numbers.</w:t>
      </w:r>
    </w:p>
    <w:p>
      <w:pPr>
        <w:spacing w:after="120" w:before="0"/>
      </w:pPr>
    </w:p>
    <w:p>
      <w:pPr>
        <w:pStyle w:val="Heading2"/>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pStyle w:val="Heading3"/>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no hand-tuned ceilings.</w:t>
      </w:r>
    </w:p>
    <w:p>
      <w:pPr>
        <w:spacing w:after="120" w:before="0"/>
      </w:pPr>
    </w:p>
    <w:p>
      <w:pPr>
        <w:pStyle w:val="Heading2"/>
        <w:keepNext/>
        <w:spacing w:before="320" w:after="100"/>
      </w:pPr>
      <w:r>
        <w:rPr>
          <w:b/>
          <w:color w:val="1F2937"/>
          <w:sz w:val="25"/>
        </w:rPr>
        <w:t>Results</w:t>
      </w:r>
    </w:p>
    <w:p>
      <w:pPr>
        <w:pStyle w:val="Heading3"/>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which is where intuition put them, now derived rather than asserted.</w:t>
      </w:r>
    </w:p>
    <w:p>
      <w:pPr>
        <w:pStyle w:val="Heading3"/>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pStyle w:val="Heading2"/>
        <w:keepNext/>
        <w:spacing w:before="320" w:after="100"/>
      </w:pPr>
      <w:r>
        <w:rPr>
          <w:b/>
          <w:color w:val="1F2937"/>
          <w:sz w:val="25"/>
        </w:rPr>
        <w:t>Three product uses</w:t>
      </w:r>
    </w:p>
    <w:p>
      <w:pPr>
        <w:pStyle w:val="Heading3"/>
        <w:keepNext/>
        <w:spacing w:before="200" w:after="100"/>
      </w:pPr>
      <w:r>
        <w:rPr>
          <w:b/>
          <w:color w:val="6B7280"/>
          <w:sz w:val="22"/>
        </w:rPr>
        <w:t>1. Athletes: content guidance</w:t>
      </w:r>
    </w:p>
    <w:p>
      <w:pPr>
        <w:spacing w:after="140" w:line="276" w:lineRule="auto"/>
        <w:jc w:val="both"/>
      </w:pPr>
      <w:r>
        <w:rPr>
          <w:b w:val="0"/>
          <w:color w:val="1F2937"/>
          <w:sz w:val="20"/>
        </w:rPr>
        <w:t xml:space="preserve">The athlete sees their audience type and what converts for it. Not "your sport is niche": that is a positioning risk and tells them nothing useful,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pStyle w:val="Heading3"/>
        <w:keepNext/>
        <w:spacing w:before="200" w:after="100"/>
      </w:pPr>
      <w:r>
        <w:rPr>
          <w:b/>
          <w:color w:val="6B7280"/>
          <w:sz w:val="22"/>
        </w:rPr>
        <w:t>2. Sponsors: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Starter</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pStyle w:val="Heading3"/>
        <w:keepNext/>
        <w:spacing w:before="200" w:after="100"/>
      </w:pPr>
      <w:r>
        <w:rPr>
          <w:b/>
          <w:color w:val="6B7280"/>
          <w:sz w:val="22"/>
        </w:rPr>
        <w:t>3. The scoring engine: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pPr>
        <w:spacing w:after="120" w:before="0"/>
      </w:pPr>
    </w:p>
    <w:p>
      <w:pPr>
        <w:pStyle w:val="Heading2"/>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which is also why the index is defensible as a moat rather than a spreadsheet anyone could copy.</w:t>
      </w:r>
    </w:p>
    <w:p>
      <w:pPr>
        <w:pStyle w:val="Heading3"/>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 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 </w:t>
      </w:r>
      <w:r>
        <w:rPr>
          <w:rFonts w:ascii="Consolas" w:hAnsi="Consolas"/>
          <w:b w:val="0"/>
          <w:color w:val="1F2937"/>
          <w:sz w:val="18"/>
        </w:rPr>
        <w:t>appetite</w:t>
      </w:r>
      <w:r>
        <w:rPr>
          <w:b w:val="0"/>
          <w:color w:val="1F2937"/>
          <w:sz w:val="20"/>
        </w:rPr>
        <w:t>: the signal the whole content-guidance feature rests on. First 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 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 heaviest single weight (0.25) alongside supply.</w:t>
      </w:r>
    </w:p>
    <w:p>
      <w:r>
        <w:br w:type="page"/>
      </w:r>
    </w:p>
    <w:p>
      <w:pPr>
        <w:pStyle w:val="Heading1"/>
        <w:keepNext/>
        <w:spacing w:before="320" w:after="100"/>
        <w:pBdr>
          <w:bottom w:val="single" w:sz="6" w:space="8" w:color="D1D5DB"/>
        </w:pBdr>
      </w:pPr>
      <w:r>
        <w:rPr>
          <w:b/>
          <w:color w:val="1F2937"/>
          <w:sz w:val="32"/>
        </w:rPr>
        <w:t>Appendix I: Analytics Strategy</w:t>
      </w:r>
    </w:p>
    <w:p>
      <w:pPr>
        <w:spacing w:after="140" w:line="276" w:lineRule="auto"/>
        <w:jc w:val="both"/>
      </w:pPr>
      <w:r>
        <w:rPr>
          <w:b/>
          <w:color w:val="1F2937"/>
          <w:sz w:val="20"/>
        </w:rPr>
        <w:t>Yes, phase it,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pStyle w:val="Heading2"/>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pStyle w:val="Heading2"/>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pStyle w:val="Heading3"/>
        <w:keepNext/>
        <w:spacing w:before="200" w:after="100"/>
      </w:pPr>
      <w:r>
        <w:rPr>
          <w:b/>
          <w:color w:val="6B7280"/>
          <w:sz w:val="22"/>
        </w:rPr>
        <w:t>Phase 0: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pStyle w:val="Heading3"/>
        <w:keepNext/>
        <w:spacing w:before="200" w:after="100"/>
      </w:pPr>
      <w:r>
        <w:rPr>
          <w:b/>
          <w:color w:val="6B7280"/>
          <w:sz w:val="22"/>
        </w:rPr>
        <w:t>Phase 1: Observed data (pre-seed → seed)</w:t>
      </w:r>
    </w:p>
    <w:p>
      <w:pPr>
        <w:spacing w:after="140" w:line="276" w:lineRule="auto"/>
        <w:jc w:val="both"/>
      </w:pPr>
      <w:r>
        <w:rPr>
          <w:b w:val="0"/>
          <w:color w:val="1F2937"/>
          <w:sz w:val="20"/>
        </w:rPr>
        <w:t>Once connectors are live, Stride measures what it currently estimates. The fandom layer of the sport index: its weakest input,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pStyle w:val="Heading3"/>
        <w:keepNext/>
        <w:spacing w:before="200" w:after="100"/>
      </w:pPr>
      <w:r>
        <w:rPr>
          <w:b/>
          <w:color w:val="6B7280"/>
          <w:sz w:val="22"/>
        </w:rPr>
        <w:t>Phase 2: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 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pStyle w:val="Heading3"/>
        <w:keepNext/>
        <w:spacing w:before="200" w:after="100"/>
      </w:pPr>
      <w:r>
        <w:rPr>
          <w:b/>
          <w:color w:val="6B7280"/>
          <w:sz w:val="22"/>
        </w:rPr>
        <w:t>Phase 3: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revenue stream 8 in </w:t>
      </w:r>
      <w:r>
        <w:rPr>
          <w:b w:val="0"/>
          <w:color w:val="1F2937"/>
          <w:sz w:val="20"/>
        </w:rPr>
        <w:t>01</w:t>
      </w:r>
      <w:r>
        <w:rPr>
          <w:b w:val="0"/>
          <w:color w:val="1F2937"/>
          <w:sz w:val="20"/>
        </w:rPr>
        <w:t>, deliberately excluded from the base model so the plan never depended on it.</w:t>
      </w:r>
    </w:p>
    <w:p>
      <w:pPr>
        <w:spacing w:after="120" w:before="0"/>
      </w:pPr>
    </w:p>
    <w:p>
      <w:pPr>
        <w:pStyle w:val="Heading2"/>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pStyle w:val="Heading2"/>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pStyle w:val="Heading2"/>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pStyle w:val="Heading2"/>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which is the most durable competitive argument in this plan, and it accrues automatically as long as the events are being written.</w:t>
      </w:r>
    </w:p>
    <w:p>
      <w:r>
        <w:br w:type="page"/>
      </w:r>
    </w:p>
    <w:p>
      <w:pPr>
        <w:pStyle w:val="Heading1"/>
        <w:keepNext/>
        <w:spacing w:before="320" w:after="100"/>
        <w:pBdr>
          <w:bottom w:val="single" w:sz="6" w:space="8" w:color="D1D5DB"/>
        </w:pBdr>
      </w:pPr>
      <w:r>
        <w:rPr>
          <w:b/>
          <w:color w:val="1F2937"/>
          <w:sz w:val="32"/>
        </w:rPr>
        <w:t>Appendix J: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pStyle w:val="Heading2"/>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 with "identify, activate and </w:t>
      </w:r>
      <w:r>
        <w:rPr>
          <w:b/>
          <w:color w:val="1F2937"/>
          <w:sz w:val="20"/>
        </w:rPr>
        <w:t>measure</w:t>
      </w:r>
      <w:r>
        <w:rPr>
          <w:b w:val="0"/>
          <w:color w:val="1F2937"/>
          <w:sz w:val="20"/>
        </w:rPr>
        <w:t>" and "one unified measurement framework". That is Stride's entire sponsor-side thesis, now being sold by a 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 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 development, transparent deal terms.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 brings universities and conferences, not individual athletes.</w:t>
      </w:r>
    </w:p>
    <w:p>
      <w:pPr>
        <w:pStyle w:val="Heading2"/>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which is exactly why they are useful as validation rather than threatening as competition.</w:t>
      </w:r>
    </w:p>
    <w:p>
      <w:pPr>
        <w:spacing w:after="120" w:before="0"/>
      </w:pPr>
    </w:p>
    <w:p>
      <w:pPr>
        <w:pStyle w:val="Heading2"/>
        <w:keepNext/>
        <w:spacing w:before="320" w:after="100"/>
      </w:pPr>
      <w:r>
        <w:rPr>
          <w:b/>
          <w:color w:val="1F2937"/>
          <w:sz w:val="25"/>
        </w:rPr>
        <w:t>What Stride should take from this</w:t>
      </w:r>
    </w:p>
    <w:p>
      <w:pPr>
        <w:pStyle w:val="Heading3"/>
        <w:keepNext/>
        <w:spacing w:before="200" w:after="100"/>
      </w:pPr>
      <w:r>
        <w:rPr>
          <w:b/>
          <w:color w:val="6B7280"/>
          <w:sz w:val="22"/>
        </w:rPr>
        <w:t>1. Build measurement. This was the real gap.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 outcomes, and before this there were none. They now accumulate per deal, and the candidate slate behind every offer is logged alongside them, which is 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 is an agency claim. Stride's would decompose to the posts behind it, the same discipline already applied to marketability scores.</w:t>
      </w:r>
    </w:p>
    <w:p>
      <w:pPr>
        <w:pStyle w:val="Heading3"/>
        <w:keepNext/>
        <w:spacing w:before="200" w:after="100"/>
      </w:pPr>
      <w:r>
        <w:rPr>
          <w:b/>
          <w:color w:val="6B7280"/>
          <w:sz w:val="22"/>
        </w:rPr>
        <w:t>2. Make speed the quantified claim: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reported with the count of campaigns that have produced no offer at all, so the median cannot quietly become a survivorship number. Measured before it is claimed, which is the whole difference between this and an agency's brochure.</w:t>
      </w:r>
    </w:p>
    <w:p>
      <w:pPr>
        <w:pStyle w:val="Heading3"/>
        <w:keepNext/>
        <w:spacing w:before="200" w:after="100"/>
      </w:pPr>
      <w:r>
        <w:rPr>
          <w:b/>
          <w:color w:val="6B7280"/>
          <w:sz w:val="22"/>
        </w:rPr>
        <w:t>3. Use clubs the way they use universities,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w:t>
      </w:r>
      <w:r>
        <w:rPr>
          <w:rFonts w:ascii="Consolas" w:hAnsi="Consolas"/>
          <w:b w:val="0"/>
          <w:color w:val="1F2937"/>
          <w:sz w:val="18"/>
        </w:rPr>
        <w:t>clubs</w:t>
      </w:r>
      <w:r>
        <w:rPr>
          <w:b w:val="0"/>
          <w:color w:val="1F2937"/>
          <w:sz w:val="20"/>
        </w:rPr>
        <w:t>, rosters, and packages,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pStyle w:val="Heading3"/>
        <w:keepNext/>
        <w:spacing w:before="200" w:after="100"/>
      </w:pPr>
      <w:r>
        <w:rPr>
          <w:b/>
          <w:color w:val="6B7280"/>
          <w:sz w:val="22"/>
        </w:rPr>
        <w:t>4. Athlete education as retention, not charity,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extending it into what to charge, how to read your own analytics, tax basics for a Spanish athlete, what a fair deal looks like.</w:t>
      </w:r>
    </w:p>
    <w:p>
      <w:pPr>
        <w:pStyle w:val="Heading3"/>
        <w:keepNext/>
        <w:spacing w:before="200" w:after="100"/>
      </w:pPr>
      <w:r>
        <w:rPr>
          <w:b/>
          <w:color w:val="6B7280"/>
          <w:sz w:val="22"/>
        </w:rPr>
        <w:t>5. Target the brands an agency will not serve,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pStyle w:val="Heading3"/>
        <w:keepNext/>
        <w:spacing w:before="200" w:after="100"/>
      </w:pPr>
      <w:r>
        <w:rPr>
          <w:b/>
          <w:color w:val="6B7280"/>
          <w:sz w:val="22"/>
        </w:rPr>
        <w:t>6. Sell to agencies rather than fight them,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pStyle w:val="Heading2"/>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pStyle w:val="Heading2"/>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against an agent's 10–20% and an undisclosed agency retainer,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pStyle w:val="Heading2"/>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and to keep the long tail they cannot reach.</w:t>
      </w:r>
    </w:p>
    <w:p>
      <w:r>
        <w:br w:type="page"/>
      </w:r>
    </w:p>
    <w:p>
      <w:pPr>
        <w:pStyle w:val="Heading1"/>
        <w:keepNext/>
        <w:spacing w:before="320" w:after="100"/>
        <w:pBdr>
          <w:bottom w:val="single" w:sz="6" w:space="8" w:color="D1D5DB"/>
        </w:pBdr>
      </w:pPr>
      <w:r>
        <w:rPr>
          <w:b/>
          <w:color w:val="1F2937"/>
          <w:sz w:val="32"/>
        </w:rPr>
        <w:t>Appendix K: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pStyle w:val="Heading2"/>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applicants lie</w:t>
            </w:r>
          </w:p>
        </w:tc>
        <w:tc>
          <w:tcPr>
            <w:tcW w:type="dxa" w:w="3024"/>
          </w:tcPr>
          <w:p>
            <w:pPr>
              <w:spacing w:after="40" w:before="40"/>
            </w:pPr>
            <w:r/>
            <w:r>
              <w:rPr>
                <w:b w:val="0"/>
                <w:color w:val="1F2937"/>
                <w:sz w:val="17"/>
              </w:rPr>
              <w:t>non-adversarial: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pStyle w:val="Heading2"/>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just under the 25 review floor, by construction.</w:t>
      </w:r>
    </w:p>
    <w:p>
      <w:pPr>
        <w:spacing w:after="140" w:line="276" w:lineRule="auto"/>
        <w:jc w:val="both"/>
      </w:pPr>
      <w:r>
        <w:rPr>
          <w:b/>
          <w:color w:val="1F2937"/>
          <w:sz w:val="20"/>
        </w:rPr>
        <w:t>2. Missing is zero here: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pStyle w:val="Heading2"/>
        <w:keepNext/>
        <w:spacing w:before="320" w:after="100"/>
      </w:pPr>
      <w:r>
        <w:rPr>
          <w:b/>
          <w:color w:val="1F2937"/>
          <w:sz w:val="25"/>
        </w:rPr>
        <w:t>Formulas</w:t>
      </w:r>
    </w:p>
    <w:p>
      <w:pPr>
        <w:pStyle w:val="Heading3"/>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pStyle w:val="Heading3"/>
        <w:keepNext/>
        <w:spacing w:before="200" w:after="100"/>
      </w:pPr>
      <w:r>
        <w:rPr>
          <w:b/>
          <w:color w:val="6B7280"/>
          <w:sz w:val="22"/>
        </w:rPr>
        <w:t>Decision</w:t>
      </w:r>
    </w:p>
    <w:p>
      <w:pPr>
        <w:spacing w:after="140" w:line="276" w:lineRule="auto"/>
        <w:jc w:val="both"/>
      </w:pPr>
      <w:r>
        <w:rPr>
          <w:b w:val="0"/>
          <w:color w:val="1F2937"/>
          <w:sz w:val="20"/>
        </w:rPr>
        <w:t>Order matters: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and at 0.70 a large enough claim clears the line unaided (see stress finding 3).</w:t>
      </w:r>
    </w:p>
    <w:p>
      <w:pPr>
        <w:pStyle w:val="Heading3"/>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over the bar. Without it a fabricated club verifies itself and starts nominating (stress finding 4).</w:t>
      </w:r>
    </w:p>
    <w:p>
      <w:pPr>
        <w:pStyle w:val="Heading3"/>
        <w:keepNext/>
        <w:spacing w:before="200" w:after="100"/>
      </w:pPr>
      <w:r>
        <w:rPr>
          <w:b/>
          <w:color w:val="6B7280"/>
          <w:sz w:val="22"/>
        </w:rPr>
        <w:t>Nomination: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 state someone else's date of birth, so the 16+ gate still cannot be cleared by a third party and a nominated athlete who submitted nothing stays </w:t>
      </w:r>
      <w:r>
        <w:rPr>
          <w:rFonts w:ascii="Consolas" w:hAnsi="Consolas"/>
          <w:b w:val="0"/>
          <w:color w:val="1F2937"/>
          <w:sz w:val="18"/>
        </w:rPr>
        <w:t>pending</w:t>
      </w:r>
      <w:r>
        <w:rPr>
          <w:b w:val="0"/>
          <w:color w:val="1F2937"/>
          <w:sz w:val="20"/>
        </w:rPr>
        <w:t>. 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 nomination budget, which makes inflating it a checkable claim rather than free 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 to </w:t>
      </w:r>
      <w:r>
        <w:rPr>
          <w:rFonts w:ascii="Consolas" w:hAnsi="Consolas"/>
          <w:b w:val="0"/>
          <w:color w:val="1F2937"/>
          <w:sz w:val="18"/>
        </w:rPr>
        <w:t>review</w:t>
      </w:r>
      <w:r>
        <w:rPr>
          <w:b w:val="0"/>
          <w:color w:val="1F2937"/>
          <w:sz w:val="20"/>
        </w:rPr>
        <w:t xml:space="preserve"> exactly those athletes whose own credibility was below the admit line. Anyone who stood on their own evidence is untouched. Review, not 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a third party's action costing someone their standing.</w:t>
      </w:r>
    </w:p>
    <w:p>
      <w:pPr>
        <w:pStyle w:val="Heading3"/>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pStyle w:val="Heading2"/>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pPr>
        <w:spacing w:after="120" w:before="0"/>
      </w:pPr>
    </w:p>
    <w:p>
      <w:pPr>
        <w:pStyle w:val="Heading2"/>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pStyle w:val="Heading2"/>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pPr>
        <w:pStyle w:val="Heading3"/>
        <w:keepNext/>
        <w:spacing w:before="200" w:after="100"/>
      </w:pPr>
      <w:r>
        <w:rPr>
          <w:b/>
          <w:color w:val="6B7280"/>
          <w:sz w:val="22"/>
        </w:rPr>
        <w:t>Finding 1: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not a lenient decision but the </w:t>
      </w:r>
      <w:r>
        <w:rPr>
          <w:b w:val="0"/>
          <w:i/>
          <w:color w:val="1F2937"/>
          <w:sz w:val="20"/>
        </w:rPr>
        <w:t>absence</w:t>
      </w:r>
      <w:r>
        <w:rPr>
          <w:b w:val="0"/>
          <w:color w:val="1F2937"/>
          <w:sz w:val="20"/>
        </w:rPr>
        <w:t xml:space="preserve"> of one. It occupies no reviewer and confers nothing, so stalling gains nothing.</w:t>
      </w:r>
    </w:p>
    <w:p>
      <w:pPr>
        <w:pStyle w:val="Heading3"/>
        <w:keepNext/>
        <w:spacing w:before="200" w:after="100"/>
      </w:pPr>
      <w:r>
        <w:rPr>
          <w:b/>
          <w:color w:val="6B7280"/>
          <w:sz w:val="22"/>
        </w:rPr>
        <w:t>Finding 2: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pStyle w:val="Heading3"/>
        <w:keepNext/>
        <w:spacing w:before="200" w:after="100"/>
      </w:pPr>
      <w:r>
        <w:rPr>
          <w:b/>
          <w:color w:val="6B7280"/>
          <w:sz w:val="22"/>
        </w:rPr>
        <w:t xml:space="preserve">Findings 3 and 4: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 and was admitted outright.</w:t>
      </w:r>
    </w:p>
    <w:p>
      <w:pPr>
        <w:pStyle w:val="ListBullet"/>
        <w:spacing w:after="60" w:line="264" w:lineRule="auto"/>
        <w:ind w:left="340"/>
      </w:pPr>
      <w:r>
        <w:rPr>
          <w:b w:val="0"/>
          <w:color w:val="1F2937"/>
          <w:sz w:val="20"/>
        </w:rPr>
        <w:t xml:space="preserve">A fully fabricated club: plausible registration number, federation id, founding year, team count, roster URL, none of them opened, scored </w:t>
      </w:r>
      <w:r>
        <w:rPr>
          <w:b/>
          <w:color w:val="1F2937"/>
          <w:sz w:val="20"/>
        </w:rPr>
        <w:t>70</w:t>
      </w:r>
      <w:r>
        <w:rPr>
          <w:b w:val="0"/>
          <w:color w:val="1F2937"/>
          <w:sz w:val="20"/>
        </w:rPr>
        <w:t>, 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pStyle w:val="Heading3"/>
        <w:keepNext/>
        <w:spacing w:before="200" w:after="100"/>
      </w:pPr>
      <w:r>
        <w:rPr>
          <w:b/>
          <w:color w:val="6B7280"/>
          <w:sz w:val="22"/>
        </w:rPr>
        <w:t>Finding 6: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pStyle w:val="Heading2"/>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pStyle w:val="Heading2"/>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needs real post text and a model dependency</w:t>
            </w:r>
          </w:p>
        </w:tc>
      </w:tr>
    </w:tbl>
    <w:p>
      <w:pPr>
        <w:spacing w:after="160" w:before="0"/>
      </w:pPr>
    </w:p>
    <w:p>
      <w:pPr>
        <w:spacing w:after="120" w:before="0"/>
      </w:pPr>
    </w:p>
    <w:p>
      <w:pPr>
        <w:pStyle w:val="Heading2"/>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 clears the bar: we just have not opened your proof link yet." The wording 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xml:space="preserve">, before the club spends its budget: nominees sit at </w:t>
      </w:r>
      <w:r>
        <w:rPr>
          <w:rFonts w:ascii="Consolas" w:hAnsi="Consolas"/>
          <w:b w:val="0"/>
          <w:color w:val="1F2937"/>
          <w:sz w:val="18"/>
        </w:rPr>
        <w:t>pending</w:t>
      </w:r>
      <w:r>
        <w:rPr>
          <w:b w:val="0"/>
          <w:color w:val="1F2937"/>
          <w:sz w:val="20"/>
        </w:rPr>
        <w:t xml:space="preserve"> until they complete their own form, because no club can supply someone else's date of birth. Without that, 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 than flush left and right. Flushing them told an applicant at 15 that 55 was 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p>
      <w:r>
        <w:br w:type="page"/>
      </w:r>
    </w:p>
    <w:p>
      <w:pPr>
        <w:pStyle w:val="Heading1"/>
        <w:keepNext/>
        <w:spacing w:before="320" w:after="100"/>
        <w:pBdr>
          <w:bottom w:val="single" w:sz="6" w:space="8" w:color="D1D5DB"/>
        </w:pBdr>
      </w:pPr>
      <w:r>
        <w:rPr>
          <w:b/>
          <w:color w:val="1F2937"/>
          <w:sz w:val="32"/>
        </w:rPr>
        <w:t>Appendix L: Evidence Base: Where Every Assumption Comes From</w:t>
      </w:r>
    </w:p>
    <w:p>
      <w:pPr>
        <w:spacing w:after="140" w:line="276" w:lineRule="auto"/>
        <w:jc w:val="both"/>
      </w:pPr>
      <w:r>
        <w:rPr>
          <w:b w:val="0"/>
          <w:i/>
          <w:color w:val="1F2937"/>
          <w:sz w:val="20"/>
        </w:rPr>
        <w:t>Generated from `research_data.py`, which also produces the Research sheet of the financial model. Every driver the model runs on appears here with its method and the comparable behind it. A driver appears</w:t>
      </w:r>
      <w:r>
        <w:rPr>
          <w:b w:val="0"/>
          <w:color w:val="1F2937"/>
          <w:sz w:val="20"/>
        </w:rPr>
        <w:t xml:space="preserve"> </w:t>
      </w:r>
      <w:r>
        <w:rPr>
          <w:b w:val="0"/>
          <w:i/>
          <w:color w:val="1F2937"/>
          <w:sz w:val="20"/>
        </w:rPr>
        <w:t>twice where two separate decisions rest on it.</w:t>
      </w:r>
    </w:p>
    <w:p>
      <w:pPr>
        <w:spacing w:after="120" w:before="0"/>
      </w:pPr>
    </w:p>
    <w:p>
      <w:pPr>
        <w:pStyle w:val="Heading2"/>
        <w:keepNext/>
        <w:spacing w:before="320" w:after="100"/>
      </w:pPr>
      <w:r>
        <w:rPr>
          <w:b/>
          <w:color w:val="1F2937"/>
          <w:sz w:val="25"/>
        </w:rPr>
        <w:t>17.1 What the model is built on</w:t>
      </w:r>
    </w:p>
    <w:p>
      <w:pPr>
        <w:spacing w:after="140" w:line="276" w:lineRule="auto"/>
        <w:jc w:val="both"/>
      </w:pPr>
      <w:r>
        <w:rPr>
          <w:b w:val="0"/>
          <w:color w:val="1F2937"/>
          <w:sz w:val="20"/>
        </w:rPr>
        <w:t xml:space="preserve">The model runs on </w:t>
      </w:r>
      <w:r>
        <w:rPr>
          <w:b/>
          <w:color w:val="1F2937"/>
          <w:sz w:val="20"/>
        </w:rPr>
        <w:t>35 named assumptions</w:t>
      </w:r>
      <w:r>
        <w:rPr>
          <w:b w:val="0"/>
          <w:color w:val="1F2937"/>
          <w:sz w:val="20"/>
        </w:rPr>
        <w:t>. Classifying them honestly matters more than the count, because a plan that presents an estimate with the same confidence as a published figure is not being read carefully by its own author.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Method</w:t>
            </w:r>
          </w:p>
        </w:tc>
        <w:tc>
          <w:tcPr>
            <w:tcW w:type="dxa" w:w="3024"/>
            <w:shd w:val="clear" w:fill="EFF1F3"/>
          </w:tcPr>
          <w:p>
            <w:pPr>
              <w:spacing w:after="40" w:before="40"/>
            </w:pPr>
            <w:r/>
            <w:r>
              <w:rPr>
                <w:b/>
                <w:color w:val="1F2937"/>
                <w:sz w:val="17"/>
              </w:rPr>
              <w:t>Count</w:t>
            </w:r>
          </w:p>
        </w:tc>
        <w:tc>
          <w:tcPr>
            <w:tcW w:type="dxa" w:w="3024"/>
            <w:shd w:val="clear" w:fill="EFF1F3"/>
          </w:tcPr>
          <w:p>
            <w:pPr>
              <w:spacing w:after="40" w:before="40"/>
            </w:pPr>
            <w:r/>
            <w:r>
              <w:rPr>
                <w:b/>
                <w:color w:val="1F2937"/>
                <w:sz w:val="17"/>
              </w:rPr>
              <w:t>What it means</w:t>
            </w:r>
          </w:p>
        </w:tc>
      </w:tr>
      <w:tr>
        <w:tc>
          <w:tcPr>
            <w:tcW w:type="dxa" w:w="3024"/>
          </w:tcPr>
          <w:p>
            <w:pPr>
              <w:spacing w:after="40" w:before="40"/>
            </w:pPr>
            <w:r/>
            <w:r>
              <w:rPr>
                <w:b/>
                <w:color w:val="1F2937"/>
                <w:sz w:val="17"/>
              </w:rPr>
              <w:t>SOURCED</w:t>
            </w:r>
          </w:p>
        </w:tc>
        <w:tc>
          <w:tcPr>
            <w:tcW w:type="dxa" w:w="3024"/>
          </w:tcPr>
          <w:p>
            <w:pPr>
              <w:spacing w:after="40" w:before="40"/>
            </w:pPr>
            <w:r/>
            <w:r>
              <w:rPr>
                <w:b w:val="0"/>
                <w:color w:val="1F2937"/>
                <w:sz w:val="17"/>
              </w:rPr>
              <w:t>10</w:t>
            </w:r>
          </w:p>
        </w:tc>
        <w:tc>
          <w:tcPr>
            <w:tcW w:type="dxa" w:w="3024"/>
          </w:tcPr>
          <w:p>
            <w:pPr>
              <w:spacing w:after="40" w:before="40"/>
            </w:pPr>
            <w:r/>
            <w:r>
              <w:rPr>
                <w:b w:val="0"/>
                <w:color w:val="1F2937"/>
                <w:sz w:val="17"/>
              </w:rPr>
              <w:t>A published figure, cited</w:t>
            </w:r>
          </w:p>
        </w:tc>
      </w:tr>
      <w:tr>
        <w:tc>
          <w:tcPr>
            <w:tcW w:type="dxa" w:w="3024"/>
          </w:tcPr>
          <w:p>
            <w:pPr>
              <w:spacing w:after="40" w:before="40"/>
            </w:pPr>
            <w:r/>
            <w:r>
              <w:rPr>
                <w:b/>
                <w:color w:val="1F2937"/>
                <w:sz w:val="17"/>
              </w:rPr>
              <w:t>BENCHMARKED</w:t>
            </w:r>
          </w:p>
        </w:tc>
        <w:tc>
          <w:tcPr>
            <w:tcW w:type="dxa" w:w="3024"/>
          </w:tcPr>
          <w:p>
            <w:pPr>
              <w:spacing w:after="40" w:before="40"/>
            </w:pPr>
            <w:r/>
            <w:r>
              <w:rPr>
                <w:b w:val="0"/>
                <w:color w:val="1F2937"/>
                <w:sz w:val="17"/>
              </w:rPr>
              <w:t>11</w:t>
            </w:r>
          </w:p>
        </w:tc>
        <w:tc>
          <w:tcPr>
            <w:tcW w:type="dxa" w:w="3024"/>
          </w:tcPr>
          <w:p>
            <w:pPr>
              <w:spacing w:after="40" w:before="40"/>
            </w:pPr>
            <w:r/>
            <w:r>
              <w:rPr>
                <w:b w:val="0"/>
                <w:color w:val="1F2937"/>
                <w:sz w:val="17"/>
              </w:rPr>
              <w:t>Set against named comparables</w:t>
            </w:r>
          </w:p>
        </w:tc>
      </w:tr>
      <w:tr>
        <w:tc>
          <w:tcPr>
            <w:tcW w:type="dxa" w:w="3024"/>
          </w:tcPr>
          <w:p>
            <w:pPr>
              <w:spacing w:after="40" w:before="40"/>
            </w:pPr>
            <w:r/>
            <w:r>
              <w:rPr>
                <w:b/>
                <w:color w:val="1F2937"/>
                <w:sz w:val="17"/>
              </w:rPr>
              <w:t>DERIVED</w:t>
            </w:r>
          </w:p>
        </w:tc>
        <w:tc>
          <w:tcPr>
            <w:tcW w:type="dxa" w:w="3024"/>
          </w:tcPr>
          <w:p>
            <w:pPr>
              <w:spacing w:after="40" w:before="40"/>
            </w:pPr>
            <w:r/>
            <w:r>
              <w:rPr>
                <w:b w:val="0"/>
                <w:color w:val="1F2937"/>
                <w:sz w:val="17"/>
              </w:rPr>
              <w:t>3</w:t>
            </w:r>
          </w:p>
        </w:tc>
        <w:tc>
          <w:tcPr>
            <w:tcW w:type="dxa" w:w="3024"/>
          </w:tcPr>
          <w:p>
            <w:pPr>
              <w:spacing w:after="40" w:before="40"/>
            </w:pPr>
            <w:r/>
            <w:r>
              <w:rPr>
                <w:b w:val="0"/>
                <w:color w:val="1F2937"/>
                <w:sz w:val="17"/>
              </w:rPr>
              <w:t>Computed from other assumptions or from the codebase</w:t>
            </w:r>
          </w:p>
        </w:tc>
      </w:tr>
      <w:tr>
        <w:tc>
          <w:tcPr>
            <w:tcW w:type="dxa" w:w="3024"/>
          </w:tcPr>
          <w:p>
            <w:pPr>
              <w:spacing w:after="40" w:before="40"/>
            </w:pPr>
            <w:r/>
            <w:r>
              <w:rPr>
                <w:b/>
                <w:color w:val="1F2937"/>
                <w:sz w:val="17"/>
              </w:rPr>
              <w:t>ESTIMATE</w:t>
            </w:r>
          </w:p>
        </w:tc>
        <w:tc>
          <w:tcPr>
            <w:tcW w:type="dxa" w:w="3024"/>
          </w:tcPr>
          <w:p>
            <w:pPr>
              <w:spacing w:after="40" w:before="40"/>
            </w:pPr>
            <w:r/>
            <w:r>
              <w:rPr>
                <w:b w:val="0"/>
                <w:color w:val="1F2937"/>
                <w:sz w:val="17"/>
              </w:rPr>
              <w:t>11</w:t>
            </w:r>
          </w:p>
        </w:tc>
        <w:tc>
          <w:tcPr>
            <w:tcW w:type="dxa" w:w="3024"/>
          </w:tcPr>
          <w:p>
            <w:pPr>
              <w:spacing w:after="40" w:before="40"/>
            </w:pPr>
            <w:r/>
            <w:r>
              <w:rPr>
                <w:b w:val="0"/>
                <w:color w:val="1F2937"/>
                <w:sz w:val="17"/>
              </w:rPr>
              <w:t>Reasoned, with no published figure behind it</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Confidence</w:t>
            </w:r>
          </w:p>
        </w:tc>
        <w:tc>
          <w:tcPr>
            <w:tcW w:type="dxa" w:w="4536"/>
            <w:shd w:val="clear" w:fill="EFF1F3"/>
          </w:tcPr>
          <w:p>
            <w:pPr>
              <w:spacing w:after="40" w:before="40"/>
            </w:pPr>
            <w:r/>
            <w:r>
              <w:rPr>
                <w:b/>
                <w:color w:val="1F2937"/>
                <w:sz w:val="17"/>
              </w:rPr>
              <w:t>Count</w:t>
            </w:r>
          </w:p>
        </w:tc>
      </w:tr>
      <w:tr>
        <w:tc>
          <w:tcPr>
            <w:tcW w:type="dxa" w:w="4536"/>
          </w:tcPr>
          <w:p>
            <w:pPr>
              <w:spacing w:after="40" w:before="40"/>
            </w:pPr>
            <w:r/>
            <w:r>
              <w:rPr>
                <w:b w:val="0"/>
                <w:color w:val="1F2937"/>
                <w:sz w:val="17"/>
              </w:rPr>
              <w:t>High</w:t>
            </w:r>
          </w:p>
        </w:tc>
        <w:tc>
          <w:tcPr>
            <w:tcW w:type="dxa" w:w="4536"/>
          </w:tcPr>
          <w:p>
            <w:pPr>
              <w:spacing w:after="40" w:before="40"/>
            </w:pPr>
            <w:r/>
            <w:r>
              <w:rPr>
                <w:b w:val="0"/>
                <w:color w:val="1F2937"/>
                <w:sz w:val="17"/>
              </w:rPr>
              <w:t>13</w:t>
            </w:r>
          </w:p>
        </w:tc>
      </w:tr>
      <w:tr>
        <w:tc>
          <w:tcPr>
            <w:tcW w:type="dxa" w:w="4536"/>
          </w:tcPr>
          <w:p>
            <w:pPr>
              <w:spacing w:after="40" w:before="40"/>
            </w:pPr>
            <w:r/>
            <w:r>
              <w:rPr>
                <w:b w:val="0"/>
                <w:color w:val="1F2937"/>
                <w:sz w:val="17"/>
              </w:rPr>
              <w:t>Medium</w:t>
            </w:r>
          </w:p>
        </w:tc>
        <w:tc>
          <w:tcPr>
            <w:tcW w:type="dxa" w:w="4536"/>
          </w:tcPr>
          <w:p>
            <w:pPr>
              <w:spacing w:after="40" w:before="40"/>
            </w:pPr>
            <w:r/>
            <w:r>
              <w:rPr>
                <w:b w:val="0"/>
                <w:color w:val="1F2937"/>
                <w:sz w:val="17"/>
              </w:rPr>
              <w:t>12</w:t>
            </w:r>
          </w:p>
        </w:tc>
      </w:tr>
      <w:tr>
        <w:tc>
          <w:tcPr>
            <w:tcW w:type="dxa" w:w="4536"/>
          </w:tcPr>
          <w:p>
            <w:pPr>
              <w:spacing w:after="40" w:before="40"/>
            </w:pPr>
            <w:r/>
            <w:r>
              <w:rPr>
                <w:b w:val="0"/>
                <w:color w:val="1F2937"/>
                <w:sz w:val="17"/>
              </w:rPr>
              <w:t>Low</w:t>
            </w:r>
          </w:p>
        </w:tc>
        <w:tc>
          <w:tcPr>
            <w:tcW w:type="dxa" w:w="4536"/>
          </w:tcPr>
          <w:p>
            <w:pPr>
              <w:spacing w:after="40" w:before="40"/>
            </w:pPr>
            <w:r/>
            <w:r>
              <w:rPr>
                <w:b w:val="0"/>
                <w:color w:val="1F2937"/>
                <w:sz w:val="17"/>
              </w:rPr>
              <w:t>10</w:t>
            </w:r>
          </w:p>
        </w:tc>
      </w:tr>
    </w:tbl>
    <w:p>
      <w:pPr>
        <w:spacing w:after="160" w:before="0"/>
      </w:pPr>
    </w:p>
    <w:p>
      <w:pPr>
        <w:keepNext/>
        <w:spacing w:before="160" w:after="20"/>
        <w:ind w:left="227"/>
        <w:shd w:val="clear" w:fill="F6F7F9"/>
        <w:pBdr>
          <w:left w:val="single" w:sz="18" w:space="8" w:color="D97706"/>
        </w:pBdr>
      </w:pPr>
      <w:r>
        <w:rPr>
          <w:b/>
          <w:color w:val="D97706"/>
          <w:sz w:val="19"/>
        </w:rPr>
        <w:t>11 of 35 assumptions are estimates, and 10 carry low confidence</w:t>
      </w:r>
    </w:p>
    <w:p>
      <w:pPr>
        <w:spacing w:before="0" w:after="160" w:line="264" w:lineRule="auto"/>
        <w:ind w:left="227"/>
        <w:shd w:val="clear" w:fill="F6F7F9"/>
        <w:pBdr>
          <w:left w:val="single" w:sz="18" w:space="8" w:color="D97706"/>
        </w:pBdr>
      </w:pPr>
      <w:r>
        <w:rPr>
          <w:b w:val="0"/>
          <w:color w:val="1F2937"/>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pPr>
        <w:spacing w:after="120" w:before="0"/>
      </w:pPr>
    </w:p>
    <w:p>
      <w:pPr>
        <w:pStyle w:val="Heading2"/>
        <w:keepNext/>
        <w:spacing w:before="320" w:after="100"/>
      </w:pPr>
      <w:r>
        <w:rPr>
          <w:b/>
          <w:color w:val="1F2937"/>
          <w:sz w:val="25"/>
        </w:rPr>
        <w:t>17.2 The assumptions, in full</w:t>
      </w:r>
    </w:p>
    <w:p>
      <w:pPr>
        <w:pStyle w:val="Heading3"/>
        <w:keepNext/>
        <w:spacing w:before="200" w:after="100"/>
      </w:pPr>
      <w:r>
        <w:rPr>
          <w:b/>
          <w:color w:val="6B7280"/>
          <w:sz w:val="22"/>
        </w:rPr>
        <w:t>: Pricing &amp; Take Rate: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Take rate on fan revenue</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Passes charges 10% but adds $0.30/txn and a $29/month creator fee; OnlyFans, Fansly and Fanfix are all 20%; Patreon 8-12%. A flat 15% with no monthly fee pays an athlete more than Passes for anyone under EUR 1,380/month of fan revenue.</w:t>
            </w:r>
          </w:p>
        </w:tc>
        <w:tc>
          <w:tcPr>
            <w:tcW w:type="dxa" w:w="1814"/>
          </w:tcPr>
          <w:p>
            <w:pPr>
              <w:spacing w:after="40" w:before="40"/>
            </w:pPr>
            <w:r/>
            <w:r>
              <w:rPr>
                <w:b w:val="0"/>
                <w:color w:val="1F2937"/>
                <w:sz w:val="17"/>
              </w:rPr>
              <w:t>Sacra company profile (Passes); Passes rebrand release, Apr 2026; MEXC platform comparison 2026</w:t>
            </w:r>
          </w:p>
        </w:tc>
      </w:tr>
      <w:tr>
        <w:tc>
          <w:tcPr>
            <w:tcW w:type="dxa" w:w="1814"/>
          </w:tcPr>
          <w:p>
            <w:pPr>
              <w:spacing w:after="40" w:before="40"/>
            </w:pPr>
            <w:r/>
            <w:r>
              <w:rPr>
                <w:b/>
                <w:color w:val="1F2937"/>
                <w:sz w:val="17"/>
              </w:rPr>
              <w:t>Sponsorship commission, Scout Pro</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7% against a 10% base. A sponsor paying EUR 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type="dxa" w:w="1814"/>
          </w:tcPr>
          <w:p>
            <w:pPr>
              <w:spacing w:after="40" w:before="40"/>
            </w:pPr>
            <w:r/>
            <w:r>
              <w:rPr>
                <w:b w:val="0"/>
                <w:color w:val="1F2937"/>
                <w:sz w:val="17"/>
              </w:rPr>
              <w:t>Priced against the agent range; the discount itself is a pricing decision</w:t>
            </w:r>
          </w:p>
        </w:tc>
      </w:tr>
      <w:tr>
        <w:tc>
          <w:tcPr>
            <w:tcW w:type="dxa" w:w="1814"/>
          </w:tcPr>
          <w:p>
            <w:pPr>
              <w:spacing w:after="40" w:before="40"/>
            </w:pPr>
            <w:r/>
            <w:r>
              <w:rPr>
                <w:b/>
                <w:color w:val="1F2937"/>
                <w:sz w:val="17"/>
              </w:rPr>
              <w:t>Sponsorship commission, Scout Agency</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5%, which is half the low end of what an agent charges and a quarter of the high end. The most committed tier pays EUR 11,988 a year, so the deal rate can fall furthest here.</w:t>
            </w:r>
          </w:p>
        </w:tc>
        <w:tc>
          <w:tcPr>
            <w:tcW w:type="dxa" w:w="1814"/>
          </w:tcPr>
          <w:p>
            <w:pPr>
              <w:spacing w:after="40" w:before="40"/>
            </w:pPr>
            <w:r/>
            <w:r>
              <w:rPr>
                <w:b w:val="0"/>
                <w:color w:val="1F2937"/>
                <w:sz w:val="17"/>
              </w:rPr>
              <w:t>Oreate and Sapling agent-commission surveys, 10-20%</w:t>
            </w:r>
          </w:p>
        </w:tc>
      </w:tr>
      <w:tr>
        <w:tc>
          <w:tcPr>
            <w:tcW w:type="dxa" w:w="1814"/>
          </w:tcPr>
          <w:p>
            <w:pPr>
              <w:spacing w:after="40" w:before="40"/>
            </w:pPr>
            <w:r/>
            <w:r>
              <w:rPr>
                <w:b/>
                <w:color w:val="1F2937"/>
                <w:sz w:val="17"/>
              </w:rPr>
              <w:t>Subscriber share of deal volume</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type="dxa" w:w="1814"/>
          </w:tcPr>
          <w:p>
            <w:pPr>
              <w:spacing w:after="40" w:before="40"/>
            </w:pPr>
            <w:r/>
            <w:r>
              <w:rPr>
                <w:b w:val="0"/>
                <w:color w:val="1F2937"/>
                <w:sz w:val="17"/>
              </w:rPr>
              <w:t>None. No tier-level deal volume exists yet, because no tier exists yet</w:t>
            </w:r>
          </w:p>
        </w:tc>
      </w:tr>
      <w:tr>
        <w:tc>
          <w:tcPr>
            <w:tcW w:type="dxa" w:w="1814"/>
          </w:tcPr>
          <w:p>
            <w:pPr>
              <w:spacing w:after="40" w:before="40"/>
            </w:pPr>
            <w:r/>
            <w:r>
              <w:rPr>
                <w:b/>
                <w:color w:val="1F2937"/>
                <w:sz w:val="17"/>
              </w:rPr>
              <w:t>Take rate on sponsorship</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Sports agents take 10-20% of an endorsement and 4-10% of a playing contract. On OnlyFans, management agencies take a further 20-50% on top of the platform's 20%.</w:t>
            </w:r>
          </w:p>
        </w:tc>
        <w:tc>
          <w:tcPr>
            <w:tcW w:type="dxa" w:w="1814"/>
          </w:tcPr>
          <w:p>
            <w:pPr>
              <w:spacing w:after="40" w:before="40"/>
            </w:pPr>
            <w:r/>
            <w:r>
              <w:rPr>
                <w:b w:val="0"/>
                <w:color w:val="1F2937"/>
                <w:sz w:val="17"/>
              </w:rPr>
              <w:t>Oreate and Sapling agent-commission surveys; Aruna Talent agency rate guide 2026</w:t>
            </w:r>
          </w:p>
        </w:tc>
      </w:tr>
      <w:tr>
        <w:tc>
          <w:tcPr>
            <w:tcW w:type="dxa" w:w="1814"/>
          </w:tcPr>
          <w:p>
            <w:pPr>
              <w:spacing w:after="40" w:before="40"/>
            </w:pPr>
            <w:r/>
            <w:r>
              <w:rPr>
                <w:b/>
                <w:color w:val="1F2937"/>
                <w:sz w:val="17"/>
              </w:rPr>
              <w:t>Suggested tiers 4.99 / 9.99 / 24.99</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type="dxa" w:w="1814"/>
          </w:tcPr>
          <w:p>
            <w:pPr>
              <w:spacing w:after="40" w:before="40"/>
            </w:pPr>
            <w:r/>
            <w:r>
              <w:rPr>
                <w:b w:val="0"/>
                <w:color w:val="1F2937"/>
                <w:sz w:val="17"/>
              </w:rPr>
              <w:t>Patreon 2024 Transparency Report; independent audits of ~1,200 creators</w:t>
            </w:r>
          </w:p>
        </w:tc>
      </w:tr>
      <w:tr>
        <w:tc>
          <w:tcPr>
            <w:tcW w:type="dxa" w:w="1814"/>
          </w:tcPr>
          <w:p>
            <w:pPr>
              <w:spacing w:after="40" w:before="40"/>
            </w:pPr>
            <w:r/>
            <w:r>
              <w:rPr>
                <w:b/>
                <w:color w:val="1F2937"/>
                <w:sz w:val="17"/>
              </w:rPr>
              <w:t>Season pass / annual billing</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Patreon reports that annual patrons churn at ONE THIRD the rate of monthly patrons. This is the single strongest piece of evidence in the plan for pushing annual billing.</w:t>
            </w:r>
          </w:p>
        </w:tc>
        <w:tc>
          <w:tcPr>
            <w:tcW w:type="dxa" w:w="1814"/>
          </w:tcPr>
          <w:p>
            <w:pPr>
              <w:spacing w:after="40" w:before="40"/>
            </w:pPr>
            <w:r/>
            <w:r>
              <w:rPr>
                <w:b w:val="0"/>
                <w:color w:val="1F2937"/>
                <w:sz w:val="17"/>
              </w:rPr>
              <w:t>Patreon 2024 Transparency Report</w:t>
            </w:r>
          </w:p>
        </w:tc>
      </w:tr>
    </w:tbl>
    <w:p>
      <w:pPr>
        <w:spacing w:after="160" w:before="0"/>
      </w:pPr>
    </w:p>
    <w:p>
      <w:pPr>
        <w:pStyle w:val="Heading3"/>
        <w:keepNext/>
        <w:spacing w:before="200" w:after="100"/>
      </w:pPr>
      <w:r>
        <w:rPr>
          <w:b/>
          <w:color w:val="6B7280"/>
          <w:sz w:val="22"/>
        </w:rPr>
        <w:t>: Fan Economics: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Fan ARPU per month</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Patreon's average monthly support rose from $5.40 to $6.10 during 2024, with typical patronage quoted at $8-12. Our EUR 8.00-9.50 sits in the upper-middle of that range.</w:t>
            </w:r>
          </w:p>
        </w:tc>
        <w:tc>
          <w:tcPr>
            <w:tcW w:type="dxa" w:w="1814"/>
          </w:tcPr>
          <w:p>
            <w:pPr>
              <w:spacing w:after="40" w:before="40"/>
            </w:pPr>
            <w:r/>
            <w:r>
              <w:rPr>
                <w:b w:val="0"/>
                <w:color w:val="1F2937"/>
                <w:sz w:val="17"/>
              </w:rPr>
              <w:t>Patreon 2024 Transparency Report</w:t>
            </w:r>
          </w:p>
        </w:tc>
      </w:tr>
      <w:tr>
        <w:tc>
          <w:tcPr>
            <w:tcW w:type="dxa" w:w="1814"/>
          </w:tcPr>
          <w:p>
            <w:pPr>
              <w:spacing w:after="40" w:before="40"/>
            </w:pPr>
            <w:r/>
            <w:r>
              <w:rPr>
                <w:b/>
                <w:color w:val="1F2937"/>
                <w:sz w:val="17"/>
              </w:rPr>
              <w:t>Fan churn per month</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OPTIMISTIC AGAINST BENCHMARK. Patreon runs 10-15% monthly. We assume 6-9% (niche) and 9-13% (popular), arguing that training content is habitual and that competitive seasons create natural renewal moments. That argument is currently untested.</w:t>
            </w:r>
          </w:p>
        </w:tc>
        <w:tc>
          <w:tcPr>
            <w:tcW w:type="dxa" w:w="1814"/>
          </w:tcPr>
          <w:p>
            <w:pPr>
              <w:spacing w:after="40" w:before="40"/>
            </w:pPr>
            <w:r/>
            <w:r>
              <w:rPr>
                <w:b w:val="0"/>
                <w:color w:val="1F2937"/>
                <w:sz w:val="17"/>
              </w:rPr>
              <w:t>Patreon 2024 Transparency Report (10-15%/month)</w:t>
            </w:r>
          </w:p>
        </w:tc>
      </w:tr>
      <w:tr>
        <w:tc>
          <w:tcPr>
            <w:tcW w:type="dxa" w:w="1814"/>
          </w:tcPr>
          <w:p>
            <w:pPr>
              <w:spacing w:after="40" w:before="40"/>
            </w:pPr>
            <w:r/>
            <w:r>
              <w:rPr>
                <w:b/>
                <w:color w:val="1F2937"/>
                <w:sz w:val="17"/>
              </w:rPr>
              <w:t>Paying fans per monetising athlete</w:t>
            </w:r>
          </w:p>
        </w:tc>
        <w:tc>
          <w:tcPr>
            <w:tcW w:type="dxa" w:w="1814"/>
          </w:tcPr>
          <w:p>
            <w:pPr>
              <w:spacing w:after="40" w:before="40"/>
            </w:pPr>
            <w:r/>
            <w:r>
              <w:rPr>
                <w:b w:val="0"/>
                <w:color w:val="1F2937"/>
                <w:sz w:val="17"/>
              </w:rPr>
              <w:t>DERIVED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type="dxa" w:w="1814"/>
          </w:tcPr>
          <w:p>
            <w:pPr>
              <w:spacing w:after="40" w:before="40"/>
            </w:pPr>
            <w:r/>
            <w:r>
              <w:rPr>
                <w:b w:val="0"/>
                <w:color w:val="1F2937"/>
                <w:sz w:val="17"/>
              </w:rPr>
              <w:t>Patreon 2024 Transparency Report (creator average $350/month)</w:t>
            </w:r>
          </w:p>
        </w:tc>
      </w:tr>
      <w:tr>
        <w:tc>
          <w:tcPr>
            <w:tcW w:type="dxa" w:w="1814"/>
          </w:tcPr>
          <w:p>
            <w:pPr>
              <w:spacing w:after="40" w:before="40"/>
            </w:pPr>
            <w:r/>
            <w:r>
              <w:rPr>
                <w:b/>
                <w:color w:val="1F2937"/>
                <w:sz w:val="17"/>
              </w:rPr>
              <w:t>Share of athletes who monetise</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28% rising to 50% for niche sports. No direct comparable exists: neither Patreon nor OnlyFans publishes activation rates for creators who sign up but never charge.</w:t>
            </w:r>
          </w:p>
        </w:tc>
        <w:tc>
          <w:tcPr>
            <w:tcW w:type="dxa" w:w="1814"/>
          </w:tcPr>
          <w:p>
            <w:pPr>
              <w:spacing w:after="40" w:before="40"/>
            </w:pPr>
            <w:r/>
            <w:r>
              <w:rPr>
                <w:b w:val="0"/>
                <w:color w:val="1F2937"/>
                <w:sz w:val="17"/>
              </w:rPr>
              <w:t>None found</w:t>
            </w:r>
          </w:p>
        </w:tc>
      </w:tr>
      <w:tr>
        <w:tc>
          <w:tcPr>
            <w:tcW w:type="dxa" w:w="1814"/>
          </w:tcPr>
          <w:p>
            <w:pPr>
              <w:spacing w:after="40" w:before="40"/>
            </w:pPr>
            <w:r/>
            <w:r>
              <w:rPr>
                <w:b/>
                <w:color w:val="1F2937"/>
                <w:sz w:val="17"/>
              </w:rPr>
              <w:t>Fan acquisition capacity</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An athlete can recruit 30-69 new paying fans a year depending on segment. This ceiling is what makes churn bite in the model: without it, higher churn perversely RAISED revenue, because the year-end target was reachable at any churn rate.</w:t>
            </w:r>
          </w:p>
        </w:tc>
        <w:tc>
          <w:tcPr>
            <w:tcW w:type="dxa" w:w="1814"/>
          </w:tcPr>
          <w:p>
            <w:pPr>
              <w:spacing w:after="40" w:before="40"/>
            </w:pPr>
            <w:r/>
            <w:r>
              <w:rPr>
                <w:b w:val="0"/>
                <w:color w:val="1F2937"/>
                <w:sz w:val="17"/>
              </w:rPr>
              <w:t>None: introduced to fix a modelling flaw found by stress testing</w:t>
            </w:r>
          </w:p>
        </w:tc>
      </w:tr>
    </w:tbl>
    <w:p>
      <w:pPr>
        <w:spacing w:after="160" w:before="0"/>
      </w:pPr>
    </w:p>
    <w:p>
      <w:pPr>
        <w:pStyle w:val="Heading3"/>
        <w:keepNext/>
        <w:spacing w:before="200" w:after="100"/>
      </w:pPr>
      <w:r>
        <w:rPr>
          <w:b/>
          <w:color w:val="6B7280"/>
          <w:sz w:val="22"/>
        </w:rPr>
        <w:t>: Payment Rails: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PSP percentage fee</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type="dxa" w:w="1814"/>
          </w:tcPr>
          <w:p>
            <w:pPr>
              <w:spacing w:after="40" w:before="40"/>
            </w:pPr>
            <w:r/>
            <w:r>
              <w:rPr>
                <w:b w:val="0"/>
                <w:color w:val="1F2937"/>
                <w:sz w:val="17"/>
              </w:rPr>
              <w:t>Stripe published EU/EEA pricing, 2026</w:t>
            </w:r>
          </w:p>
        </w:tc>
      </w:tr>
      <w:tr>
        <w:tc>
          <w:tcPr>
            <w:tcW w:type="dxa" w:w="1814"/>
          </w:tcPr>
          <w:p>
            <w:pPr>
              <w:spacing w:after="40" w:before="40"/>
            </w:pPr>
            <w:r/>
            <w:r>
              <w:rPr>
                <w:b/>
                <w:color w:val="1F2937"/>
                <w:sz w:val="17"/>
              </w:rPr>
              <w:t>PSP fixed fee per transaction</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EUR 0.25 per transaction. On a EUR 4.99 tier that single fee is a third of our take, which is why the tier floor and annual billing move more margin than the take rate does.</w:t>
            </w:r>
          </w:p>
        </w:tc>
        <w:tc>
          <w:tcPr>
            <w:tcW w:type="dxa" w:w="1814"/>
          </w:tcPr>
          <w:p>
            <w:pPr>
              <w:spacing w:after="40" w:before="40"/>
            </w:pPr>
            <w:r/>
            <w:r>
              <w:rPr>
                <w:b w:val="0"/>
                <w:color w:val="1F2937"/>
                <w:sz w:val="17"/>
              </w:rPr>
              <w:t>Stripe published pricing, 2026</w:t>
            </w:r>
          </w:p>
        </w:tc>
      </w:tr>
      <w:tr>
        <w:tc>
          <w:tcPr>
            <w:tcW w:type="dxa" w:w="1814"/>
          </w:tcPr>
          <w:p>
            <w:pPr>
              <w:spacing w:after="40" w:before="40"/>
            </w:pPr>
            <w:r/>
            <w:r>
              <w:rPr>
                <w:b/>
                <w:color w:val="1F2937"/>
                <w:sz w:val="17"/>
              </w:rPr>
              <w:t>Payout fees</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Stripe Connect Express: roughly 0.25% + EUR 0.25 per payout, plus a monthly active-account fee that is not modelled as a separate line.</w:t>
            </w:r>
          </w:p>
        </w:tc>
        <w:tc>
          <w:tcPr>
            <w:tcW w:type="dxa" w:w="1814"/>
          </w:tcPr>
          <w:p>
            <w:pPr>
              <w:spacing w:after="40" w:before="40"/>
            </w:pPr>
            <w:r/>
            <w:r>
              <w:rPr>
                <w:b w:val="0"/>
                <w:color w:val="1F2937"/>
                <w:sz w:val="17"/>
              </w:rPr>
              <w:t>Stripe Connect pricing, 2026</w:t>
            </w:r>
          </w:p>
        </w:tc>
      </w:tr>
    </w:tbl>
    <w:p>
      <w:pPr>
        <w:spacing w:after="160" w:before="0"/>
      </w:pPr>
    </w:p>
    <w:p>
      <w:pPr>
        <w:pStyle w:val="Heading3"/>
        <w:keepNext/>
        <w:spacing w:before="200" w:after="100"/>
      </w:pPr>
      <w:r>
        <w:rPr>
          <w:b/>
          <w:color w:val="6B7280"/>
          <w:sz w:val="22"/>
        </w:rPr>
        <w:t>: Market Sizing: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Sport participation by country</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Eurobarometer 525, share who NEVER exercise: Finland 8%, Sweden 12%, Denmark 20%, Poland 65%, Greece 68%, Portugal 73%, EU-27 average 45%. Six of the 34 countries in the index are measured; the other 28 are estimates placed inside that distribution.</w:t>
            </w:r>
          </w:p>
        </w:tc>
        <w:tc>
          <w:tcPr>
            <w:tcW w:type="dxa" w:w="1814"/>
          </w:tcPr>
          <w:p>
            <w:pPr>
              <w:spacing w:after="40" w:before="40"/>
            </w:pPr>
            <w:r/>
            <w:r>
              <w:rPr>
                <w:b w:val="0"/>
                <w:color w:val="1F2937"/>
                <w:sz w:val="17"/>
              </w:rPr>
              <w:t>Special Eurobarometer 525, Sport and Physical Activity, September 2022</w:t>
            </w:r>
          </w:p>
        </w:tc>
      </w:tr>
      <w:tr>
        <w:tc>
          <w:tcPr>
            <w:tcW w:type="dxa" w:w="1814"/>
          </w:tcPr>
          <w:p>
            <w:pPr>
              <w:spacing w:after="40" w:before="40"/>
            </w:pPr>
            <w:r/>
            <w:r>
              <w:rPr>
                <w:b/>
                <w:color w:val="1F2937"/>
                <w:sz w:val="17"/>
              </w:rPr>
              <w:t>Padel market size</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Spain has ~6.0M active players (12.7% of the population), 109,040 federation licences and 17,300+ courts; globally 35M+ players and 77,000+ courts. This is the clearest case for weighting a sport regionally rather than globally, padel scores 77.7 in Spain and 45.1 worldwide.</w:t>
            </w:r>
          </w:p>
        </w:tc>
        <w:tc>
          <w:tcPr>
            <w:tcW w:type="dxa" w:w="1814"/>
          </w:tcPr>
          <w:p>
            <w:pPr>
              <w:spacing w:after="40" w:before="40"/>
            </w:pPr>
            <w:r/>
            <w:r>
              <w:rPr>
                <w:b w:val="0"/>
                <w:color w:val="1F2937"/>
                <w:sz w:val="17"/>
              </w:rPr>
              <w:t>FIP World Padel Report 2025</w:t>
            </w:r>
          </w:p>
        </w:tc>
      </w:tr>
      <w:tr>
        <w:tc>
          <w:tcPr>
            <w:tcW w:type="dxa" w:w="1814"/>
          </w:tcPr>
          <w:p>
            <w:pPr>
              <w:spacing w:after="40" w:before="40"/>
            </w:pPr>
            <w:r/>
            <w:r>
              <w:rPr>
                <w:b/>
                <w:color w:val="1F2937"/>
                <w:sz w:val="17"/>
              </w:rPr>
              <w:t>Sports fandom by country</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 xml:space="preserve">The weakest layer of the sport index, and it drives both the </w:t>
            </w:r>
            <w:r>
              <w:rPr>
                <w:rFonts w:ascii="Consolas" w:hAnsi="Consolas"/>
                <w:b w:val="0"/>
                <w:color w:val="1F2937"/>
                <w:sz w:val="15"/>
              </w:rPr>
              <w:t>demand</w:t>
            </w:r>
            <w:r>
              <w:rPr>
                <w:b w:val="0"/>
                <w:color w:val="1F2937"/>
                <w:sz w:val="17"/>
              </w:rPr>
              <w:t xml:space="preserve"> and </w:t>
            </w:r>
            <w:r>
              <w:rPr>
                <w:rFonts w:ascii="Consolas" w:hAnsi="Consolas"/>
                <w:b w:val="0"/>
                <w:color w:val="1F2937"/>
                <w:sz w:val="15"/>
              </w:rPr>
              <w:t>appetite</w:t>
            </w:r>
            <w:r>
              <w:rPr>
                <w:b w:val="0"/>
                <w:color w:val="1F2937"/>
                <w:sz w:val="17"/>
              </w:rPr>
              <w:t xml:space="preserve"> signals. Commercial audience panels (Nielsen Sports, YouGov) cost more than the entire Y1-Y2 analytics budget.</w:t>
            </w:r>
          </w:p>
        </w:tc>
        <w:tc>
          <w:tcPr>
            <w:tcW w:type="dxa" w:w="1814"/>
          </w:tcPr>
          <w:p>
            <w:pPr>
              <w:spacing w:after="40" w:before="40"/>
            </w:pPr>
            <w:r/>
            <w:r>
              <w:rPr>
                <w:b w:val="0"/>
                <w:color w:val="1F2937"/>
                <w:sz w:val="17"/>
              </w:rPr>
              <w:t>None: reasoned estimates only</w:t>
            </w:r>
          </w:p>
        </w:tc>
      </w:tr>
      <w:tr>
        <w:tc>
          <w:tcPr>
            <w:tcW w:type="dxa" w:w="1814"/>
          </w:tcPr>
          <w:p>
            <w:pPr>
              <w:spacing w:after="40" w:before="40"/>
            </w:pPr>
            <w:r/>
            <w:r>
              <w:rPr>
                <w:b/>
                <w:color w:val="1F2937"/>
                <w:sz w:val="17"/>
              </w:rPr>
              <w:t>Athlete count trajectory</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400 rising to 40,000 over ten years. This is the PLAN, not a benchmark: marketing spend is derived from it at segment CAC, not the other way round. Everything in the model scales off this line.</w:t>
            </w:r>
          </w:p>
        </w:tc>
        <w:tc>
          <w:tcPr>
            <w:tcW w:type="dxa" w:w="1814"/>
          </w:tcPr>
          <w:p>
            <w:pPr>
              <w:spacing w:after="40" w:before="40"/>
            </w:pPr>
            <w:r/>
            <w:r>
              <w:rPr>
                <w:b w:val="0"/>
                <w:color w:val="1F2937"/>
                <w:sz w:val="17"/>
              </w:rPr>
              <w:t>None: it is a target</w:t>
            </w:r>
          </w:p>
        </w:tc>
      </w:tr>
    </w:tbl>
    <w:p>
      <w:pPr>
        <w:spacing w:after="160" w:before="0"/>
      </w:pPr>
    </w:p>
    <w:p>
      <w:pPr>
        <w:pStyle w:val="Heading3"/>
        <w:keepNext/>
        <w:spacing w:before="200" w:after="100"/>
      </w:pPr>
      <w:r>
        <w:rPr>
          <w:b/>
          <w:color w:val="6B7280"/>
          <w:sz w:val="22"/>
        </w:rPr>
        <w:t>: Costs: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Athlete CAC</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EUR 16-36 for niche, EUR 40-88 for popular. The gap reflects displacing an existing agent relationship versus reaching someone with no representation at all. No published comparable exists for athlete acquisition in this segment.</w:t>
            </w:r>
          </w:p>
        </w:tc>
        <w:tc>
          <w:tcPr>
            <w:tcW w:type="dxa" w:w="1814"/>
          </w:tcPr>
          <w:p>
            <w:pPr>
              <w:spacing w:after="40" w:before="40"/>
            </w:pPr>
            <w:r/>
            <w:r>
              <w:rPr>
                <w:b w:val="0"/>
                <w:color w:val="1F2937"/>
                <w:sz w:val="17"/>
              </w:rPr>
              <w:t>None found</w:t>
            </w:r>
          </w:p>
        </w:tc>
      </w:tr>
      <w:tr>
        <w:tc>
          <w:tcPr>
            <w:tcW w:type="dxa" w:w="1814"/>
          </w:tcPr>
          <w:p>
            <w:pPr>
              <w:spacing w:after="40" w:before="40"/>
            </w:pPr>
            <w:r/>
            <w:r>
              <w:rPr>
                <w:b/>
                <w:color w:val="1F2937"/>
                <w:sz w:val="17"/>
              </w:rPr>
              <w:t>Admission rate, direct applicants</w:t>
            </w:r>
          </w:p>
        </w:tc>
        <w:tc>
          <w:tcPr>
            <w:tcW w:type="dxa" w:w="1814"/>
          </w:tcPr>
          <w:p>
            <w:pPr>
              <w:spacing w:after="40" w:before="40"/>
            </w:pPr>
            <w:r/>
            <w:r>
              <w:rPr>
                <w:b w:val="0"/>
                <w:color w:val="1F2937"/>
                <w:sz w:val="17"/>
              </w:rPr>
              <w:t>DERIVED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type="dxa" w:w="1814"/>
          </w:tcPr>
          <w:p>
            <w:pPr>
              <w:spacing w:after="40" w:before="40"/>
            </w:pPr>
            <w:r/>
            <w:r>
              <w:rPr>
                <w:b w:val="0"/>
                <w:color w:val="1F2937"/>
                <w:sz w:val="17"/>
              </w:rPr>
              <w:t>scripts/admission_stress.py, section 7, over a modelled applicant mix</w:t>
            </w:r>
          </w:p>
        </w:tc>
      </w:tr>
      <w:tr>
        <w:tc>
          <w:tcPr>
            <w:tcW w:type="dxa" w:w="1814"/>
          </w:tcPr>
          <w:p>
            <w:pPr>
              <w:spacing w:after="40" w:before="40"/>
            </w:pPr>
            <w:r/>
            <w:r>
              <w:rPr>
                <w:b/>
                <w:color w:val="1F2937"/>
                <w:sz w:val="17"/>
              </w:rPr>
              <w:t>Admission rate, club-nominated</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type="dxa" w:w="1814"/>
          </w:tcPr>
          <w:p>
            <w:pPr>
              <w:spacing w:after="40" w:before="40"/>
            </w:pPr>
            <w:r/>
            <w:r>
              <w:rPr>
                <w:b w:val="0"/>
                <w:color w:val="1F2937"/>
                <w:sz w:val="17"/>
              </w:rPr>
              <w:t>None: the mechanism is built and tested, the conversion is not yet measured</w:t>
            </w:r>
          </w:p>
        </w:tc>
      </w:tr>
      <w:tr>
        <w:tc>
          <w:tcPr>
            <w:tcW w:type="dxa" w:w="1814"/>
          </w:tcPr>
          <w:p>
            <w:pPr>
              <w:spacing w:after="40" w:before="40"/>
            </w:pPr>
            <w:r/>
            <w:r>
              <w:rPr>
                <w:b/>
                <w:color w:val="1F2937"/>
                <w:sz w:val="17"/>
              </w:rPr>
              <w:t>Athlete verification cost</w:t>
            </w:r>
          </w:p>
        </w:tc>
        <w:tc>
          <w:tcPr>
            <w:tcW w:type="dxa" w:w="1814"/>
          </w:tcPr>
          <w:p>
            <w:pPr>
              <w:spacing w:after="40" w:before="40"/>
            </w:pPr>
            <w:r/>
            <w:r>
              <w:rPr>
                <w:b w:val="0"/>
                <w:color w:val="1F2937"/>
                <w:sz w:val="17"/>
              </w:rPr>
              <w:t>DERIVED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type="dxa" w:w="1814"/>
          </w:tcPr>
          <w:p>
            <w:pPr>
              <w:spacing w:after="40" w:before="40"/>
            </w:pPr>
            <w:r/>
            <w:r>
              <w:rPr>
                <w:b w:val="0"/>
                <w:color w:val="1F2937"/>
                <w:sz w:val="17"/>
              </w:rPr>
              <w:t>Derived from the sweep's review volume and the model's own salary line</w:t>
            </w:r>
          </w:p>
        </w:tc>
      </w:tr>
      <w:tr>
        <w:tc>
          <w:tcPr>
            <w:tcW w:type="dxa" w:w="1814"/>
          </w:tcPr>
          <w:p>
            <w:pPr>
              <w:spacing w:after="40" w:before="40"/>
            </w:pPr>
            <w:r/>
            <w:r>
              <w:rPr>
                <w:b/>
                <w:color w:val="1F2937"/>
                <w:sz w:val="17"/>
              </w:rPr>
              <w:t>Athlete CAC vs the funnel</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type="dxa" w:w="1814"/>
          </w:tcPr>
          <w:p>
            <w:pPr>
              <w:spacing w:after="40" w:before="40"/>
            </w:pPr>
            <w:r/>
            <w:r>
              <w:rPr>
                <w:b w:val="0"/>
                <w:color w:val="1F2937"/>
                <w:sz w:val="17"/>
              </w:rPr>
              <w:t>None: this is a definitional choice, made explicit so it is not silently reversed</w:t>
            </w:r>
          </w:p>
        </w:tc>
      </w:tr>
      <w:tr>
        <w:tc>
          <w:tcPr>
            <w:tcW w:type="dxa" w:w="1814"/>
          </w:tcPr>
          <w:p>
            <w:pPr>
              <w:spacing w:after="40" w:before="40"/>
            </w:pPr>
            <w:r/>
            <w:r>
              <w:rPr>
                <w:b/>
                <w:color w:val="1F2937"/>
                <w:sz w:val="17"/>
              </w:rPr>
              <w:t>Loaded salary, Spain</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type="dxa" w:w="1814"/>
          </w:tcPr>
          <w:p>
            <w:pPr>
              <w:spacing w:after="40" w:before="40"/>
            </w:pPr>
            <w:r/>
            <w:r>
              <w:rPr>
                <w:b w:val="0"/>
                <w:color w:val="1F2937"/>
                <w:sz w:val="17"/>
              </w:rPr>
              <w:t>Spanish Seguridad Social employer contribution rates</w:t>
            </w:r>
          </w:p>
        </w:tc>
      </w:tr>
      <w:tr>
        <w:tc>
          <w:tcPr>
            <w:tcW w:type="dxa" w:w="1814"/>
          </w:tcPr>
          <w:p>
            <w:pPr>
              <w:spacing w:after="40" w:before="40"/>
            </w:pPr>
            <w:r/>
            <w:r>
              <w:rPr>
                <w:b/>
                <w:color w:val="1F2937"/>
                <w:sz w:val="17"/>
              </w:rPr>
              <w:t>AWS infrastructure</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Built up per stage from list prices: Fargate, RDS then Aurora, ElastiCache, S3, MediaConvert, CloudWatch. Reserved capacity and Savings Plans (25-40%) are deliberately excluded and treated as upside.</w:t>
            </w:r>
          </w:p>
        </w:tc>
        <w:tc>
          <w:tcPr>
            <w:tcW w:type="dxa" w:w="1814"/>
          </w:tcPr>
          <w:p>
            <w:pPr>
              <w:spacing w:after="40" w:before="40"/>
            </w:pPr>
            <w:r/>
            <w:r>
              <w:rPr>
                <w:b w:val="0"/>
                <w:color w:val="1F2937"/>
                <w:sz w:val="17"/>
              </w:rPr>
              <w:t>AWS published list pricing, 2026</w:t>
            </w:r>
          </w:p>
        </w:tc>
      </w:tr>
      <w:tr>
        <w:tc>
          <w:tcPr>
            <w:tcW w:type="dxa" w:w="1814"/>
          </w:tcPr>
          <w:p>
            <w:pPr>
              <w:spacing w:after="40" w:before="40"/>
            </w:pPr>
            <w:r/>
            <w:r>
              <w:rPr>
                <w:b/>
                <w:color w:val="1F2937"/>
                <w:sz w:val="17"/>
              </w:rPr>
              <w:t>Media egress</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type="dxa" w:w="1814"/>
          </w:tcPr>
          <w:p>
            <w:pPr>
              <w:spacing w:after="40" w:before="40"/>
            </w:pPr>
            <w:r/>
            <w:r>
              <w:rPr>
                <w:b w:val="0"/>
                <w:color w:val="1F2937"/>
                <w:sz w:val="17"/>
              </w:rPr>
              <w:t>Cloudflare R2 and Backblaze B2 pricing; AWS CloudFront list price</w:t>
            </w:r>
          </w:p>
        </w:tc>
      </w:tr>
      <w:tr>
        <w:tc>
          <w:tcPr>
            <w:tcW w:type="dxa" w:w="1814"/>
          </w:tcPr>
          <w:p>
            <w:pPr>
              <w:spacing w:after="40" w:before="40"/>
            </w:pPr>
            <w:r/>
            <w:r>
              <w:rPr>
                <w:b/>
                <w:color w:val="1F2937"/>
                <w:sz w:val="17"/>
              </w:rPr>
              <w:t>Moderation cost</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EUR 22 per 1,000 items reviewed, on a hybrid of automated classification and human review. Vendor pricing varies widely with SLA and content type.</w:t>
            </w:r>
          </w:p>
        </w:tc>
        <w:tc>
          <w:tcPr>
            <w:tcW w:type="dxa" w:w="1814"/>
          </w:tcPr>
          <w:p>
            <w:pPr>
              <w:spacing w:after="40" w:before="40"/>
            </w:pPr>
            <w:r/>
            <w:r>
              <w:rPr>
                <w:b w:val="0"/>
                <w:color w:val="1F2937"/>
                <w:sz w:val="17"/>
              </w:rPr>
              <w:t>None cited</w:t>
            </w:r>
          </w:p>
        </w:tc>
      </w:tr>
    </w:tbl>
    <w:p>
      <w:pPr>
        <w:spacing w:after="160" w:before="0"/>
      </w:pPr>
    </w:p>
    <w:p>
      <w:pPr>
        <w:pStyle w:val="Heading3"/>
        <w:keepNext/>
        <w:spacing w:before="200" w:after="100"/>
      </w:pPr>
      <w:r>
        <w:rPr>
          <w:b/>
          <w:color w:val="6B7280"/>
          <w:sz w:val="22"/>
        </w:rPr>
        <w:t>: Tax, Capital &amp; Valuation: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Corporate tax rates</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15% for the first four profitable years under the Spanish Startup Law, then the 25% standard rate. Modelled with loss carryforward against the Y1-Y4 losses.</w:t>
            </w:r>
          </w:p>
        </w:tc>
        <w:tc>
          <w:tcPr>
            <w:tcW w:type="dxa" w:w="1814"/>
          </w:tcPr>
          <w:p>
            <w:pPr>
              <w:spacing w:after="40" w:before="40"/>
            </w:pPr>
            <w:r/>
            <w:r>
              <w:rPr>
                <w:b w:val="0"/>
                <w:color w:val="1F2937"/>
                <w:sz w:val="17"/>
              </w:rPr>
              <w:t>Ley de Startups (Spain); Impuesto sobre Sociedades</w:t>
            </w:r>
          </w:p>
        </w:tc>
      </w:tr>
      <w:tr>
        <w:tc>
          <w:tcPr>
            <w:tcW w:type="dxa" w:w="1814"/>
          </w:tcPr>
          <w:p>
            <w:pPr>
              <w:spacing w:after="40" w:before="40"/>
            </w:pPr>
            <w:r/>
            <w:r>
              <w:rPr>
                <w:b/>
                <w:color w:val="1F2937"/>
                <w:sz w:val="17"/>
              </w:rPr>
              <w:t>Risk-free rate</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Spanish 10-year sovereign yield, ~3.2% in mid-2026. Used as the floor for the founder opportunity-cost calculation rather than as the discount rate.</w:t>
            </w:r>
          </w:p>
        </w:tc>
        <w:tc>
          <w:tcPr>
            <w:tcW w:type="dxa" w:w="1814"/>
          </w:tcPr>
          <w:p>
            <w:pPr>
              <w:spacing w:after="40" w:before="40"/>
            </w:pPr>
            <w:r/>
            <w:r>
              <w:rPr>
                <w:b w:val="0"/>
                <w:color w:val="1F2937"/>
                <w:sz w:val="17"/>
              </w:rPr>
              <w:t>Spanish 10Y government bond yield</w:t>
            </w:r>
          </w:p>
        </w:tc>
      </w:tr>
      <w:tr>
        <w:tc>
          <w:tcPr>
            <w:tcW w:type="dxa" w:w="1814"/>
          </w:tcPr>
          <w:p>
            <w:pPr>
              <w:spacing w:after="40" w:before="40"/>
            </w:pPr>
            <w:r/>
            <w:r>
              <w:rPr>
                <w:b/>
                <w:color w:val="1F2937"/>
                <w:sz w:val="17"/>
              </w:rPr>
              <w:t>WACC / discount rate</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type="dxa" w:w="1814"/>
          </w:tcPr>
          <w:p>
            <w:pPr>
              <w:spacing w:after="40" w:before="40"/>
            </w:pPr>
            <w:r/>
            <w:r>
              <w:rPr>
                <w:b w:val="0"/>
                <w:color w:val="1F2937"/>
                <w:sz w:val="17"/>
              </w:rPr>
              <w:t>Aswath Damodaran, NYU Stern, Cost of Capital by Industry (Europe), updated 5 January 2026</w:t>
            </w:r>
          </w:p>
        </w:tc>
      </w:tr>
      <w:tr>
        <w:tc>
          <w:tcPr>
            <w:tcW w:type="dxa" w:w="1814"/>
          </w:tcPr>
          <w:p>
            <w:pPr>
              <w:spacing w:after="40" w:before="40"/>
            </w:pPr>
            <w:r/>
            <w:r>
              <w:rPr>
                <w:b/>
                <w:color w:val="1F2937"/>
                <w:sz w:val="17"/>
              </w:rPr>
              <w:t>Exit revenue multiple</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6.5x blended. Marketplace comparables trade around 4x revenue and high-growth SaaS around 9x; our Y10 mix is roughly 55% marketplace take and 12% SaaS.</w:t>
            </w:r>
          </w:p>
        </w:tc>
        <w:tc>
          <w:tcPr>
            <w:tcW w:type="dxa" w:w="1814"/>
          </w:tcPr>
          <w:p>
            <w:pPr>
              <w:spacing w:after="40" w:before="40"/>
            </w:pPr>
            <w:r/>
            <w:r>
              <w:rPr>
                <w:b w:val="0"/>
                <w:color w:val="1F2937"/>
                <w:sz w:val="17"/>
              </w:rPr>
              <w:t>Public marketplace and SaaS trading multiples</w:t>
            </w:r>
          </w:p>
        </w:tc>
      </w:tr>
      <w:tr>
        <w:tc>
          <w:tcPr>
            <w:tcW w:type="dxa" w:w="1814"/>
          </w:tcPr>
          <w:p>
            <w:pPr>
              <w:spacing w:after="40" w:before="40"/>
            </w:pPr>
            <w:r/>
            <w:r>
              <w:rPr>
                <w:b/>
                <w:color w:val="1F2937"/>
                <w:sz w:val="17"/>
              </w:rPr>
              <w:t>Terminal growth</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3%, approximating long-run nominal GDP. Ten explicit forecast years were chosen partly so this assumption carries less of the valuation than it would at Y7.</w:t>
            </w:r>
          </w:p>
        </w:tc>
        <w:tc>
          <w:tcPr>
            <w:tcW w:type="dxa" w:w="1814"/>
          </w:tcPr>
          <w:p>
            <w:pPr>
              <w:spacing w:after="40" w:before="40"/>
            </w:pPr>
            <w:r/>
            <w:r>
              <w:rPr>
                <w:b w:val="0"/>
                <w:color w:val="1F2937"/>
                <w:sz w:val="17"/>
              </w:rPr>
              <w:t>Standard DCF convention</w:t>
            </w:r>
          </w:p>
        </w:tc>
      </w:tr>
    </w:tbl>
    <w:p>
      <w:pPr>
        <w:spacing w:after="160" w:before="0"/>
      </w:pPr>
    </w:p>
    <w:p>
      <w:pPr>
        <w:pStyle w:val="Heading3"/>
        <w:keepNext/>
        <w:spacing w:before="200" w:after="100"/>
      </w:pPr>
      <w:r>
        <w:rPr>
          <w:b/>
          <w:color w:val="6B7280"/>
          <w:sz w:val="22"/>
        </w:rPr>
        <w:t>: Compliance: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Payout age floor</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Stripe Express and Custom Connect require 18. Standard Connect allows 13+, but a legal guardian must own the account and hold the bank account the money lands in.</w:t>
            </w:r>
          </w:p>
        </w:tc>
        <w:tc>
          <w:tcPr>
            <w:tcW w:type="dxa" w:w="1814"/>
          </w:tcPr>
          <w:p>
            <w:pPr>
              <w:spacing w:after="40" w:before="40"/>
            </w:pPr>
            <w:r/>
            <w:r>
              <w:rPr>
                <w:b w:val="0"/>
                <w:color w:val="1F2937"/>
                <w:sz w:val="17"/>
              </w:rPr>
              <w:t>Stripe Connect documentation</w:t>
            </w:r>
          </w:p>
        </w:tc>
      </w:tr>
      <w:tr>
        <w:tc>
          <w:tcPr>
            <w:tcW w:type="dxa" w:w="1814"/>
          </w:tcPr>
          <w:p>
            <w:pPr>
              <w:spacing w:after="40" w:before="40"/>
            </w:pPr>
            <w:r/>
            <w:r>
              <w:rPr>
                <w:b/>
                <w:color w:val="1F2937"/>
                <w:sz w:val="17"/>
              </w:rPr>
              <w:t>Digital consent age, Spain</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14 today under LOPDGDD Art. 7. A draft Organic Law on the Protection of Minors in Digital Environments would raise it to 16 and make age verification mandatory, which is why 16 is the forward-compatible floor for an account.</w:t>
            </w:r>
          </w:p>
        </w:tc>
        <w:tc>
          <w:tcPr>
            <w:tcW w:type="dxa" w:w="1814"/>
          </w:tcPr>
          <w:p>
            <w:pPr>
              <w:spacing w:after="40" w:before="40"/>
            </w:pPr>
            <w:r/>
            <w:r>
              <w:rPr>
                <w:b w:val="0"/>
                <w:color w:val="1F2937"/>
                <w:sz w:val="17"/>
              </w:rPr>
              <w:t>LOPDGDD Art. 7; draft Organic Law, Council of Ministers, March 2025</w:t>
            </w:r>
          </w:p>
        </w:tc>
      </w:tr>
    </w:tbl>
    <w:p>
      <w:pPr>
        <w:spacing w:after="160" w:before="0"/>
      </w:pPr>
    </w:p>
    <w:p>
      <w:pPr>
        <w:spacing w:after="120" w:before="0"/>
      </w:pPr>
    </w:p>
    <w:p>
      <w:pPr>
        <w:pStyle w:val="Heading2"/>
        <w:keepNext/>
        <w:spacing w:before="320" w:after="100"/>
      </w:pPr>
      <w:r>
        <w:rPr>
          <w:b/>
          <w:color w:val="1F2937"/>
          <w:sz w:val="25"/>
        </w:rPr>
        <w:t>17.3 How this table is kept true</w:t>
      </w:r>
    </w:p>
    <w:p>
      <w:pPr>
        <w:spacing w:after="140" w:line="276" w:lineRule="auto"/>
        <w:jc w:val="both"/>
      </w:pPr>
      <w:r>
        <w:rPr>
          <w:b w:val="0"/>
          <w:color w:val="1F2937"/>
          <w:sz w:val="20"/>
        </w:rPr>
        <w:t xml:space="preserve">This appendix is generated, not maintained. </w:t>
      </w:r>
      <w:r>
        <w:rPr>
          <w:rFonts w:ascii="Consolas" w:hAnsi="Consolas"/>
          <w:b w:val="0"/>
          <w:color w:val="1F2937"/>
          <w:sz w:val="18"/>
        </w:rPr>
        <w:t>research_data.py</w:t>
      </w:r>
      <w:r>
        <w:rPr>
          <w:b w:val="0"/>
          <w:color w:val="1F2937"/>
          <w:sz w:val="20"/>
        </w:rP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b w:val="0"/>
          <w:color w:val="1F2937"/>
          <w:sz w:val="18"/>
        </w:rPr>
        <w:t>scripts/doc_consistency.py</w:t>
      </w:r>
      <w:r>
        <w:rPr>
          <w:b w:val="0"/>
          <w:color w:val="1F2937"/>
          <w:sz w:val="20"/>
        </w:rPr>
        <w:t>. Changing a driver therefore updates the model and the pinned prose, and leaves this table's method and source columns standing, which is correct only for as long as the reasoning behind them still holds. That judgement is not automatable.</w:t>
      </w:r>
    </w:p>
    <w:p>
      <w:r>
        <w:br w:type="page"/>
      </w:r>
    </w:p>
    <w:p>
      <w:pPr>
        <w:pStyle w:val="Heading1"/>
        <w:keepNext/>
        <w:spacing w:before="320" w:after="100"/>
        <w:pBdr>
          <w:bottom w:val="single" w:sz="6" w:space="8" w:color="D1D5DB"/>
        </w:pBdr>
      </w:pPr>
      <w:r>
        <w:rPr>
          <w:b/>
          <w:color w:val="1F2937"/>
          <w:sz w:val="32"/>
        </w:rPr>
        <w:t>Appendix M: Product Walkthrough: The Deployed Demo</w:t>
      </w:r>
    </w:p>
    <w:p>
      <w:pPr>
        <w:spacing w:after="140" w:line="276" w:lineRule="auto"/>
        <w:jc w:val="both"/>
      </w:pPr>
      <w:r>
        <w:rPr>
          <w:b w:val="0"/>
          <w:i/>
          <w:color w:val="1F2937"/>
          <w:sz w:val="20"/>
        </w:rPr>
        <w:t>Screens captured from the running application at [stride-demo.onrender.com](https://stride-demo.onrender.com), not mockups. The plan claims a working product exists; this is the evidence for that claim.</w:t>
      </w:r>
    </w:p>
    <w:p>
      <w:pPr>
        <w:spacing w:after="120" w:before="0"/>
      </w:pPr>
    </w:p>
    <w:p>
      <w:pPr>
        <w:pStyle w:val="Heading2"/>
        <w:keepNext/>
        <w:spacing w:before="320" w:after="100"/>
      </w:pPr>
      <w:r>
        <w:rPr>
          <w:b/>
          <w:color w:val="1F2937"/>
          <w:sz w:val="25"/>
        </w:rPr>
        <w:t>18.1 What is actually built</w:t>
      </w:r>
    </w:p>
    <w:p>
      <w:pPr>
        <w:spacing w:after="140" w:line="276" w:lineRule="auto"/>
        <w:jc w:val="both"/>
      </w:pPr>
      <w:r>
        <w:rPr>
          <w:b w:val="0"/>
          <w:color w:val="1F2937"/>
          <w:sz w:val="20"/>
        </w:rPr>
        <w:t>The demo carries all four roles the marketplace needs, real authentication, and seeded data behind every figure on screen. The marketability score shown on the athlete dashboard is computed by the same scoring code described in Appendix K, not typed into a fixture.</w:t>
      </w:r>
    </w:p>
    <w:p>
      <w:pPr>
        <w:spacing w:after="140" w:line="276" w:lineRule="auto"/>
        <w:jc w:val="both"/>
      </w:pPr>
      <w:r>
        <w:rPr>
          <w:b w:val="0"/>
          <w:color w:val="1F2937"/>
          <w:sz w:val="20"/>
        </w:rPr>
        <w:t>Anyone may sign in with the accounts shown on the first screen. The container sleeps between visits, so the first page load takes about forty seconds.</w:t>
      </w:r>
    </w:p>
    <w:p>
      <w:pPr>
        <w:spacing w:after="120" w:before="0"/>
      </w:pPr>
    </w:p>
    <w:p>
      <w:pPr>
        <w:pStyle w:val="Heading2"/>
        <w:keepNext/>
        <w:spacing w:before="320" w:after="100"/>
      </w:pPr>
      <w:r>
        <w:rPr>
          <w:b/>
          <w:color w:val="1F2937"/>
          <w:sz w:val="25"/>
        </w:rPr>
        <w:t>18.2 Sign in</w:t>
      </w:r>
    </w:p>
    <w:p>
      <w:pPr>
        <w:spacing w:before="120" w:after="40"/>
        <w:jc w:val="center"/>
      </w:pPr>
      <w:r>
        <w:drawing>
          <wp:inline xmlns:a="http://schemas.openxmlformats.org/drawingml/2006/main" xmlns:pic="http://schemas.openxmlformats.org/drawingml/2006/picture">
            <wp:extent cx="5760000" cy="4000000"/>
            <wp:docPr id="13" name="Picture 13"/>
            <wp:cNvGraphicFramePr>
              <a:graphicFrameLocks noChangeAspect="1"/>
            </wp:cNvGraphicFramePr>
            <a:graphic>
              <a:graphicData uri="http://schemas.openxmlformats.org/drawingml/2006/picture">
                <pic:pic>
                  <pic:nvPicPr>
                    <pic:cNvPr id="0" name="01-sign-in.png"/>
                    <pic:cNvPicPr/>
                  </pic:nvPicPr>
                  <pic:blipFill>
                    <a:blip r:embed="rId22"/>
                    <a:stretch>
                      <a:fillRect/>
                    </a:stretch>
                  </pic:blipFill>
                  <pic:spPr>
                    <a:xfrm>
                      <a:off x="0" y="0"/>
                      <a:ext cx="5760000" cy="4000000"/>
                    </a:xfrm>
                    <a:prstGeom prst="rect"/>
                  </pic:spPr>
                </pic:pic>
              </a:graphicData>
            </a:graphic>
          </wp:inline>
        </w:drawing>
      </w:r>
    </w:p>
    <w:p>
      <w:pPr>
        <w:spacing w:after="200"/>
        <w:jc w:val="center"/>
      </w:pPr>
      <w:r>
        <w:rPr>
          <w:b w:val="0"/>
          <w:color w:val="6B7280"/>
          <w:sz w:val="16"/>
        </w:rPr>
        <w:t>Sign in: /auth</w:t>
      </w:r>
    </w:p>
    <w:p>
      <w:pPr>
        <w:spacing w:after="140" w:line="276" w:lineRule="auto"/>
        <w:jc w:val="both"/>
      </w:pPr>
      <w:r>
        <w:rPr>
          <w:b w:val="0"/>
          <w:color w:val="1F2937"/>
          <w:sz w:val="20"/>
        </w:rPr>
        <w:t xml:space="preserve">Five seeded roles, one per side of the marketplace, open to anyone. Route </w:t>
      </w:r>
      <w:r>
        <w:rPr>
          <w:rFonts w:ascii="Consolas" w:hAnsi="Consolas"/>
          <w:b w:val="0"/>
          <w:color w:val="1F2937"/>
          <w:sz w:val="18"/>
        </w:rPr>
        <w:t>/auth</w:t>
      </w:r>
      <w:r>
        <w:rPr>
          <w:b w:val="0"/>
          <w:color w:val="1F2937"/>
          <w:sz w:val="20"/>
        </w:rPr>
        <w:t>, viewed signed out.</w:t>
      </w:r>
    </w:p>
    <w:p>
      <w:pPr>
        <w:pStyle w:val="Heading2"/>
        <w:keepNext/>
        <w:spacing w:before="320" w:after="100"/>
      </w:pPr>
      <w:r>
        <w:rPr>
          <w:b/>
          <w:color w:val="1F2937"/>
          <w:sz w:val="25"/>
        </w:rPr>
        <w:t>18.3 Athlete dashboard</w:t>
      </w:r>
    </w:p>
    <w:p>
      <w:pPr>
        <w:spacing w:before="120" w:after="40"/>
        <w:jc w:val="center"/>
      </w:pPr>
      <w:r>
        <w:drawing>
          <wp:inline xmlns:a="http://schemas.openxmlformats.org/drawingml/2006/main" xmlns:pic="http://schemas.openxmlformats.org/drawingml/2006/picture">
            <wp:extent cx="5760000" cy="4000000"/>
            <wp:docPr id="14" name="Picture 14"/>
            <wp:cNvGraphicFramePr>
              <a:graphicFrameLocks noChangeAspect="1"/>
            </wp:cNvGraphicFramePr>
            <a:graphic>
              <a:graphicData uri="http://schemas.openxmlformats.org/drawingml/2006/picture">
                <pic:pic>
                  <pic:nvPicPr>
                    <pic:cNvPr id="0" name="02-athlete-dashboard.png"/>
                    <pic:cNvPicPr/>
                  </pic:nvPicPr>
                  <pic:blipFill>
                    <a:blip r:embed="rId23"/>
                    <a:stretch>
                      <a:fillRect/>
                    </a:stretch>
                  </pic:blipFill>
                  <pic:spPr>
                    <a:xfrm>
                      <a:off x="0" y="0"/>
                      <a:ext cx="5760000" cy="4000000"/>
                    </a:xfrm>
                    <a:prstGeom prst="rect"/>
                  </pic:spPr>
                </pic:pic>
              </a:graphicData>
            </a:graphic>
          </wp:inline>
        </w:drawing>
      </w:r>
    </w:p>
    <w:p>
      <w:pPr>
        <w:spacing w:after="200"/>
        <w:jc w:val="center"/>
      </w:pPr>
      <w:r>
        <w:rPr>
          <w:b w:val="0"/>
          <w:color w:val="6B7280"/>
          <w:sz w:val="16"/>
        </w:rPr>
        <w:t>Athlete dashboard: /athlete</w:t>
      </w:r>
    </w:p>
    <w:p>
      <w:pPr>
        <w:spacing w:after="140" w:line="276" w:lineRule="auto"/>
        <w:jc w:val="both"/>
      </w:pPr>
      <w:r>
        <w:rPr>
          <w:b w:val="0"/>
          <w:color w:val="1F2937"/>
          <w:sz w:val="20"/>
        </w:rPr>
        <w:t xml:space="preserve">The marketability score and its ranked dimensions, computed from connected platform data rather than self-reported. Route </w:t>
      </w:r>
      <w:r>
        <w:rPr>
          <w:rFonts w:ascii="Consolas" w:hAnsi="Consolas"/>
          <w:b w:val="0"/>
          <w:color w:val="1F2937"/>
          <w:sz w:val="18"/>
        </w:rPr>
        <w:t>/athlete</w:t>
      </w:r>
      <w:r>
        <w:rPr>
          <w:b w:val="0"/>
          <w:color w:val="1F2937"/>
          <w:sz w:val="20"/>
        </w:rPr>
        <w:t xml:space="preserve">, viewed </w:t>
      </w:r>
      <w:r>
        <w:rPr>
          <w:rFonts w:ascii="Consolas" w:hAnsi="Consolas"/>
          <w:b w:val="0"/>
          <w:color w:val="1F2937"/>
          <w:sz w:val="18"/>
        </w:rPr>
        <w:t>athlete@demo.stride</w:t>
      </w:r>
      <w:r>
        <w:rPr>
          <w:b w:val="0"/>
          <w:color w:val="1F2937"/>
          <w:sz w:val="20"/>
        </w:rPr>
        <w:t>.</w:t>
      </w:r>
    </w:p>
    <w:p>
      <w:pPr>
        <w:pStyle w:val="Heading2"/>
        <w:keepNext/>
        <w:spacing w:before="320" w:after="100"/>
      </w:pPr>
      <w:r>
        <w:rPr>
          <w:b/>
          <w:color w:val="1F2937"/>
          <w:sz w:val="25"/>
        </w:rPr>
        <w:t>18.4 Public athlete profile</w:t>
      </w:r>
    </w:p>
    <w:p>
      <w:pPr>
        <w:spacing w:before="120" w:after="40"/>
        <w:jc w:val="center"/>
      </w:pPr>
      <w:r>
        <w:drawing>
          <wp:inline xmlns:a="http://schemas.openxmlformats.org/drawingml/2006/main" xmlns:pic="http://schemas.openxmlformats.org/drawingml/2006/picture">
            <wp:extent cx="5760000" cy="4000000"/>
            <wp:docPr id="15" name="Picture 15"/>
            <wp:cNvGraphicFramePr>
              <a:graphicFrameLocks noChangeAspect="1"/>
            </wp:cNvGraphicFramePr>
            <a:graphic>
              <a:graphicData uri="http://schemas.openxmlformats.org/drawingml/2006/picture">
                <pic:pic>
                  <pic:nvPicPr>
                    <pic:cNvPr id="0" name="03-athlete-public.png"/>
                    <pic:cNvPicPr/>
                  </pic:nvPicPr>
                  <pic:blipFill>
                    <a:blip r:embed="rId24"/>
                    <a:stretch>
                      <a:fillRect/>
                    </a:stretch>
                  </pic:blipFill>
                  <pic:spPr>
                    <a:xfrm>
                      <a:off x="0" y="0"/>
                      <a:ext cx="5760000" cy="4000000"/>
                    </a:xfrm>
                    <a:prstGeom prst="rect"/>
                  </pic:spPr>
                </pic:pic>
              </a:graphicData>
            </a:graphic>
          </wp:inline>
        </w:drawing>
      </w:r>
    </w:p>
    <w:p>
      <w:pPr>
        <w:spacing w:after="200"/>
        <w:jc w:val="center"/>
      </w:pPr>
      <w:r>
        <w:rPr>
          <w:b w:val="0"/>
          <w:color w:val="6B7280"/>
          <w:sz w:val="16"/>
        </w:rPr>
        <w:t>Public athlete profile: /athletes/kaia-mercer</w:t>
      </w:r>
    </w:p>
    <w:p>
      <w:pPr>
        <w:spacing w:after="140" w:line="276" w:lineRule="auto"/>
        <w:jc w:val="both"/>
      </w:pPr>
      <w:r>
        <w:rPr>
          <w:b w:val="0"/>
          <w:color w:val="1F2937"/>
          <w:sz w:val="20"/>
        </w:rPr>
        <w:t xml:space="preserve">The public profile, seen signed out. Identity, sport and club are open; the score and audience breakdown are withheld until a viewer is known. Route </w:t>
      </w:r>
      <w:r>
        <w:rPr>
          <w:rFonts w:ascii="Consolas" w:hAnsi="Consolas"/>
          <w:b w:val="0"/>
          <w:color w:val="1F2937"/>
          <w:sz w:val="18"/>
        </w:rPr>
        <w:t>/athletes/kaia-mercer</w:t>
      </w:r>
      <w:r>
        <w:rPr>
          <w:b w:val="0"/>
          <w:color w:val="1F2937"/>
          <w:sz w:val="20"/>
        </w:rPr>
        <w:t>, viewed signed out.</w:t>
      </w:r>
    </w:p>
    <w:p>
      <w:pPr>
        <w:pStyle w:val="Heading2"/>
        <w:keepNext/>
        <w:spacing w:before="320" w:after="100"/>
      </w:pPr>
      <w:r>
        <w:rPr>
          <w:b/>
          <w:color w:val="1F2937"/>
          <w:sz w:val="25"/>
        </w:rPr>
        <w:t>18.5 Sponsor workspace</w:t>
      </w:r>
    </w:p>
    <w:p>
      <w:pPr>
        <w:spacing w:before="120" w:after="40"/>
        <w:jc w:val="center"/>
      </w:pPr>
      <w:r>
        <w:drawing>
          <wp:inline xmlns:a="http://schemas.openxmlformats.org/drawingml/2006/main" xmlns:pic="http://schemas.openxmlformats.org/drawingml/2006/picture">
            <wp:extent cx="5760000" cy="4000000"/>
            <wp:docPr id="16" name="Picture 16"/>
            <wp:cNvGraphicFramePr>
              <a:graphicFrameLocks noChangeAspect="1"/>
            </wp:cNvGraphicFramePr>
            <a:graphic>
              <a:graphicData uri="http://schemas.openxmlformats.org/drawingml/2006/picture">
                <pic:pic>
                  <pic:nvPicPr>
                    <pic:cNvPr id="0" name="04-sponsor-campaigns.png"/>
                    <pic:cNvPicPr/>
                  </pic:nvPicPr>
                  <pic:blipFill>
                    <a:blip r:embed="rId25"/>
                    <a:stretch>
                      <a:fillRect/>
                    </a:stretch>
                  </pic:blipFill>
                  <pic:spPr>
                    <a:xfrm>
                      <a:off x="0" y="0"/>
                      <a:ext cx="5760000" cy="4000000"/>
                    </a:xfrm>
                    <a:prstGeom prst="rect"/>
                  </pic:spPr>
                </pic:pic>
              </a:graphicData>
            </a:graphic>
          </wp:inline>
        </w:drawing>
      </w:r>
    </w:p>
    <w:p>
      <w:pPr>
        <w:spacing w:after="200"/>
        <w:jc w:val="center"/>
      </w:pPr>
      <w:r>
        <w:rPr>
          <w:b w:val="0"/>
          <w:color w:val="6B7280"/>
          <w:sz w:val="16"/>
        </w:rPr>
        <w:t>Sponsor workspace: /sponsor</w:t>
      </w:r>
    </w:p>
    <w:p>
      <w:pPr>
        <w:spacing w:after="140" w:line="276" w:lineRule="auto"/>
        <w:jc w:val="both"/>
      </w:pPr>
      <w:r>
        <w:rPr>
          <w:b w:val="0"/>
          <w:color w:val="1F2937"/>
          <w:sz w:val="20"/>
        </w:rPr>
        <w:t xml:space="preserve">Campaigns carry a brief, and the brief is what the matching engine scores against. Route </w:t>
      </w:r>
      <w:r>
        <w:rPr>
          <w:rFonts w:ascii="Consolas" w:hAnsi="Consolas"/>
          <w:b w:val="0"/>
          <w:color w:val="1F2937"/>
          <w:sz w:val="18"/>
        </w:rPr>
        <w:t>/sponsor</w:t>
      </w:r>
      <w:r>
        <w:rPr>
          <w:b w:val="0"/>
          <w:color w:val="1F2937"/>
          <w:sz w:val="20"/>
        </w:rPr>
        <w:t xml:space="preserve">, viewed </w:t>
      </w:r>
      <w:r>
        <w:rPr>
          <w:rFonts w:ascii="Consolas" w:hAnsi="Consolas"/>
          <w:b w:val="0"/>
          <w:color w:val="1F2937"/>
          <w:sz w:val="18"/>
        </w:rPr>
        <w:t>sponsor@demo.stride</w:t>
      </w:r>
      <w:r>
        <w:rPr>
          <w:b w:val="0"/>
          <w:color w:val="1F2937"/>
          <w:sz w:val="20"/>
        </w:rPr>
        <w:t>.</w:t>
      </w:r>
    </w:p>
    <w:p>
      <w:pPr>
        <w:pStyle w:val="Heading2"/>
        <w:keepNext/>
        <w:spacing w:before="320" w:after="100"/>
      </w:pPr>
      <w:r>
        <w:rPr>
          <w:b/>
          <w:color w:val="1F2937"/>
          <w:sz w:val="25"/>
        </w:rPr>
        <w:t>18.6 Club HQ</w:t>
      </w:r>
    </w:p>
    <w:p>
      <w:pPr>
        <w:spacing w:before="120" w:after="40"/>
        <w:jc w:val="center"/>
      </w:pPr>
      <w:r>
        <w:drawing>
          <wp:inline xmlns:a="http://schemas.openxmlformats.org/drawingml/2006/main" xmlns:pic="http://schemas.openxmlformats.org/drawingml/2006/picture">
            <wp:extent cx="5760000" cy="4000000"/>
            <wp:docPr id="17" name="Picture 17"/>
            <wp:cNvGraphicFramePr>
              <a:graphicFrameLocks noChangeAspect="1"/>
            </wp:cNvGraphicFramePr>
            <a:graphic>
              <a:graphicData uri="http://schemas.openxmlformats.org/drawingml/2006/picture">
                <pic:pic>
                  <pic:nvPicPr>
                    <pic:cNvPr id="0" name="05-club-hq.png"/>
                    <pic:cNvPicPr/>
                  </pic:nvPicPr>
                  <pic:blipFill>
                    <a:blip r:embed="rId26"/>
                    <a:stretch>
                      <a:fillRect/>
                    </a:stretch>
                  </pic:blipFill>
                  <pic:spPr>
                    <a:xfrm>
                      <a:off x="0" y="0"/>
                      <a:ext cx="5760000" cy="4000000"/>
                    </a:xfrm>
                    <a:prstGeom prst="rect"/>
                  </pic:spPr>
                </pic:pic>
              </a:graphicData>
            </a:graphic>
          </wp:inline>
        </w:drawing>
      </w:r>
    </w:p>
    <w:p>
      <w:pPr>
        <w:spacing w:after="200"/>
        <w:jc w:val="center"/>
      </w:pPr>
      <w:r>
        <w:rPr>
          <w:b w:val="0"/>
          <w:color w:val="6B7280"/>
          <w:sz w:val="16"/>
        </w:rPr>
        <w:t>Club HQ: /club</w:t>
      </w:r>
    </w:p>
    <w:p>
      <w:pPr>
        <w:spacing w:after="140" w:line="276" w:lineRule="auto"/>
        <w:jc w:val="both"/>
      </w:pPr>
      <w:r>
        <w:rPr>
          <w:b w:val="0"/>
          <w:color w:val="1F2937"/>
          <w:sz w:val="20"/>
        </w:rPr>
        <w:t xml:space="preserve">The roster is the club channel of the sales plan: one relationship carries twenty to forty athletes. Route </w:t>
      </w:r>
      <w:r>
        <w:rPr>
          <w:rFonts w:ascii="Consolas" w:hAnsi="Consolas"/>
          <w:b w:val="0"/>
          <w:color w:val="1F2937"/>
          <w:sz w:val="18"/>
        </w:rPr>
        <w:t>/club</w:t>
      </w:r>
      <w:r>
        <w:rPr>
          <w:b w:val="0"/>
          <w:color w:val="1F2937"/>
          <w:sz w:val="20"/>
        </w:rPr>
        <w:t xml:space="preserve">, viewed </w:t>
      </w:r>
      <w:r>
        <w:rPr>
          <w:rFonts w:ascii="Consolas" w:hAnsi="Consolas"/>
          <w:b w:val="0"/>
          <w:color w:val="1F2937"/>
          <w:sz w:val="18"/>
        </w:rPr>
        <w:t>club@demo.stride</w:t>
      </w:r>
      <w:r>
        <w:rPr>
          <w:b w:val="0"/>
          <w:color w:val="1F2937"/>
          <w:sz w:val="20"/>
        </w:rPr>
        <w:t>.</w:t>
      </w:r>
    </w:p>
    <w:p>
      <w:pPr>
        <w:pStyle w:val="Heading2"/>
        <w:keepNext/>
        <w:spacing w:before="320" w:after="100"/>
      </w:pPr>
      <w:r>
        <w:rPr>
          <w:b/>
          <w:color w:val="1F2937"/>
          <w:sz w:val="25"/>
        </w:rPr>
        <w:t>18.7 Admission queue</w:t>
      </w:r>
    </w:p>
    <w:p>
      <w:pPr>
        <w:spacing w:before="120" w:after="40"/>
        <w:jc w:val="center"/>
      </w:pPr>
      <w:r>
        <w:drawing>
          <wp:inline xmlns:a="http://schemas.openxmlformats.org/drawingml/2006/main" xmlns:pic="http://schemas.openxmlformats.org/drawingml/2006/picture">
            <wp:extent cx="5760000" cy="4000000"/>
            <wp:docPr id="18" name="Picture 18"/>
            <wp:cNvGraphicFramePr>
              <a:graphicFrameLocks noChangeAspect="1"/>
            </wp:cNvGraphicFramePr>
            <a:graphic>
              <a:graphicData uri="http://schemas.openxmlformats.org/drawingml/2006/picture">
                <pic:pic>
                  <pic:nvPicPr>
                    <pic:cNvPr id="0" name="06-admin-review.png"/>
                    <pic:cNvPicPr/>
                  </pic:nvPicPr>
                  <pic:blipFill>
                    <a:blip r:embed="rId27"/>
                    <a:stretch>
                      <a:fillRect/>
                    </a:stretch>
                  </pic:blipFill>
                  <pic:spPr>
                    <a:xfrm>
                      <a:off x="0" y="0"/>
                      <a:ext cx="5760000" cy="4000000"/>
                    </a:xfrm>
                    <a:prstGeom prst="rect"/>
                  </pic:spPr>
                </pic:pic>
              </a:graphicData>
            </a:graphic>
          </wp:inline>
        </w:drawing>
      </w:r>
    </w:p>
    <w:p>
      <w:pPr>
        <w:spacing w:after="200"/>
        <w:jc w:val="center"/>
      </w:pPr>
      <w:r>
        <w:rPr>
          <w:b w:val="0"/>
          <w:color w:val="6B7280"/>
          <w:sz w:val="16"/>
        </w:rPr>
        <w:t>Admission queue: /admin/review</w:t>
      </w:r>
    </w:p>
    <w:p>
      <w:pPr>
        <w:spacing w:after="140" w:line="276" w:lineRule="auto"/>
        <w:jc w:val="both"/>
      </w:pPr>
      <w:r>
        <w:rPr>
          <w:b w:val="0"/>
          <w:color w:val="1F2937"/>
          <w:sz w:val="20"/>
        </w:rPr>
        <w:t xml:space="preserve">The operations plan treats admission review as the only step consuming meaningful human time. This is that step. Route </w:t>
      </w:r>
      <w:r>
        <w:rPr>
          <w:rFonts w:ascii="Consolas" w:hAnsi="Consolas"/>
          <w:b w:val="0"/>
          <w:color w:val="1F2937"/>
          <w:sz w:val="18"/>
        </w:rPr>
        <w:t>/admin/review</w:t>
      </w:r>
      <w:r>
        <w:rPr>
          <w:b w:val="0"/>
          <w:color w:val="1F2937"/>
          <w:sz w:val="20"/>
        </w:rPr>
        <w:t xml:space="preserve">, viewed </w:t>
      </w:r>
      <w:r>
        <w:rPr>
          <w:rFonts w:ascii="Consolas" w:hAnsi="Consolas"/>
          <w:b w:val="0"/>
          <w:color w:val="1F2937"/>
          <w:sz w:val="18"/>
        </w:rPr>
        <w:t>admin@demo.stride</w:t>
      </w:r>
      <w:r>
        <w:rPr>
          <w:b w:val="0"/>
          <w:color w:val="1F2937"/>
          <w:sz w:val="20"/>
        </w:rPr>
        <w:t>.</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