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rFonts w:ascii="Arial" w:cs="Arial" w:eastAsia="Arial" w:hAnsi="Arial"/>
          <w:b/>
          <w:bCs/>
          <w:color w:val="2D6A4F"/>
          <w:sz w:val="64"/>
          <w:szCs w:val="64"/>
        </w:rPr>
        <w:t xml:space="preserve">EV Readiness Score</w:t>
      </w:r>
    </w:p>
    <w:p>
      <w:pPr>
        <w:spacing w:before="0" w:after="80"/>
        <w:jc w:val="center"/>
      </w:pPr>
      <w:r>
        <w:rPr>
          <w:rFonts w:ascii="Arial" w:cs="Arial" w:eastAsia="Arial" w:hAnsi="Arial"/>
          <w:color w:val="555555"/>
          <w:sz w:val="28"/>
          <w:szCs w:val="28"/>
        </w:rPr>
        <w:t xml:space="preserve">Application Architecture &amp; Design Specification</w:t>
      </w:r>
    </w:p>
    <w:p>
      <w:pPr>
        <w:spacing w:before="0" w:after="400"/>
        <w:jc w:val="center"/>
      </w:pPr>
      <w:r>
        <w:rPr>
          <w:rFonts w:ascii="Arial" w:cs="Arial" w:eastAsia="Arial" w:hAnsi="Arial"/>
          <w:i/>
          <w:iCs/>
          <w:color w:val="555555"/>
          <w:sz w:val="22"/>
          <w:szCs w:val="22"/>
        </w:rPr>
        <w:t xml:space="preserve">Let's Go Electric! — v0.1 Draft</w:t>
      </w:r>
    </w:p>
    <w:p>
      <w:pPr>
        <w:spacing w:before="400" w:after="0"/>
      </w:pPr>
      <w:r>
        <w:t xml:space="preserve"/>
      </w:r>
    </w:p>
    <w:p>
      <w:pPr>
        <w:jc w:val="center"/>
      </w:pPr>
      <w:r>
        <w:rPr>
          <w:rFonts w:ascii="Arial" w:cs="Arial" w:eastAsia="Arial" w:hAnsi="Arial"/>
          <w:i/>
          <w:iCs/>
          <w:color w:val="555555"/>
          <w:sz w:val="20"/>
          <w:szCs w:val="20"/>
        </w:rPr>
        <w:t xml:space="preserve">High-level architecture reference for prototyping and Claude Code prompting</w:t>
      </w:r>
    </w:p>
    <w:p>
      <w:r>
        <w:br w:type="page"/>
      </w:r>
    </w:p>
    <w:p>
      <w:pPr>
        <w:pStyle w:val="Heading1"/>
        <w:spacing w:before="320" w:after="160"/>
      </w:pPr>
      <w:r>
        <w:rPr>
          <w:rFonts w:ascii="Arial" w:cs="Arial" w:eastAsia="Arial" w:hAnsi="Arial"/>
          <w:b/>
          <w:bCs/>
          <w:color w:val="2D6A4F"/>
          <w:sz w:val="32"/>
          <w:szCs w:val="32"/>
        </w:rPr>
        <w:t xml:space="preserve">1. Purpose &amp; Scope</w:t>
      </w:r>
    </w:p>
    <w:p>
      <w:pPr>
        <w:spacing w:before="60" w:after="60"/>
      </w:pPr>
      <w:r>
        <w:rPr>
          <w:rFonts w:ascii="Arial" w:cs="Arial" w:eastAsia="Arial" w:hAnsi="Arial"/>
          <w:color w:val="1B1B1B"/>
          <w:sz w:val="22"/>
          <w:szCs w:val="22"/>
        </w:rPr>
        <w:t xml:space="preserve">This document defines the high-level architecture for the EV Readiness Score application. Its goal is to serve as a stable reference point while remaining intentionally loose on implementation specifics, giving room to explore and plug in your own ideas.</w:t>
      </w:r>
    </w:p>
    <w:p>
      <w:pPr>
        <w:spacing w:before="120" w:after="0"/>
      </w:pPr>
      <w:r>
        <w:t xml:space="preserve"/>
      </w:r>
    </w:p>
    <w:p>
      <w:pPr>
        <w:spacing w:before="60" w:after="60"/>
      </w:pPr>
      <w:r>
        <w:rPr>
          <w:rFonts w:ascii="Arial" w:cs="Arial" w:eastAsia="Arial" w:hAnsi="Arial"/>
          <w:color w:val="1B1B1B"/>
          <w:sz w:val="22"/>
          <w:szCs w:val="22"/>
        </w:rPr>
        <w:t xml:space="preserve">The application assigns a scored index (0–100) to any geographic location, reflecting how ready that location is for electric vehicle adoption. It is specifically designed to surface equity gaps for renters and multifamily housing residents who are often excluded from existing EV readiness metrics.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thick" w:color="2D6A4F" w:sz="12"/>
              <w:bottom w:val="single" w:color="52B788" w:sz="4"/>
              <w:right w:val="single" w:color="52B788" w:sz="4"/>
            </w:tcBorders>
            <w:shd w:fill="D8F3DC" w:val="clear"/>
            <w:tcMar>
              <w:top w:type="dxa" w:w="100"/>
              <w:left w:type="dxa" w:w="180"/>
              <w:bottom w:type="dxa" w:w="100"/>
              <w:right w:type="dxa" w:w="180"/>
            </w:tcMar>
          </w:tcPr>
          <w:p>
            <w:r>
              <w:rPr>
                <w:rFonts w:ascii="Arial" w:cs="Arial" w:eastAsia="Arial" w:hAnsi="Arial"/>
                <w:b/>
                <w:bCs/>
                <w:color w:val="2D6A4F"/>
                <w:sz w:val="20"/>
                <w:szCs w:val="20"/>
              </w:rPr>
              <w:t xml:space="preserve">Design Philosophy</w:t>
            </w:r>
          </w:p>
          <w:p>
            <w:r>
              <w:rPr>
                <w:rFonts w:ascii="Arial" w:cs="Arial" w:eastAsia="Arial" w:hAnsi="Arial"/>
                <w:color w:val="1B1B1B"/>
                <w:sz w:val="20"/>
                <w:szCs w:val="20"/>
              </w:rPr>
              <w:t xml:space="preserve">Start with clean abstractions in V1. The investment is not in features — it is in the layered separation between data access, scoring logic, and presentation so that V2 can introduce local-first capabilities without a rewrite.</w:t>
            </w:r>
          </w:p>
        </w:tc>
      </w:tr>
    </w:tbl>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2. Score Model</w:t>
      </w:r>
    </w:p>
    <w:p>
      <w:pPr>
        <w:spacing w:before="60" w:after="60"/>
      </w:pPr>
      <w:r>
        <w:rPr>
          <w:rFonts w:ascii="Arial" w:cs="Arial" w:eastAsia="Arial" w:hAnsi="Arial"/>
          <w:color w:val="1B1B1B"/>
          <w:sz w:val="22"/>
          <w:szCs w:val="22"/>
        </w:rPr>
        <w:t xml:space="preserve">The EV Readiness Score is a weighted composite of independent sub-scores. Each factor is normalized to a 0–1 range before weighting. The final score is multiplied by 100 and rounded to one decimal place.</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2.1 Score Factors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Primary Data Source</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Charging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NREL AFDC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 level of chargers within radius</w:t>
            </w:r>
          </w:p>
        </w:tc>
      </w:tr>
      <w:tr>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Housing Type</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Census ACS</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SFH vs multifamily, renter vs owner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 Affordability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Census ACS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income, EV incentive eligibility</w:t>
            </w:r>
          </w:p>
        </w:tc>
      </w:tr>
      <w:tr>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Transit Proximity</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OpenStreetMap / GTFS</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Distance to stops, frequency of service</w:t>
            </w:r>
          </w:p>
        </w:tc>
      </w:tr>
    </w:tbl>
    <w:p>
      <w:pPr>
        <w:spacing w:before="120" w:after="0"/>
      </w:pPr>
      <w:r>
        <w:t xml:space="preserve"/>
      </w:r>
    </w:p>
    <w:p>
      <w:pPr>
        <w:spacing w:before="40" w:after="40"/>
      </w:pPr>
      <w:r>
        <w:rPr>
          <w:rFonts w:ascii="Arial" w:cs="Arial" w:eastAsia="Arial" w:hAnsi="Arial"/>
          <w:i/>
          <w:iCs/>
          <w:color w:val="555555"/>
          <w:sz w:val="20"/>
          <w:szCs w:val="20"/>
        </w:rPr>
        <w:t xml:space="preserve">Weights are configurable. A scoring_config.json served by the API acts as the single source of truth for both backend and frontend implementations.</w:t>
      </w:r>
    </w:p>
    <w:p>
      <w:pPr>
        <w:spacing w:before="200" w:after="0"/>
      </w:pPr>
      <w:r>
        <w:t xml:space="preserve"/>
      </w:r>
    </w:p>
    <w:p>
      <w:pPr>
        <w:pStyle w:val="Heading2"/>
        <w:spacing w:before="240" w:after="120"/>
      </w:pPr>
      <w:r>
        <w:rPr>
          <w:rFonts w:ascii="Arial" w:cs="Arial" w:eastAsia="Arial" w:hAnsi="Arial"/>
          <w:b/>
          <w:bCs/>
          <w:color w:val="2D6A4F"/>
          <w:sz w:val="26"/>
          <w:szCs w:val="26"/>
        </w:rPr>
        <w:t xml:space="preserve">2.2 Score Labels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Intended 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 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Ready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infrastructure, favorable conditions</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50 – 74</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Emerging</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Growing but gaps remain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barriers present</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0 – 24</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Underserved</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Critical infrastructure and equity gaps</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2.3 Scoring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thick" w:color="2D6A4F" w:sz="12"/>
              <w:bottom w:val="single" w:color="52B788" w:sz="4"/>
              <w:right w:val="single" w:color="52B788" w:sz="4"/>
            </w:tcBorders>
            <w:shd w:fill="D8F3DC" w:val="clear"/>
            <w:tcMar>
              <w:top w:type="dxa" w:w="100"/>
              <w:left w:type="dxa" w:w="180"/>
              <w:bottom w:type="dxa" w:w="100"/>
              <w:right w:type="dxa" w:w="180"/>
            </w:tcMar>
          </w:tcPr>
          <w:p>
            <w:r>
              <w:rPr>
                <w:rFonts w:ascii="Arial" w:cs="Arial" w:eastAsia="Arial" w:hAnsi="Arial"/>
                <w:b/>
                <w:bCs/>
                <w:color w:val="2D6A4F"/>
                <w:sz w:val="20"/>
                <w:szCs w:val="20"/>
              </w:rPr>
              <w:t xml:space="preserve">Critical Constraint</w:t>
            </w:r>
          </w:p>
          <w:p>
            <w:r>
              <w:rPr>
                <w:rFonts w:ascii="Arial" w:cs="Arial" w:eastAsia="Arial" w:hAnsi="Arial"/>
                <w:color w:val="1B1B1B"/>
                <w:sz w:val="20"/>
                <w:szCs w:val="20"/>
              </w:rPr>
              <w:t xml:space="preserve">Scoring logic must be implemented as pure functions that accept data as arguments and return a score. No data fetching or I/O should occur inside scoring functions. This constraint is what allows the scoring engine to run identically on the backend (Python) and the client (TypeScript) without modification.</w:t>
            </w:r>
          </w:p>
        </w:tc>
      </w:tr>
    </w:tbl>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3. High-Level Architecture</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3.1 System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fetching, scoring, sync endpoints, OpenAPI spec generation</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Frontend App</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Map display, score visualization, user interaction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Contract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OpenAPI (auto-generated)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Typed client generated from FastAPI spec</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Local Store (V2)</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Dexie.js / IndexedDB</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Client-side spatial data cache for offline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Sync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 Workbox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sync when connectivity is available</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3.2 Data Flow — V1 (Online-First)</w:t>
      </w:r>
    </w:p>
    <w:p>
      <w:pPr>
        <w:spacing w:before="60" w:after="60"/>
      </w:pPr>
      <w:r>
        <w:rPr>
          <w:rFonts w:ascii="Arial" w:cs="Arial" w:eastAsia="Arial" w:hAnsi="Arial"/>
          <w:color w:val="1B1B1B"/>
          <w:sz w:val="22"/>
          <w:szCs w:val="22"/>
        </w:rPr>
        <w:t xml:space="preserve">User enters address → Geocode to lat/lon → Frontend calls /score endpoint → Backend fetches from AFDC + Census → Scoring service computes result → Response returned and rendered on map.</w:t>
      </w:r>
    </w:p>
    <w:p>
      <w:pPr>
        <w:spacing w:before="100" w:after="0"/>
      </w:pPr>
      <w:r>
        <w:t xml:space="preserve"/>
      </w:r>
    </w:p>
    <w:p>
      <w:pPr>
        <w:spacing w:before="40" w:after="40"/>
      </w:pPr>
      <w:r>
        <w:rPr>
          <w:rFonts w:ascii="Arial" w:cs="Arial" w:eastAsia="Arial" w:hAnsi="Arial"/>
          <w:i/>
          <w:iCs/>
          <w:color w:val="555555"/>
          <w:sz w:val="20"/>
          <w:szCs w:val="20"/>
        </w:rPr>
        <w:t xml:space="preserve">All data access goes through the network in V1. The repository pattern isolates this so V2 can swap the backing store without touching UI components.</w:t>
      </w:r>
    </w:p>
    <w:p>
      <w:pPr>
        <w:spacing w:before="200" w:after="0"/>
      </w:pPr>
      <w:r>
        <w:t xml:space="preserve"/>
      </w:r>
    </w:p>
    <w:p>
      <w:pPr>
        <w:pStyle w:val="Heading2"/>
        <w:spacing w:before="240" w:after="120"/>
      </w:pPr>
      <w:r>
        <w:rPr>
          <w:rFonts w:ascii="Arial" w:cs="Arial" w:eastAsia="Arial" w:hAnsi="Arial"/>
          <w:b/>
          <w:bCs/>
          <w:color w:val="2D6A4F"/>
          <w:sz w:val="26"/>
          <w:szCs w:val="26"/>
        </w:rPr>
        <w:t xml:space="preserve">3.3 Data Flow — V2 (Local-First)</w:t>
      </w:r>
    </w:p>
    <w:p>
      <w:pPr>
        <w:spacing w:before="60" w:after="60"/>
      </w:pPr>
      <w:r>
        <w:rPr>
          <w:rFonts w:ascii="Arial" w:cs="Arial" w:eastAsia="Arial" w:hAnsi="Arial"/>
          <w:color w:val="1B1B1B"/>
          <w:sz w:val="22"/>
          <w:szCs w:val="22"/>
        </w:rPr>
        <w:t xml:space="preserve">On app open: check last_synced timestamp → if stale, background sync from /sync endpoints → data written to Dexie. User enters address → Geocode (cached after first use) → Repository reads from Dexie → Scoring service runs locally → Result rendered instantly with no network dependency.</w:t>
      </w:r>
    </w:p>
    <w:p>
      <w:pPr>
        <w:spacing w:before="100" w:after="0"/>
      </w:pPr>
      <w:r>
        <w:t xml:space="preserve"/>
      </w:r>
    </w:p>
    <w:p>
      <w:pPr>
        <w:spacing w:before="40" w:after="40"/>
      </w:pPr>
      <w:r>
        <w:rPr>
          <w:rFonts w:ascii="Arial" w:cs="Arial" w:eastAsia="Arial" w:hAnsi="Arial"/>
          <w:i/>
          <w:iCs/>
          <w:color w:val="555555"/>
          <w:sz w:val="20"/>
          <w:szCs w:val="20"/>
        </w:rPr>
        <w:t xml:space="preserve">The backend becomes a sync/hydration service in V2. Scoring on the client uses a TypeScript mirror of the Python scoring functions, validated by shared test cases.</w:t>
      </w:r>
    </w:p>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4. Backend Architecture</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4.1 Directory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main.py</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FastAPI app entry point, route registration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models/schemas.py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 request/response models (LocationRequest, ReadinessResponse, ScoreComponents)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services/scoring.py</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Pure scoring functions — no I/O, accepts data, returns score dict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services/afdc.py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NREL AFDC API client — fetches nearby EVSE stations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services/census.py</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Census ACS client — fetches demographic data by coordinate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services/geo.py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helpers using GeoPandas/Shapely (radius queries, bbox, distance)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routers/score.py</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GET /score endpoint — single location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routers/sync.py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/sync/evse, /sync/census — delta sync endpoints (V2, stub in V1)</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config.py</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Environment variables, API keys, scoring config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scoring_config.json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Scoring weights and factor definitions — single source of truth</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4.2 Key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V1 / V2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score for lat/lon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/score/batch</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Score a list of locations</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V1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spatial data for bounding box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 stub → V2</w:t>
            </w:r>
          </w:p>
        </w:tc>
      </w:tr>
      <w:tr>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/sync/evse</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Delta EVSE updates since timestamp</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V2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/sync/census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census updates since 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r>
      <w:tr>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/scoring-config</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Serve scoring weights to client</w:t>
            </w:r>
          </w:p>
        </w:tc>
        <w:tc>
          <w:tcPr>
            <w:tcW w:type="dxa" w:w="234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V1</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4.3 External Data Sources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NREL AFDC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charging station locations, levels, connectors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API key, well-documented</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US Census ACS</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Income, housing type, renter/owner ratio by tract</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Public, no key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OpenStreetMap (Overpass / OSMnx)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Street network, transit stops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excellent for Atlanta network analysis</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Nominatim</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Address geocoding</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Free, no key required for prototype</w:t>
            </w:r>
          </w:p>
        </w:tc>
      </w:tr>
    </w:tbl>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5. Frontend Architecture</w:t>
      </w:r>
    </w:p>
    <w:p>
      <w:pPr>
        <w:spacing w:before="120" w:after="0"/>
      </w:pPr>
      <w:r>
        <w:t xml:space="preserve"/>
      </w:r>
    </w:p>
    <w:p>
      <w:pPr>
        <w:pStyle w:val="Heading2"/>
        <w:spacing w:before="240" w:after="120"/>
      </w:pPr>
      <w:r>
        <w:rPr>
          <w:rFonts w:ascii="Arial" w:cs="Arial" w:eastAsia="Arial" w:hAnsi="Arial"/>
          <w:b/>
          <w:bCs/>
          <w:color w:val="2D6A4F"/>
          <w:sz w:val="26"/>
          <w:szCs w:val="26"/>
        </w:rPr>
        <w:t xml:space="preserve">5.1 Directory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Auto-generated TypeScript API client from FastAPI OpenAPI 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repositories/evseRepository.ts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 abstraction — V1 wraps API client, V2 wraps Dexie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repositories/syncRepository.ts</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Sync metadata (last_synced timestamps) — stubbed 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repositories/db.ts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 database schema definition (V2)</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services/scoringService.ts</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TypeScript mirror of Python scoring functions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services/syncManager.ts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Orchestrates background sync on app open / network restore (V2)</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hooks/useReadinessScore.ts</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React Query hook wrapping repository calls + loading state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components/MapView.tsx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map view — Mapbox GL or Leaflet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components/ScoreCard.tsx</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Score display with component breakdown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components/SearchBar.tsx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 input with geocoding</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sz w:val="20"/>
                <w:szCs w:val="20"/>
              </w:rPr>
              <w:t xml:space="preserve">sw.ts</w:t>
            </w:r>
          </w:p>
        </w:tc>
        <w:tc>
          <w:tcPr>
            <w:tcW w:type="dxa" w:w="63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sz w:val="20"/>
                <w:szCs w:val="20"/>
              </w:rPr>
              <w:t xml:space="preserve">Service Worker entry point using Workbox (V2)</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5.2 The Repository Pattern</w:t>
      </w:r>
    </w:p>
    <w:p>
      <w:pPr>
        <w:spacing w:before="60" w:after="60"/>
      </w:pPr>
      <w:r>
        <w:rPr>
          <w:rFonts w:ascii="Arial" w:cs="Arial" w:eastAsia="Arial" w:hAnsi="Arial"/>
          <w:color w:val="1B1B1B"/>
          <w:sz w:val="22"/>
          <w:szCs w:val="22"/>
        </w:rPr>
        <w:t xml:space="preserve">All data access in components and hooks must go through a repository. Components and hooks never call the generated API client directly. This single rule is what enables V2's swap from network to local store without touching UI code.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4"/>
              <w:left w:val="thick" w:color="2D6A4F" w:sz="12"/>
              <w:bottom w:val="single" w:color="52B788" w:sz="4"/>
              <w:right w:val="single" w:color="52B788" w:sz="4"/>
            </w:tcBorders>
            <w:shd w:fill="D8F3DC" w:val="clear"/>
            <w:tcMar>
              <w:top w:type="dxa" w:w="100"/>
              <w:left w:type="dxa" w:w="180"/>
              <w:bottom w:type="dxa" w:w="100"/>
              <w:right w:type="dxa" w:w="180"/>
            </w:tcMar>
          </w:tcPr>
          <w:p>
            <w:r>
              <w:rPr>
                <w:rFonts w:ascii="Arial" w:cs="Arial" w:eastAsia="Arial" w:hAnsi="Arial"/>
                <w:b/>
                <w:bCs/>
                <w:color w:val="2D6A4F"/>
                <w:sz w:val="20"/>
                <w:szCs w:val="20"/>
              </w:rPr>
              <w:t xml:space="preserve">V1 → V2 Transition Rule</w:t>
            </w:r>
          </w:p>
          <w:p>
            <w:r>
              <w:rPr>
                <w:rFonts w:ascii="Arial" w:cs="Arial" w:eastAsia="Arial" w:hAnsi="Arial"/>
                <w:color w:val="1B1B1B"/>
                <w:sz w:val="20"/>
                <w:szCs w:val="20"/>
              </w:rPr>
              <w:t xml:space="preserve">When V2 adds Dexie, only the internals of each repository change. The public interface (method names, parameters, return types) stays identical. Every hook and component continues to work unchanged.</w:t>
            </w:r>
          </w:p>
        </w:tc>
      </w:tr>
    </w:tbl>
    <w:p>
      <w:pPr>
        <w:spacing w:before="200" w:after="0"/>
      </w:pPr>
      <w:r>
        <w:t xml:space="preserve"/>
      </w:r>
    </w:p>
    <w:p>
      <w:pPr>
        <w:pStyle w:val="Heading2"/>
        <w:spacing w:before="240" w:after="120"/>
      </w:pPr>
      <w:r>
        <w:rPr>
          <w:rFonts w:ascii="Arial" w:cs="Arial" w:eastAsia="Arial" w:hAnsi="Arial"/>
          <w:b/>
          <w:bCs/>
          <w:color w:val="2D6A4F"/>
          <w:sz w:val="26"/>
          <w:szCs w:val="26"/>
        </w:rPr>
        <w:t xml:space="preserve">5.3 Scoring Config Sync</w:t>
      </w:r>
    </w:p>
    <w:p>
      <w:pPr>
        <w:spacing w:before="60" w:after="60"/>
      </w:pPr>
      <w:r>
        <w:rPr>
          <w:rFonts w:ascii="Arial" w:cs="Arial" w:eastAsia="Arial" w:hAnsi="Arial"/>
          <w:color w:val="1B1B1B"/>
          <w:sz w:val="22"/>
          <w:szCs w:val="22"/>
        </w:rPr>
        <w:t xml:space="preserve">The frontend fetches scoring_config.json from the /scoring-config endpoint on app open and caches it locally. Both the Python scoring functions and the TypeScript scoring service consume this same config, ensuring weight changes are reflected consistently on both sides.</w:t>
      </w:r>
    </w:p>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6. V1 vs V2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V1 — Online-First</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V2 — Local-First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calls on every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 IndexedDB cache, synced in background</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Scoring location</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Backend only</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Both backend (canonical) and client (interactive)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offline for home radius data</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Geocoding</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Nominatim on every search</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Nominatim on first search, cached after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sync via /sync endpoints + Service Worker</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Sync metadata</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Stubbed (no-op)</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Dexie-backed last_synced timestamps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is only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canonical, client mirrors via shared config</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Map rendering</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Per-request score pins</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Choropleth layers from pre-scored tract cache</w:t>
            </w:r>
          </w:p>
        </w:tc>
      </w:tr>
    </w:tbl>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7. Foundation Rules for V1</w:t>
      </w:r>
    </w:p>
    <w:p>
      <w:pPr>
        <w:spacing w:before="60" w:after="60"/>
      </w:pPr>
      <w:r>
        <w:rPr>
          <w:rFonts w:ascii="Arial" w:cs="Arial" w:eastAsia="Arial" w:hAnsi="Arial"/>
          <w:color w:val="1B1B1B"/>
          <w:sz w:val="22"/>
          <w:szCs w:val="22"/>
        </w:rPr>
        <w:t xml:space="preserve">These three decisions in V1 determine whether V2 is an expansion or a rewrite. No other architectural choices matter as much.</w:t>
      </w:r>
    </w:p>
    <w:p>
      <w:pPr>
        <w:spacing w:before="100" w:after="0"/>
      </w:pPr>
      <w:r>
        <w:t xml:space="preserve"/>
      </w:r>
    </w:p>
    <w:p>
      <w:pPr>
        <w:spacing w:before="180" w:after="80"/>
      </w:pPr>
      <w:r>
        <w:rPr>
          <w:rFonts w:ascii="Arial" w:cs="Arial" w:eastAsia="Arial" w:hAnsi="Arial"/>
          <w:b/>
          <w:bCs/>
          <w:color w:val="1B1B1B"/>
          <w:sz w:val="22"/>
          <w:szCs w:val="22"/>
        </w:rPr>
        <w:t xml:space="preserve">Rule 1 — Repository Pattern</w:t>
      </w:r>
    </w:p>
    <w:p>
      <w:pPr>
        <w:spacing w:before="60" w:after="60"/>
      </w:pPr>
      <w:r>
        <w:rPr>
          <w:rFonts w:ascii="Arial" w:cs="Arial" w:eastAsia="Arial" w:hAnsi="Arial"/>
          <w:color w:val="1B1B1B"/>
          <w:sz w:val="22"/>
          <w:szCs w:val="22"/>
        </w:rPr>
        <w:t xml:space="preserve">All data access goes through a repository. No component or hook directly calls the API client. The repository interface is stable; the implementation behind it can change.</w:t>
      </w:r>
    </w:p>
    <w:p>
      <w:pPr>
        <w:spacing w:before="80" w:after="0"/>
      </w:pPr>
      <w:r>
        <w:t xml:space="preserve"/>
      </w:r>
    </w:p>
    <w:p>
      <w:pPr>
        <w:spacing w:before="180" w:after="80"/>
      </w:pPr>
      <w:r>
        <w:rPr>
          <w:rFonts w:ascii="Arial" w:cs="Arial" w:eastAsia="Arial" w:hAnsi="Arial"/>
          <w:b/>
          <w:bCs/>
          <w:color w:val="1B1B1B"/>
          <w:sz w:val="22"/>
          <w:szCs w:val="22"/>
        </w:rPr>
        <w:t xml:space="preserve">Rule 2 — Pure Scoring Functions</w:t>
      </w:r>
    </w:p>
    <w:p>
      <w:pPr>
        <w:spacing w:before="60" w:after="60"/>
      </w:pPr>
      <w:r>
        <w:rPr>
          <w:rFonts w:ascii="Arial" w:cs="Arial" w:eastAsia="Arial" w:hAnsi="Arial"/>
          <w:color w:val="1B1B1B"/>
          <w:sz w:val="22"/>
          <w:szCs w:val="22"/>
        </w:rPr>
        <w:t xml:space="preserve">Scoring logic accepts data as plain arguments and returns a score. It performs no I/O. This makes it portable to the client in V2 and trivially testable in isolation.</w:t>
      </w:r>
    </w:p>
    <w:p>
      <w:pPr>
        <w:spacing w:before="80" w:after="0"/>
      </w:pPr>
      <w:r>
        <w:t xml:space="preserve"/>
      </w:r>
    </w:p>
    <w:p>
      <w:pPr>
        <w:spacing w:before="180" w:after="80"/>
      </w:pPr>
      <w:r>
        <w:rPr>
          <w:rFonts w:ascii="Arial" w:cs="Arial" w:eastAsia="Arial" w:hAnsi="Arial"/>
          <w:b/>
          <w:bCs/>
          <w:color w:val="1B1B1B"/>
          <w:sz w:val="22"/>
          <w:szCs w:val="22"/>
        </w:rPr>
        <w:t xml:space="preserve">Rule 3 — Stub the Sync Interfaces</w:t>
      </w:r>
    </w:p>
    <w:p>
      <w:pPr>
        <w:spacing w:before="60" w:after="60"/>
      </w:pPr>
      <w:r>
        <w:rPr>
          <w:rFonts w:ascii="Arial" w:cs="Arial" w:eastAsia="Arial" w:hAnsi="Arial"/>
          <w:color w:val="1B1B1B"/>
          <w:sz w:val="22"/>
          <w:szCs w:val="22"/>
        </w:rPr>
        <w:t xml:space="preserve">syncRepository exists in V1 but all methods are no-ops. The shape is defined now so V2 fills it in rather than introduces it. No V1 code assumes these return null forever.</w:t>
      </w:r>
    </w:p>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8. Open Questions &amp; Future Considerations</w:t>
      </w:r>
    </w:p>
    <w:p>
      <w:pPr>
        <w:spacing w:before="80" w:after="0"/>
      </w:pPr>
      <w:r>
        <w:t xml:space="preserve"/>
      </w:r>
    </w:p>
    <w:p>
      <w:pPr>
        <w:pStyle w:val="ListParagraph"/>
        <w:numPr>
          <w:ilvl w:val="0"/>
          <w:numId w:val="2"/>
        </w:numPr>
        <w:spacing w:before="40" w:after="40"/>
      </w:pPr>
      <w:r>
        <w:rPr>
          <w:rFonts w:ascii="Arial" w:cs="Arial" w:eastAsia="Arial" w:hAnsi="Arial"/>
          <w:color w:val="1B1B1B"/>
          <w:sz w:val="22"/>
          <w:szCs w:val="22"/>
        </w:rPr>
        <w:t xml:space="preserve">Authentication — does the app have user accounts? Affects caching strategy and personalized home location storage.</w:t>
      </w:r>
    </w:p>
    <w:p>
      <w:pPr>
        <w:pStyle w:val="ListParagraph"/>
        <w:numPr>
          <w:ilvl w:val="0"/>
          <w:numId w:val="2"/>
        </w:numPr>
        <w:spacing w:before="40" w:after="40"/>
      </w:pPr>
      <w:r>
        <w:rPr>
          <w:rFonts w:ascii="Arial" w:cs="Arial" w:eastAsia="Arial" w:hAnsi="Arial"/>
          <w:color w:val="1B1B1B"/>
          <w:sz w:val="22"/>
          <w:szCs w:val="22"/>
        </w:rPr>
        <w:t xml:space="preserve">Choropleth layer — pre-compute scores for all Atlanta census tracts server-side and serve as a GeoJSON layer, or compute on demand?</w:t>
      </w:r>
    </w:p>
    <w:p>
      <w:pPr>
        <w:pStyle w:val="ListParagraph"/>
        <w:numPr>
          <w:ilvl w:val="0"/>
          <w:numId w:val="2"/>
        </w:numPr>
        <w:spacing w:before="40" w:after="40"/>
      </w:pPr>
      <w:r>
        <w:rPr>
          <w:rFonts w:ascii="Arial" w:cs="Arial" w:eastAsia="Arial" w:hAnsi="Arial"/>
          <w:color w:val="1B1B1B"/>
          <w:sz w:val="22"/>
          <w:szCs w:val="22"/>
        </w:rPr>
        <w:t xml:space="preserve">Score versioning — when weights change, how are cached scores invalidated on the client?</w:t>
      </w:r>
    </w:p>
    <w:p>
      <w:pPr>
        <w:pStyle w:val="ListParagraph"/>
        <w:numPr>
          <w:ilvl w:val="0"/>
          <w:numId w:val="2"/>
        </w:numPr>
        <w:spacing w:before="40" w:after="40"/>
      </w:pPr>
      <w:r>
        <w:rPr>
          <w:rFonts w:ascii="Arial" w:cs="Arial" w:eastAsia="Arial" w:hAnsi="Arial"/>
          <w:color w:val="1B1B1B"/>
          <w:sz w:val="22"/>
          <w:szCs w:val="22"/>
        </w:rPr>
        <w:t xml:space="preserve">User-contributed data — if residents can report charger issues, CRDT-based sync (Automerge) becomes relevant for conflict resolution.</w:t>
      </w:r>
    </w:p>
    <w:p>
      <w:pPr>
        <w:pStyle w:val="ListParagraph"/>
        <w:numPr>
          <w:ilvl w:val="0"/>
          <w:numId w:val="2"/>
        </w:numPr>
        <w:spacing w:before="40" w:after="40"/>
      </w:pPr>
      <w:r>
        <w:rPr>
          <w:rFonts w:ascii="Arial" w:cs="Arial" w:eastAsia="Arial" w:hAnsi="Arial"/>
          <w:color w:val="1B1B1B"/>
          <w:sz w:val="22"/>
          <w:szCs w:val="22"/>
        </w:rPr>
        <w:t xml:space="preserve">Mobile — PWA or native app? Service Worker approach in V2 is PWA-compatible.</w:t>
      </w:r>
    </w:p>
    <w:p>
      <w:pPr>
        <w:pStyle w:val="ListParagraph"/>
        <w:numPr>
          <w:ilvl w:val="0"/>
          <w:numId w:val="2"/>
        </w:numPr>
        <w:spacing w:before="40" w:after="40"/>
      </w:pPr>
      <w:r>
        <w:rPr>
          <w:rFonts w:ascii="Arial" w:cs="Arial" w:eastAsia="Arial" w:hAnsi="Arial"/>
          <w:color w:val="1B1B1B"/>
          <w:sz w:val="22"/>
          <w:szCs w:val="22"/>
        </w:rPr>
        <w:t xml:space="preserve">Batch processing — server-side pipeline to pre-score geographies for the choropleth map view, separate from the interactive scoring API.</w:t>
      </w:r>
    </w:p>
    <w:p>
      <w:pPr>
        <w:pStyle w:val="ListParagraph"/>
        <w:numPr>
          <w:ilvl w:val="0"/>
          <w:numId w:val="2"/>
        </w:numPr>
        <w:spacing w:before="40" w:after="40"/>
      </w:pPr>
      <w:r>
        <w:rPr>
          <w:rFonts w:ascii="Arial" w:cs="Arial" w:eastAsia="Arial" w:hAnsi="Arial"/>
          <w:color w:val="1B1B1B"/>
          <w:sz w:val="22"/>
          <w:szCs w:val="22"/>
        </w:rPr>
        <w:t xml:space="preserve">Transit data — GTFS feed integration for real frequency/reliability data vs. OSM stop proximity as a proxy.</w:t>
      </w:r>
    </w:p>
    <w:p>
      <w:pPr>
        <w:spacing w:before="200" w:after="0"/>
      </w:pPr>
      <w:r>
        <w:t xml:space="preserve"/>
      </w:r>
    </w:p>
    <w:p>
      <w:pPr>
        <w:pBdr>
          <w:bottom w:val="single" w:color="52B788" w:sz="4" w:space="1"/>
        </w:pBdr>
        <w:spacing w:before="160" w:after="160"/>
      </w:pPr>
      <w:r>
        <w:t xml:space="preserve"/>
      </w:r>
    </w:p>
    <w:p>
      <w:pPr>
        <w:pStyle w:val="Heading1"/>
        <w:spacing w:before="320" w:after="160"/>
      </w:pPr>
      <w:r>
        <w:rPr>
          <w:rFonts w:ascii="Arial" w:cs="Arial" w:eastAsia="Arial" w:hAnsi="Arial"/>
          <w:b/>
          <w:bCs/>
          <w:color w:val="2D6A4F"/>
          <w:sz w:val="32"/>
          <w:szCs w:val="32"/>
        </w:rPr>
        <w:t xml:space="preserve">9. Technology Stack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routing, OpenAPI generation, async support</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Data validation</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Pydantic</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Request/response schemas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GeoPandas, Shapely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Radius queries, spatial joins, geometry ops</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HTTP client (backend)</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httpx</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Async calls to AFDC, Census, OSM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layer</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API client</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Hey API / openapi-ts</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Auto-generated typed client from OpenAPI spec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 data fetching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TanStack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Loading, caching, error state for async data</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Map</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Mapbox GL JS / react-map-gl</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Interactive map rendering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store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Dexie.js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IndexedDB wrapper for client-side spatial cache</w:t>
            </w:r>
          </w:p>
        </w:tc>
      </w:tr>
      <w:tr>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Service Worker (V2)</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Workbox</w:t>
            </w:r>
          </w:p>
        </w:tc>
        <w:tc>
          <w:tcPr>
            <w:tcW w:type="dxa" w:w="312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sz w:val="20"/>
                <w:szCs w:val="20"/>
              </w:rPr>
              <w:t xml:space="preserve">Background sync, offline cache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component styling</w:t>
            </w:r>
          </w:p>
        </w:tc>
      </w:tr>
    </w:tbl>
    <w:p>
      <w:pPr>
        <w:spacing w:before="300" w:after="0"/>
      </w:pPr>
      <w:r>
        <w:t xml:space="preserve"/>
      </w:r>
    </w:p>
    <w:p>
      <w:pPr>
        <w:spacing w:before="200" w:after="0"/>
        <w:jc w:val="center"/>
      </w:pPr>
      <w:r>
        <w:rPr>
          <w:rFonts w:ascii="Arial" w:cs="Arial" w:eastAsia="Arial" w:hAnsi="Arial"/>
          <w:i/>
          <w:iCs/>
          <w:color w:val="555555"/>
          <w:sz w:val="18"/>
          <w:szCs w:val="18"/>
        </w:rPr>
        <w:t xml:space="preserve">End of Specification — v0.1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6A4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2026-02-18T18:05:35.511Z</dcterms:created>
  <dcterms:modified xsi:type="dcterms:W3CDTF">2026-02-18T18:05:35.512Z</dcterms:modified>
</cp:coreProperties>
</file>

<file path=docProps/custom.xml><?xml version="1.0" encoding="utf-8"?>
<Properties xmlns="http://schemas.openxmlformats.org/officeDocument/2006/custom-properties" xmlns:vt="http://schemas.openxmlformats.org/officeDocument/2006/docPropsVTypes"/>
</file>