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76" w:lineRule="auto"/>
      </w:pPr>
      <w:r>
        <w:rPr>
          <w:rFonts w:ascii="Calibri" w:cs="Calibri" w:eastAsia="Calibri" w:hAnsi="Calibri"/>
          <w:b/>
          <w:bCs/>
          <w:color w:val="1a1a2e"/>
          <w:sz w:val="48"/>
          <w:szCs w:val="48"/>
        </w:rPr>
        <w:t xml:space="preserve">BLOOM OS</w:t>
      </w:r>
    </w:p>
    <w:p>
      <w:pPr>
        <w:spacing w:after="40" w:before="0" w:line="276" w:lineRule="auto"/>
      </w:pPr>
      <w:r>
        <w:rPr>
          <w:rFonts w:ascii="Calibri" w:cs="Calibri" w:eastAsia="Calibri" w:hAnsi="Calibri"/>
          <w:b w:val="false"/>
          <w:bCs w:val="false"/>
          <w:color w:val="c8503a"/>
          <w:sz w:val="23"/>
          <w:szCs w:val="23"/>
        </w:rPr>
        <w:t xml:space="preserve">A production business operations platform, built solo in five months</w:t>
      </w:r>
    </w:p>
    <w:p>
      <w:pPr>
        <w:spacing w:after="60" w:before="0" w:line="276" w:lineRule="auto"/>
      </w:pPr>
      <w:r>
        <w:rPr>
          <w:rFonts w:ascii="Calibri" w:cs="Calibri" w:eastAsia="Calibri" w:hAnsi="Calibri"/>
          <w:b w:val="false"/>
          <w:bCs w:val="false"/>
          <w:color w:val="888888"/>
          <w:sz w:val="17"/>
          <w:szCs w:val="17"/>
        </w:rPr>
        <w:t xml:space="preserve">Case Study  ·  John Rodgerson D. Bilan  ·  bilanj159@gmail.com  ·  github.com/jae-wya</w:t>
      </w:r>
    </w:p>
    <w:p>
      <w:pPr>
        <w:pBdr>
          <w:bottom w:val="single" w:color="c8503a" w:sz="6"/>
        </w:pBdr>
        <w:spacing w:after="60" w:before="60" w:line="276" w:lineRule="auto"/>
      </w:pPr>
    </w:p>
    <w:tbl>
      <w:tblPr>
        <w:tblW w:type="dxa" w:w="9000"/>
        <w:tblBorders>
          <w:top w:val="none" w:sz="0"/>
          <w:left w:val="none" w:sz="0"/>
          <w:bottom w:val="none" w:sz="0"/>
          <w:right w:val="none" w:sz="0"/>
          <w:insideH w:val="none" w:sz="0"/>
          <w:insideV w:val="none" w:sz="0"/>
        </w:tblBorders>
      </w:tblPr>
      <w:tblGrid>
        <w:gridCol w:w="2250"/>
        <w:gridCol w:w="2250"/>
        <w:gridCol w:w="2250"/>
        <w:gridCol w:w="2250"/>
      </w:tblGrid>
      <w:tr>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18+</w:t>
            </w:r>
          </w:p>
          <w:p>
            <w:pPr>
              <w:spacing w:after="0" w:before="0" w:line="276" w:lineRule="auto"/>
            </w:pPr>
            <w:r>
              <w:rPr>
                <w:rFonts w:ascii="Calibri" w:cs="Calibri" w:eastAsia="Calibri" w:hAnsi="Calibri"/>
                <w:b w:val="false"/>
                <w:bCs w:val="false"/>
                <w:color w:val="5a5a5a"/>
                <w:sz w:val="16"/>
                <w:szCs w:val="16"/>
              </w:rPr>
              <w:t xml:space="preserve">MODULES IN PRODUCTION</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3</w:t>
            </w:r>
          </w:p>
          <w:p>
            <w:pPr>
              <w:spacing w:after="0" w:before="0" w:line="276" w:lineRule="auto"/>
            </w:pPr>
            <w:r>
              <w:rPr>
                <w:rFonts w:ascii="Calibri" w:cs="Calibri" w:eastAsia="Calibri" w:hAnsi="Calibri"/>
                <w:b w:val="false"/>
                <w:bCs w:val="false"/>
                <w:color w:val="5a5a5a"/>
                <w:sz w:val="16"/>
                <w:szCs w:val="16"/>
              </w:rPr>
              <w:t xml:space="preserve">BRANCHES RUNNING DAILY</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₱0</w:t>
            </w:r>
          </w:p>
          <w:p>
            <w:pPr>
              <w:spacing w:after="0" w:before="0" w:line="276" w:lineRule="auto"/>
            </w:pPr>
            <w:r>
              <w:rPr>
                <w:rFonts w:ascii="Calibri" w:cs="Calibri" w:eastAsia="Calibri" w:hAnsi="Calibri"/>
                <w:b w:val="false"/>
                <w:bCs w:val="false"/>
                <w:color w:val="5a5a5a"/>
                <w:sz w:val="16"/>
                <w:szCs w:val="16"/>
              </w:rPr>
              <w:t xml:space="preserve">MONTHLY INFRASTRUCTURE</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5 mo</w:t>
            </w:r>
          </w:p>
          <w:p>
            <w:pPr>
              <w:spacing w:after="0" w:before="0" w:line="276" w:lineRule="auto"/>
            </w:pPr>
            <w:r>
              <w:rPr>
                <w:rFonts w:ascii="Calibri" w:cs="Calibri" w:eastAsia="Calibri" w:hAnsi="Calibri"/>
                <w:b w:val="false"/>
                <w:bCs w:val="false"/>
                <w:color w:val="5a5a5a"/>
                <w:sz w:val="16"/>
                <w:szCs w:val="16"/>
              </w:rPr>
              <w:t xml:space="preserve">SOLO BUILD TO LAUNCH</w:t>
            </w:r>
          </w:p>
        </w:tc>
      </w:tr>
    </w:tbl>
    <w:p>
      <w:pPr>
        <w:spacing w:after="60" w:before="200" w:line="276" w:lineRule="auto"/>
      </w:pPr>
      <w:r>
        <w:rPr>
          <w:rFonts w:ascii="Calibri" w:cs="Calibri" w:eastAsia="Calibri" w:hAnsi="Calibri"/>
          <w:b/>
          <w:bCs/>
          <w:color w:val="1a1a2e"/>
          <w:sz w:val="28"/>
          <w:szCs w:val="28"/>
        </w:rPr>
        <w:t xml:space="preserve">The problem</w:t>
      </w:r>
    </w:p>
    <w:p>
      <w:pPr>
        <w:spacing w:after="30" w:before="30" w:line="276" w:lineRule="auto"/>
      </w:pPr>
      <w:r>
        <w:rPr>
          <w:rFonts w:ascii="Calibri" w:cs="Calibri" w:eastAsia="Calibri" w:hAnsi="Calibri"/>
          <w:b w:val="false"/>
          <w:bCs w:val="false"/>
          <w:color w:val="1a1a2e"/>
          <w:sz w:val="20"/>
          <w:szCs w:val="20"/>
        </w:rPr>
        <w:t xml:space="preserve">Angie's Florist runs three physical branches and two online sales channels across the Laguna–Quezon–Batangas corridor. Before June 2026, the entire operation ran on paper notebooks, Facebook Messenger threads, and disconnected spreadsheets.</w:t>
      </w:r>
    </w:p>
    <w:p>
      <w:pPr>
        <w:spacing w:after="30" w:before="30" w:line="276" w:lineRule="auto"/>
      </w:pPr>
      <w:r>
        <w:rPr>
          <w:rFonts w:ascii="Calibri" w:cs="Calibri" w:eastAsia="Calibri" w:hAnsi="Calibri"/>
          <w:b w:val="false"/>
          <w:bCs w:val="false"/>
          <w:color w:val="1a1a2e"/>
          <w:sz w:val="20"/>
          <w:szCs w:val="20"/>
        </w:rPr>
        <w:t xml:space="preserve">The concrete failures were predictable and expensive. Orders taken over Messenger were transcribed by hand into notebooks, then re-typed into spreadsheets — three chances to introduce an error before a florist ever saw the arrangement. Inventory existed only as a physical count someone remembered to do. No branch could see another branch's workload. Riders received addresses as forwarded chat messages. Nobody could answer "how much did we make last week" without an hour of manual reconciliation.</w:t>
      </w:r>
    </w:p>
    <w:p>
      <w:pPr>
        <w:spacing w:after="30" w:before="30" w:line="276" w:lineRule="auto"/>
      </w:pPr>
      <w:r>
        <w:rPr>
          <w:rFonts w:ascii="Calibri" w:cs="Calibri" w:eastAsia="Calibri" w:hAnsi="Calibri"/>
          <w:b w:val="false"/>
          <w:bCs w:val="false"/>
          <w:color w:val="1a1a2e"/>
          <w:sz w:val="20"/>
          <w:szCs w:val="20"/>
        </w:rPr>
        <w:t xml:space="preserve">The business needed a system. It had no budget for one, no IT staff, and no appetite for a six-month enterprise procurement cycle.</w:t>
      </w:r>
    </w:p>
    <w:p>
      <w:pPr>
        <w:spacing w:after="60" w:before="200" w:line="276" w:lineRule="auto"/>
      </w:pPr>
      <w:r>
        <w:rPr>
          <w:rFonts w:ascii="Calibri" w:cs="Calibri" w:eastAsia="Calibri" w:hAnsi="Calibri"/>
          <w:b/>
          <w:bCs/>
          <w:color w:val="1a1a2e"/>
          <w:sz w:val="28"/>
          <w:szCs w:val="28"/>
        </w:rPr>
        <w:t xml:space="preserve">The approach</w:t>
      </w:r>
    </w:p>
    <w:p>
      <w:pPr>
        <w:spacing w:after="30" w:before="30" w:line="276" w:lineRule="auto"/>
      </w:pPr>
      <w:r>
        <w:rPr>
          <w:rFonts w:ascii="Calibri" w:cs="Calibri" w:eastAsia="Calibri" w:hAnsi="Calibri"/>
          <w:b w:val="false"/>
          <w:bCs w:val="false"/>
          <w:color w:val="1a1a2e"/>
          <w:sz w:val="20"/>
          <w:szCs w:val="20"/>
        </w:rPr>
        <w:t xml:space="preserve">I designed and built Bloom OS as the sole developer between February and July 2026, deploying to production in mid-June. The constraint that shaped every decision was operational, not technical: the people using this system are florists, riders, and cashiers — not software users. If a screen required explanation, it was wrong.</w:t>
      </w:r>
    </w:p>
    <w:p>
      <w:pPr>
        <w:spacing w:after="30" w:before="30" w:line="276" w:lineRule="auto"/>
      </w:pPr>
      <w:r>
        <w:rPr>
          <w:rFonts w:ascii="Calibri" w:cs="Calibri" w:eastAsia="Calibri" w:hAnsi="Calibri"/>
          <w:b w:val="false"/>
          <w:bCs w:val="false"/>
          <w:color w:val="1a1a2e"/>
          <w:sz w:val="20"/>
          <w:szCs w:val="20"/>
        </w:rPr>
        <w:t xml:space="preserve">Three design principles followed from that:</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One screen, one job.  </w:t>
      </w:r>
      <w:r>
        <w:rPr>
          <w:rFonts w:ascii="Calibri" w:cs="Calibri" w:eastAsia="Calibri" w:hAnsi="Calibri"/>
          <w:b w:val="false"/>
          <w:bCs w:val="false"/>
          <w:color w:val="1a1a2e"/>
          <w:sz w:val="20"/>
          <w:szCs w:val="20"/>
        </w:rPr>
        <w:t xml:space="preserve">Every workflow that existed on paper had to map to a single screen. No multi-step wizards, no navigating between modules to complete one task.</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Paste, don't retype.  </w:t>
      </w:r>
      <w:r>
        <w:rPr>
          <w:rFonts w:ascii="Calibri" w:cs="Calibri" w:eastAsia="Calibri" w:hAnsi="Calibri"/>
          <w:b w:val="false"/>
          <w:bCs w:val="false"/>
          <w:color w:val="1a1a2e"/>
          <w:sz w:val="20"/>
          <w:szCs w:val="20"/>
        </w:rPr>
        <w:t xml:space="preserve">Staff copy customer messages straight from Messenger and paste them into the order form. A parser extracts recipient, address, delivery window, card message, and pricing automatically. Manual encoding became a correction step rather than a transcription step.</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Show only what the role needs.  </w:t>
      </w:r>
      <w:r>
        <w:rPr>
          <w:rFonts w:ascii="Calibri" w:cs="Calibri" w:eastAsia="Calibri" w:hAnsi="Calibri"/>
          <w:b w:val="false"/>
          <w:bCs w:val="false"/>
          <w:color w:val="1a1a2e"/>
          <w:sz w:val="20"/>
          <w:szCs w:val="20"/>
        </w:rPr>
        <w:t xml:space="preserve">A florist opening the board sees only what they need to arrange. A rider sees only deliveries. Management sees everything. Role-based access is enforced at the data layer, not hidden in the UI.</w:t>
      </w:r>
    </w:p>
    <w:p>
      <w:pPr>
        <w:spacing w:after="60" w:before="200" w:line="276" w:lineRule="auto"/>
      </w:pPr>
      <w:r>
        <w:rPr>
          <w:rFonts w:ascii="Calibri" w:cs="Calibri" w:eastAsia="Calibri" w:hAnsi="Calibri"/>
          <w:b/>
          <w:bCs/>
          <w:color w:val="1a1a2e"/>
          <w:sz w:val="28"/>
          <w:szCs w:val="28"/>
        </w:rPr>
        <w:t xml:space="preserve">Architecture</w:t>
      </w:r>
    </w:p>
    <w:p>
      <w:pPr>
        <w:spacing w:after="30" w:before="30" w:line="276" w:lineRule="auto"/>
      </w:pPr>
      <w:r>
        <w:rPr>
          <w:rFonts w:ascii="Calibri" w:cs="Calibri" w:eastAsia="Calibri" w:hAnsi="Calibri"/>
          <w:b w:val="false"/>
          <w:bCs w:val="false"/>
          <w:color w:val="1a1a2e"/>
          <w:sz w:val="20"/>
          <w:szCs w:val="20"/>
        </w:rPr>
        <w:t xml:space="preserve">The stack was chosen for a specific reason: it had to cost nothing to run and had to be maintainable by one person alongside three other job functions.</w:t>
      </w:r>
    </w:p>
    <w:tbl>
      <w:tblPr>
        <w:tblW w:type="dxa" w:w="9000"/>
        <w:tblBorders>
          <w:top w:val="single" w:color="dddddd" w:sz="2"/>
          <w:left w:val="none" w:sz="0"/>
          <w:bottom w:val="single" w:color="dddddd" w:sz="2"/>
          <w:right w:val="none" w:sz="0"/>
          <w:insideH w:val="single" w:color="eeeeee" w:sz="2"/>
          <w:insideV w:val="none" w:sz="0"/>
        </w:tblBorders>
      </w:tblPr>
      <w:tblGrid>
        <w:gridCol w:w="2300"/>
        <w:gridCol w:w="6700"/>
      </w:tblGrid>
      <w:tr>
        <w:tc>
          <w:tcPr>
            <w:tcW w:type="dxa" w:w="2300"/>
            <w:shd w:fill="f7f5f2" w:val="clear"/>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LAYER</w:t>
            </w:r>
          </w:p>
        </w:tc>
        <w:tc>
          <w:tcPr>
            <w:tcW w:type="dxa" w:w="6700"/>
            <w:shd w:fill="f7f5f2" w:val="clear"/>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IMPLEMENTATION</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Frontend</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Python · Streamlit — session-based navigation, role-scoped page access</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Database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Supabase (PostgreSQL) — 14 tables, row-level security enabled</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File storage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Supabase Storage — inspiration photos, payment proof, delivery proof</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Edge compute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Supabase Edge Functions (Deno/TypeScript) — public rider delivery page</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Authentication</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Custom PIN + SHA-256 hashing + session tokens — no email required</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Reporting</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Pandas · Matplotlib — in-app charts and CSV export</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Deployment</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GitHub → Streamlit Cloud — push to main is live in ~2 minutes</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Running cost</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₱0/month — entirely on free tiers</w:t>
            </w:r>
          </w:p>
        </w:tc>
      </w:tr>
    </w:tbl>
    <w:p>
      <w:pPr>
        <w:spacing w:after="60" w:before="200" w:line="276" w:lineRule="auto"/>
      </w:pPr>
      <w:r>
        <w:rPr>
          <w:rFonts w:ascii="Calibri" w:cs="Calibri" w:eastAsia="Calibri" w:hAnsi="Calibri"/>
          <w:b/>
          <w:bCs/>
          <w:color w:val="1a1a2e"/>
          <w:sz w:val="28"/>
          <w:szCs w:val="28"/>
        </w:rPr>
        <w:t xml:space="preserve">Engineering decisions that mattered</w:t>
      </w:r>
    </w:p>
    <w:p>
      <w:pPr>
        <w:spacing w:after="50" w:before="160" w:line="276" w:lineRule="auto"/>
      </w:pPr>
      <w:r>
        <w:rPr>
          <w:rFonts w:ascii="Calibri" w:cs="Calibri" w:eastAsia="Calibri" w:hAnsi="Calibri"/>
          <w:b/>
          <w:bCs/>
          <w:color w:val="c8503a"/>
          <w:sz w:val="21"/>
          <w:szCs w:val="21"/>
        </w:rPr>
        <w:t xml:space="preserve">PIN authentication instead of email/password</w:t>
      </w:r>
    </w:p>
    <w:p>
      <w:pPr>
        <w:spacing w:after="30" w:before="30" w:line="276" w:lineRule="auto"/>
      </w:pPr>
      <w:r>
        <w:rPr>
          <w:rFonts w:ascii="Calibri" w:cs="Calibri" w:eastAsia="Calibri" w:hAnsi="Calibri"/>
          <w:b w:val="false"/>
          <w:bCs w:val="false"/>
          <w:color w:val="1a1a2e"/>
          <w:sz w:val="20"/>
          <w:szCs w:val="20"/>
        </w:rPr>
        <w:t xml:space="preserve">Florists and riders share terminals and work with wet hands. Email logins would have been abandoned within a week. Authentication is a numeric PIN, hashed with SHA-256 and backed by server-side session tokens. Adoption was immediate because the interaction matched how the staff already thought about access.</w:t>
      </w:r>
    </w:p>
    <w:p>
      <w:pPr>
        <w:spacing w:after="50" w:before="160" w:line="276" w:lineRule="auto"/>
      </w:pPr>
      <w:r>
        <w:rPr>
          <w:rFonts w:ascii="Calibri" w:cs="Calibri" w:eastAsia="Calibri" w:hAnsi="Calibri"/>
          <w:b/>
          <w:bCs/>
          <w:color w:val="c8503a"/>
          <w:sz w:val="21"/>
          <w:szCs w:val="21"/>
        </w:rPr>
        <w:t xml:space="preserve">Storage moved off local disk</w:t>
      </w:r>
    </w:p>
    <w:p>
      <w:pPr>
        <w:spacing w:after="30" w:before="30" w:line="276" w:lineRule="auto"/>
      </w:pPr>
      <w:r>
        <w:rPr>
          <w:rFonts w:ascii="Calibri" w:cs="Calibri" w:eastAsia="Calibri" w:hAnsi="Calibri"/>
          <w:b w:val="false"/>
          <w:bCs w:val="false"/>
          <w:color w:val="1a1a2e"/>
          <w:sz w:val="20"/>
          <w:szCs w:val="20"/>
        </w:rPr>
        <w:t xml:space="preserve">Streamlit Community Cloud wipes the local filesystem on every restart. The first version stored uploaded photos locally and silently lost them. I migrated all uploads — inspiration photos, proof of payment, finished arrangements, proof of delivery — to a Supabase Storage bucket with public read policies. Files became permanent and accessible from any device, including riders' phones in the field.</w:t>
      </w:r>
    </w:p>
    <w:p>
      <w:pPr>
        <w:spacing w:after="50" w:before="160" w:line="276" w:lineRule="auto"/>
      </w:pPr>
      <w:r>
        <w:rPr>
          <w:rFonts w:ascii="Calibri" w:cs="Calibri" w:eastAsia="Calibri" w:hAnsi="Calibri"/>
          <w:b/>
          <w:bCs/>
          <w:color w:val="c8503a"/>
          <w:sz w:val="21"/>
          <w:szCs w:val="21"/>
        </w:rPr>
        <w:t xml:space="preserve">A caching layer with immediate write invalidation</w:t>
      </w:r>
    </w:p>
    <w:p>
      <w:pPr>
        <w:spacing w:after="30" w:before="30" w:line="276" w:lineRule="auto"/>
      </w:pPr>
      <w:r>
        <w:rPr>
          <w:rFonts w:ascii="Calibri" w:cs="Calibri" w:eastAsia="Calibri" w:hAnsi="Calibri"/>
          <w:b w:val="false"/>
          <w:bCs w:val="false"/>
          <w:color w:val="1a1a2e"/>
          <w:sz w:val="20"/>
          <w:szCs w:val="20"/>
        </w:rPr>
        <w:t xml:space="preserve">Every read operation is cached briefly with a version-keyed invalidation counter. Any write increments the counter, which forces the next read to miss cache. The result is that navigation feels instant while a user's own changes appear immediately — the failure mode that makes internal tools feel broken is seeing stale data after you just edited something.</w:t>
      </w:r>
    </w:p>
    <w:p>
      <w:pPr>
        <w:spacing w:after="50" w:before="160" w:line="276" w:lineRule="auto"/>
      </w:pPr>
      <w:r>
        <w:rPr>
          <w:rFonts w:ascii="Calibri" w:cs="Calibri" w:eastAsia="Calibri" w:hAnsi="Calibri"/>
          <w:b/>
          <w:bCs/>
          <w:color w:val="c8503a"/>
          <w:sz w:val="21"/>
          <w:szCs w:val="21"/>
        </w:rPr>
        <w:t xml:space="preserve">Pagination and indexing planned before they were needed</w:t>
      </w:r>
    </w:p>
    <w:p>
      <w:pPr>
        <w:spacing w:after="30" w:before="30" w:line="276" w:lineRule="auto"/>
      </w:pPr>
      <w:r>
        <w:rPr>
          <w:rFonts w:ascii="Calibri" w:cs="Calibri" w:eastAsia="Calibri" w:hAnsi="Calibri"/>
          <w:b w:val="false"/>
          <w:bCs w:val="false"/>
          <w:color w:val="1a1a2e"/>
          <w:sz w:val="20"/>
          <w:szCs w:val="20"/>
        </w:rPr>
        <w:t xml:space="preserve">At 500–1,000 orders per month, loading the full order history on every page render would degrade badly. All Orders defaults to a 60-day window and paginates at 25 records. Database indexes were added on status, branch, target date, customer contact, assigned florist, assigned rider, and creation time. This was built before the volume arrived rather than after it became a complaint.</w:t>
      </w:r>
    </w:p>
    <w:p>
      <w:pPr>
        <w:spacing w:after="50" w:before="160" w:line="276" w:lineRule="auto"/>
      </w:pPr>
      <w:r>
        <w:rPr>
          <w:rFonts w:ascii="Calibri" w:cs="Calibri" w:eastAsia="Calibri" w:hAnsi="Calibri"/>
          <w:b/>
          <w:bCs/>
          <w:color w:val="c8503a"/>
          <w:sz w:val="21"/>
          <w:szCs w:val="21"/>
        </w:rPr>
        <w:t xml:space="preserve">Printable waybills generated as self-contained HTML</w:t>
      </w:r>
    </w:p>
    <w:p>
      <w:pPr>
        <w:spacing w:after="30" w:before="30" w:line="276" w:lineRule="auto"/>
      </w:pPr>
      <w:r>
        <w:rPr>
          <w:rFonts w:ascii="Calibri" w:cs="Calibri" w:eastAsia="Calibri" w:hAnsi="Calibri"/>
          <w:b w:val="false"/>
          <w:bCs w:val="false"/>
          <w:color w:val="1a1a2e"/>
          <w:sz w:val="20"/>
          <w:szCs w:val="20"/>
        </w:rPr>
        <w:t xml:space="preserve">Each order produces an A5 waybill containing the arrangement spec, flower breakdown, delivery window, card message, recipient details, and a QR code linking to a rider-facing delivery page served by a Supabase Edge Function. The QR is rendered as inline SVG rather than a base64 image — browsers strip data-URI images during printing, which silently produced blank QR codes in the field until the root cause was traced.</w:t>
      </w:r>
    </w:p>
    <w:p>
      <w:pPr>
        <w:spacing w:after="50" w:before="160" w:line="276" w:lineRule="auto"/>
      </w:pPr>
      <w:r>
        <w:rPr>
          <w:rFonts w:ascii="Calibri" w:cs="Calibri" w:eastAsia="Calibri" w:hAnsi="Calibri"/>
          <w:b/>
          <w:bCs/>
          <w:color w:val="c8503a"/>
          <w:sz w:val="21"/>
          <w:szCs w:val="21"/>
        </w:rPr>
        <w:t xml:space="preserve">An order parser for unstructured customer input</w:t>
      </w:r>
    </w:p>
    <w:p>
      <w:pPr>
        <w:spacing w:after="30" w:before="30" w:line="276" w:lineRule="auto"/>
      </w:pPr>
      <w:r>
        <w:rPr>
          <w:rFonts w:ascii="Calibri" w:cs="Calibri" w:eastAsia="Calibri" w:hAnsi="Calibri"/>
          <w:b w:val="false"/>
          <w:bCs w:val="false"/>
          <w:color w:val="1a1a2e"/>
          <w:sz w:val="20"/>
          <w:szCs w:val="20"/>
        </w:rPr>
        <w:t xml:space="preserve">Customers send orders as free-form Messenger messages using an inconsistent template, mixing Tagalog and English, frequently skipping fields. The parser handles delivery and pick-up formats, extracts pricing and payment method from a details block, normalises Philippine phone number formats, maps addresses to delivery zones through an alias table, and reports which required fields are missing so staff know exactly what to follow up on.</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Results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Order intake, inventory, CRM, florist assignment, rider dispatch, HR, payroll, and financial reporting run in one system across all three branches. Notebooks and coordination spreadsheets were retired.</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Transcription is now a review step rather than a re-entry step. The parser produces a filled form; staff correct rather than type.</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Management can see branch-by-branch order volume, revenue, average order value, cancellations, failed deliveries, and waste cost side by side — previously impossible without manual consolidation.</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A restock forecast estimates daily usage per inventory item from the last 30 days of orders and flags anything projected to stock out within 14 days.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The dashboard produces a copy-paste daily and weekly recap formatted for the management group chat — order counts, revenue, top arrangement, rush orders, low-stock alerts.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The system has run continuously in production since June 2026 at zero infrastructure cost.</w:t>
      </w:r>
    </w:p>
    <w:p>
      <w:r>
        <w:br w:type="page"/>
      </w:r>
    </w:p>
    <w:p>
      <w:pPr>
        <w:spacing w:after="60" w:before="200" w:line="276" w:lineRule="auto"/>
      </w:pPr>
      <w:r>
        <w:rPr>
          <w:rFonts w:ascii="Calibri" w:cs="Calibri" w:eastAsia="Calibri" w:hAnsi="Calibri"/>
          <w:b/>
          <w:bCs/>
          <w:color w:val="1a1a2e"/>
          <w:sz w:val="28"/>
          <w:szCs w:val="28"/>
        </w:rPr>
        <w:t xml:space="preserve">The advertising side</w:t>
      </w:r>
    </w:p>
    <w:p>
      <w:pPr>
        <w:spacing w:after="30" w:before="30" w:line="276" w:lineRule="auto"/>
      </w:pPr>
      <w:r>
        <w:rPr>
          <w:rFonts w:ascii="Calibri" w:cs="Calibri" w:eastAsia="Calibri" w:hAnsi="Calibri"/>
          <w:b w:val="false"/>
          <w:bCs w:val="false"/>
          <w:color w:val="1a1a2e"/>
          <w:sz w:val="20"/>
          <w:szCs w:val="20"/>
        </w:rPr>
        <w:t xml:space="preserve">Alongside development, I run the company's entire Meta Ads operation across three branch accounts — campaign structure, creative direction, budget allocation, and performance analysis.</w:t>
      </w:r>
    </w:p>
    <w:tbl>
      <w:tblPr>
        <w:tblW w:type="dxa" w:w="9000"/>
        <w:tblBorders>
          <w:top w:val="none" w:sz="0"/>
          <w:left w:val="none" w:sz="0"/>
          <w:bottom w:val="none" w:sz="0"/>
          <w:right w:val="none" w:sz="0"/>
          <w:insideH w:val="none" w:sz="0"/>
          <w:insideV w:val="none" w:sz="0"/>
        </w:tblBorders>
      </w:tblPr>
      <w:tblGrid>
        <w:gridCol w:w="2250"/>
        <w:gridCol w:w="2250"/>
        <w:gridCol w:w="2250"/>
        <w:gridCol w:w="2250"/>
      </w:tblGrid>
      <w:tr>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8.72×</w:t>
            </w:r>
          </w:p>
          <w:p>
            <w:pPr>
              <w:spacing w:after="0" w:before="0" w:line="276" w:lineRule="auto"/>
            </w:pPr>
            <w:r>
              <w:rPr>
                <w:rFonts w:ascii="Calibri" w:cs="Calibri" w:eastAsia="Calibri" w:hAnsi="Calibri"/>
                <w:b w:val="false"/>
                <w:bCs w:val="false"/>
                <w:color w:val="5a5a5a"/>
                <w:sz w:val="16"/>
                <w:szCs w:val="16"/>
              </w:rPr>
              <w:t xml:space="preserve">BLENDED ROAS</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27.10×</w:t>
            </w:r>
          </w:p>
          <w:p>
            <w:pPr>
              <w:spacing w:after="0" w:before="0" w:line="276" w:lineRule="auto"/>
            </w:pPr>
            <w:r>
              <w:rPr>
                <w:rFonts w:ascii="Calibri" w:cs="Calibri" w:eastAsia="Calibri" w:hAnsi="Calibri"/>
                <w:b w:val="false"/>
                <w:bCs w:val="false"/>
                <w:color w:val="5a5a5a"/>
                <w:sz w:val="16"/>
                <w:szCs w:val="16"/>
              </w:rPr>
              <w:t xml:space="preserve">BEST CAMPAIGN</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₱67</w:t>
            </w:r>
          </w:p>
          <w:p>
            <w:pPr>
              <w:spacing w:after="0" w:before="0" w:line="276" w:lineRule="auto"/>
            </w:pPr>
            <w:r>
              <w:rPr>
                <w:rFonts w:ascii="Calibri" w:cs="Calibri" w:eastAsia="Calibri" w:hAnsi="Calibri"/>
                <w:b w:val="false"/>
                <w:bCs w:val="false"/>
                <w:color w:val="5a5a5a"/>
                <w:sz w:val="16"/>
                <w:szCs w:val="16"/>
              </w:rPr>
              <w:t xml:space="preserve">LOWEST CPA</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495,705</w:t>
            </w:r>
          </w:p>
          <w:p>
            <w:pPr>
              <w:spacing w:after="0" w:before="0" w:line="276" w:lineRule="auto"/>
            </w:pPr>
            <w:r>
              <w:rPr>
                <w:rFonts w:ascii="Calibri" w:cs="Calibri" w:eastAsia="Calibri" w:hAnsi="Calibri"/>
                <w:b w:val="false"/>
                <w:bCs w:val="false"/>
                <w:color w:val="5a5a5a"/>
                <w:sz w:val="16"/>
                <w:szCs w:val="16"/>
              </w:rPr>
              <w:t xml:space="preserve">ACCOUNTS REACHED</w:t>
            </w:r>
          </w:p>
        </w:tc>
      </w:tr>
    </w:tbl>
    <w:p>
      <w:pPr>
        <w:spacing w:after="30" w:before="30" w:line="276" w:lineRule="auto"/>
      </w:pPr>
      <w:r>
        <w:rPr>
          <w:rFonts w:ascii="Calibri" w:cs="Calibri" w:eastAsia="Calibri" w:hAnsi="Calibri"/>
          <w:b w:val="false"/>
          <w:bCs w:val="false"/>
          <w:color w:val="5a5a5a"/>
          <w:sz w:val="20"/>
          <w:szCs w:val="20"/>
        </w:rPr>
        <w:t xml:space="preserve">The blended return of 8.72× sits at 4.4× the 2.0× benchmark commonly cited for retail e-commerce. The 495,705 figure covers unique accounts reached across all branches within a 16-day campaign window.</w:t>
      </w:r>
    </w:p>
    <w:p>
      <w:pPr>
        <w:spacing w:after="50" w:before="160" w:line="276" w:lineRule="auto"/>
      </w:pPr>
      <w:r>
        <w:rPr>
          <w:rFonts w:ascii="Calibri" w:cs="Calibri" w:eastAsia="Calibri" w:hAnsi="Calibri"/>
          <w:b/>
          <w:bCs/>
          <w:color w:val="c8503a"/>
          <w:sz w:val="21"/>
          <w:szCs w:val="21"/>
        </w:rPr>
        <w:t xml:space="preserve">The attribution finding</w:t>
      </w:r>
    </w:p>
    <w:p>
      <w:pPr>
        <w:spacing w:after="30" w:before="30" w:line="276" w:lineRule="auto"/>
      </w:pPr>
      <w:r>
        <w:rPr>
          <w:rFonts w:ascii="Calibri" w:cs="Calibri" w:eastAsia="Calibri" w:hAnsi="Calibri"/>
          <w:b w:val="false"/>
          <w:bCs w:val="false"/>
          <w:color w:val="1a1a2e"/>
          <w:sz w:val="20"/>
          <w:szCs w:val="20"/>
        </w:rPr>
        <w:t xml:space="preserve">The more consequential result was analytical rather than operational. Because Bloom OS captures every order regardless of how it arrives, I was able to reconcile first-party order records against what Meta Ads Manager reported as conversions.</w:t>
      </w:r>
    </w:p>
    <w:p>
      <w:pPr>
        <w:spacing w:after="30" w:before="30" w:line="276" w:lineRule="auto"/>
      </w:pPr>
      <w:r>
        <w:rPr>
          <w:rFonts w:ascii="Calibri" w:cs="Calibri" w:eastAsia="Calibri" w:hAnsi="Calibri"/>
          <w:b w:val="false"/>
          <w:bCs w:val="false"/>
          <w:color w:val="1a1a2e"/>
          <w:sz w:val="20"/>
          <w:szCs w:val="20"/>
        </w:rPr>
        <w:t xml:space="preserve">162 of 202 orders — 80.2% — were invisible to Meta's tracking. Orders closing through Messenger conversations, GCash transfers, and walk-in visits attributed to nothing, because no pixel event fired anywhere in those paths.</w:t>
      </w:r>
    </w:p>
    <w:p>
      <w:pPr>
        <w:spacing w:after="30" w:before="30" w:line="276" w:lineRule="auto"/>
      </w:pPr>
      <w:r>
        <w:rPr>
          <w:rFonts w:ascii="Calibri" w:cs="Calibri" w:eastAsia="Calibri" w:hAnsi="Calibri"/>
          <w:b w:val="false"/>
          <w:bCs w:val="false"/>
          <w:color w:val="1a1a2e"/>
          <w:sz w:val="20"/>
          <w:szCs w:val="20"/>
        </w:rPr>
        <w:t xml:space="preserve">The practical consequence is that campaigns appearing to underperform in Ads Manager were, by actual revenue, likely among the strongest. Budget was being allocated against a systematically incomplete picture. Having first-party data in a queryable database is what made the gap visible at all — the ads platform cannot report on conversions it never sees.</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What I would build next</w:t>
      </w:r>
    </w:p>
    <w:p>
      <w:pPr>
        <w:spacing w:after="30" w:before="30" w:line="276" w:lineRule="auto"/>
      </w:pPr>
      <w:r>
        <w:rPr>
          <w:rFonts w:ascii="Calibri" w:cs="Calibri" w:eastAsia="Calibri" w:hAnsi="Calibri"/>
          <w:b w:val="false"/>
          <w:bCs w:val="false"/>
          <w:color w:val="1a1a2e"/>
          <w:sz w:val="20"/>
          <w:szCs w:val="20"/>
        </w:rPr>
        <w:t xml:space="preserve">The current Streamlit implementation is the right answer for the constraints it was built under — zero budget, one developer, immediate deployment. It is not the right answer indefinitely.</w:t>
      </w:r>
    </w:p>
    <w:p>
      <w:pPr>
        <w:spacing w:after="26" w:before="26" w:line="276" w:lineRule="auto"/>
      </w:pPr>
      <w:r>
        <w:rPr>
          <w:rFonts w:ascii="Calibri" w:cs="Calibri" w:eastAsia="Calibri" w:hAnsi="Calibri"/>
          <w:b/>
          <w:bCs/>
          <w:color w:val="5a5a5a"/>
          <w:sz w:val="18"/>
          <w:szCs w:val="18"/>
        </w:rPr>
        <w:t xml:space="preserve">Frontend   </w:t>
      </w:r>
      <w:r>
        <w:rPr>
          <w:rFonts w:ascii="Calibri" w:cs="Calibri" w:eastAsia="Calibri" w:hAnsi="Calibri"/>
          <w:b w:val="false"/>
          <w:bCs w:val="false"/>
          <w:color w:val="1a1a2e"/>
          <w:sz w:val="20"/>
          <w:szCs w:val="20"/>
        </w:rPr>
        <w:t xml:space="preserve">React + Vite (TypeScript) as a progressive web app — installable on staff phones, offline-tolerant for riders in low-signal areas</w:t>
      </w:r>
    </w:p>
    <w:p>
      <w:pPr>
        <w:spacing w:after="26" w:before="26" w:line="276" w:lineRule="auto"/>
      </w:pPr>
      <w:r>
        <w:rPr>
          <w:rFonts w:ascii="Calibri" w:cs="Calibri" w:eastAsia="Calibri" w:hAnsi="Calibri"/>
          <w:b/>
          <w:bCs/>
          <w:color w:val="5a5a5a"/>
          <w:sz w:val="18"/>
          <w:szCs w:val="18"/>
        </w:rPr>
        <w:t xml:space="preserve">Backend   </w:t>
      </w:r>
      <w:r>
        <w:rPr>
          <w:rFonts w:ascii="Calibri" w:cs="Calibri" w:eastAsia="Calibri" w:hAnsi="Calibri"/>
          <w:b w:val="false"/>
          <w:bCs w:val="false"/>
          <w:color w:val="1a1a2e"/>
          <w:sz w:val="20"/>
          <w:szCs w:val="20"/>
        </w:rPr>
        <w:t xml:space="preserve">FastAPI — the same PIN and session logic, exposed as a proper API rather than coupled to the UI layer</w:t>
      </w:r>
    </w:p>
    <w:p>
      <w:pPr>
        <w:spacing w:after="26" w:before="26" w:line="276" w:lineRule="auto"/>
      </w:pPr>
      <w:r>
        <w:rPr>
          <w:rFonts w:ascii="Calibri" w:cs="Calibri" w:eastAsia="Calibri" w:hAnsi="Calibri"/>
          <w:b/>
          <w:bCs/>
          <w:color w:val="5a5a5a"/>
          <w:sz w:val="18"/>
          <w:szCs w:val="18"/>
        </w:rPr>
        <w:t xml:space="preserve">Database   </w:t>
      </w:r>
      <w:r>
        <w:rPr>
          <w:rFonts w:ascii="Calibri" w:cs="Calibri" w:eastAsia="Calibri" w:hAnsi="Calibri"/>
          <w:b w:val="false"/>
          <w:bCs w:val="false"/>
          <w:color w:val="1a1a2e"/>
          <w:sz w:val="20"/>
          <w:szCs w:val="20"/>
        </w:rPr>
        <w:t xml:space="preserve">Supabase retained unchanged — schema, row-level security, storage, and Edge Functions all carry over</w:t>
      </w:r>
    </w:p>
    <w:p>
      <w:pPr>
        <w:spacing w:after="26" w:before="26" w:line="276" w:lineRule="auto"/>
      </w:pPr>
      <w:r>
        <w:rPr>
          <w:rFonts w:ascii="Calibri" w:cs="Calibri" w:eastAsia="Calibri" w:hAnsi="Calibri"/>
          <w:b/>
          <w:bCs/>
          <w:color w:val="5a5a5a"/>
          <w:sz w:val="18"/>
          <w:szCs w:val="18"/>
        </w:rPr>
        <w:t xml:space="preserve">Hosting   </w:t>
      </w:r>
      <w:r>
        <w:rPr>
          <w:rFonts w:ascii="Calibri" w:cs="Calibri" w:eastAsia="Calibri" w:hAnsi="Calibri"/>
          <w:b w:val="false"/>
          <w:bCs w:val="false"/>
          <w:color w:val="1a1a2e"/>
          <w:sz w:val="20"/>
          <w:szCs w:val="20"/>
        </w:rPr>
        <w:t xml:space="preserve">Vercel for frontend, Railway or Render for backend</w:t>
      </w:r>
    </w:p>
    <w:p>
      <w:pPr>
        <w:spacing w:after="30" w:before="30" w:line="276" w:lineRule="auto"/>
      </w:pPr>
      <w:r>
        <w:rPr>
          <w:rFonts w:ascii="Calibri" w:cs="Calibri" w:eastAsia="Calibri" w:hAnsi="Calibri"/>
          <w:b w:val="false"/>
          <w:bCs w:val="false"/>
          <w:color w:val="5a5a5a"/>
          <w:sz w:val="20"/>
          <w:szCs w:val="20"/>
        </w:rPr>
        <w:t xml:space="preserve">The migration is deliberately application-layer only. The data model has held up under production use and does not need to move. That constraint is what makes the migration tractable for one developer.</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What this demonstrates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End-to-end delivery.  </w:t>
      </w:r>
      <w:r>
        <w:rPr>
          <w:rFonts w:ascii="Calibri" w:cs="Calibri" w:eastAsia="Calibri" w:hAnsi="Calibri"/>
          <w:b w:val="false"/>
          <w:bCs w:val="false"/>
          <w:color w:val="1a1a2e"/>
          <w:sz w:val="20"/>
          <w:szCs w:val="20"/>
        </w:rPr>
        <w:t xml:space="preserve">Schema design, backend logic, interface, deployment pipeline, and production support — with no team to hand any layer off to.</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Constraint-led engineering.  </w:t>
      </w:r>
      <w:r>
        <w:rPr>
          <w:rFonts w:ascii="Calibri" w:cs="Calibri" w:eastAsia="Calibri" w:hAnsi="Calibri"/>
          <w:b w:val="false"/>
          <w:bCs w:val="false"/>
          <w:color w:val="1a1a2e"/>
          <w:sz w:val="20"/>
          <w:szCs w:val="20"/>
        </w:rPr>
        <w:t xml:space="preserve">The technical choices were driven by who was using the system and what the business could afford, not by what was interesting to build.</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Anticipating failure modes.  </w:t>
      </w:r>
      <w:r>
        <w:rPr>
          <w:rFonts w:ascii="Calibri" w:cs="Calibri" w:eastAsia="Calibri" w:hAnsi="Calibri"/>
          <w:b w:val="false"/>
          <w:bCs w:val="false"/>
          <w:color w:val="1a1a2e"/>
          <w:sz w:val="20"/>
          <w:szCs w:val="20"/>
        </w:rPr>
        <w:t xml:space="preserve">Caching, pagination, and indexing were in place before volume demanded them. Storage was migrated when the platform's ephemeral disk was understood, not after data loss became routine.</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Analytical judgment.  </w:t>
      </w:r>
      <w:r>
        <w:rPr>
          <w:rFonts w:ascii="Calibri" w:cs="Calibri" w:eastAsia="Calibri" w:hAnsi="Calibri"/>
          <w:b w:val="false"/>
          <w:bCs w:val="false"/>
          <w:color w:val="1a1a2e"/>
          <w:sz w:val="20"/>
          <w:szCs w:val="20"/>
        </w:rPr>
        <w:t xml:space="preserve">The attribution finding came from asking whether the reported numbers were true, then building the reconciliation to check. That instinct transfers to any data the business depends on.</w:t>
      </w:r>
    </w:p>
    <w:p>
      <w:pPr>
        <w:pBdr>
          <w:bottom w:val="single" w:color="c8503a" w:sz="6"/>
        </w:pBdr>
        <w:spacing w:after="60" w:before="60" w:line="276" w:lineRule="auto"/>
      </w:pPr>
    </w:p>
    <w:p>
      <w:pPr>
        <w:spacing w:after="0" w:before="80" w:line="276" w:lineRule="auto"/>
      </w:pPr>
      <w:r>
        <w:rPr>
          <w:rFonts w:ascii="Calibri" w:cs="Calibri" w:eastAsia="Calibri" w:hAnsi="Calibri"/>
          <w:b/>
          <w:bCs/>
          <w:color w:val="1a1a2e"/>
          <w:sz w:val="20"/>
          <w:szCs w:val="20"/>
        </w:rPr>
        <w:t xml:space="preserve">John Rodgerson D. Bilan</w:t>
      </w:r>
      <w:r>
        <w:rPr>
          <w:rFonts w:ascii="Calibri" w:cs="Calibri" w:eastAsia="Calibri" w:hAnsi="Calibri"/>
          <w:b w:val="false"/>
          <w:bCs w:val="false"/>
          <w:color w:val="5a5a5a"/>
          <w:sz w:val="18"/>
          <w:szCs w:val="18"/>
        </w:rPr>
        <w:t xml:space="preserve">   ·   bilanj159@gmail.com   ·   github.com/jae-wya/angiessystem   ·   Available for remote work</w:t>
      </w:r>
    </w:p>
    <w:sectPr>
      <w:pgSz w:w="11906" w:h="16838" w:orient="portrait"/>
      <w:pgMar w:top="76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2026-08-21T08:55:34.732Z</dcterms:created>
  <dcterms:modified xsi:type="dcterms:W3CDTF">2026-08-21T08:55:34.732Z</dcterms:modified>
</cp:coreProperties>
</file>

<file path=docProps/custom.xml><?xml version="1.0" encoding="utf-8"?>
<Properties xmlns="http://schemas.openxmlformats.org/officeDocument/2006/custom-properties" xmlns:vt="http://schemas.openxmlformats.org/officeDocument/2006/docPropsVTypes"/>
</file>