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line="276" w:lineRule="auto"/>
      </w:pPr>
      <w:r>
        <w:rPr>
          <w:rFonts w:ascii="Calibri" w:cs="Calibri" w:eastAsia="Calibri" w:hAnsi="Calibri"/>
          <w:b/>
          <w:bCs/>
          <w:color w:val="1a1a2e"/>
          <w:sz w:val="48"/>
          <w:szCs w:val="48"/>
        </w:rPr>
        <w:t xml:space="preserve">BLOOM OS</w:t>
      </w:r>
    </w:p>
    <w:p>
      <w:pPr>
        <w:spacing w:after="40" w:before="0" w:line="276" w:lineRule="auto"/>
      </w:pPr>
      <w:r>
        <w:rPr>
          <w:rFonts w:ascii="Calibri" w:cs="Calibri" w:eastAsia="Calibri" w:hAnsi="Calibri"/>
          <w:b w:val="false"/>
          <w:bCs w:val="false"/>
          <w:color w:val="c8503a"/>
          <w:sz w:val="23"/>
          <w:szCs w:val="23"/>
        </w:rPr>
        <w:t xml:space="preserve">A production business operations platform, built solo in five months</w:t>
      </w:r>
    </w:p>
    <w:p>
      <w:pPr>
        <w:spacing w:after="60" w:before="0" w:line="276" w:lineRule="auto"/>
      </w:pPr>
      <w:r>
        <w:rPr>
          <w:rFonts w:ascii="Calibri" w:cs="Calibri" w:eastAsia="Calibri" w:hAnsi="Calibri"/>
          <w:b w:val="false"/>
          <w:bCs w:val="false"/>
          <w:color w:val="888888"/>
          <w:sz w:val="17"/>
          <w:szCs w:val="17"/>
        </w:rPr>
        <w:t xml:space="preserve">Case Study  ·  John Rodgerson D. Bilan  ·  bilanj159@gmail.com  ·  github.com/jae-wya</w:t>
      </w:r>
    </w:p>
    <w:p>
      <w:pPr>
        <w:pBdr>
          <w:bottom w:val="single" w:color="c8503a" w:sz="6"/>
        </w:pBdr>
        <w:spacing w:after="60" w:before="60" w:line="276" w:lineRule="auto"/>
      </w:pPr>
    </w:p>
    <w:tbl>
      <w:tblPr>
        <w:tblW w:type="dxa" w:w="9000"/>
        <w:tblBorders>
          <w:top w:val="none" w:sz="0"/>
          <w:left w:val="none" w:sz="0"/>
          <w:bottom w:val="none" w:sz="0"/>
          <w:right w:val="none" w:sz="0"/>
          <w:insideH w:val="none" w:sz="0"/>
          <w:insideV w:val="none" w:sz="0"/>
        </w:tblBorders>
      </w:tblPr>
      <w:tblGrid>
        <w:gridCol w:w="2250"/>
        <w:gridCol w:w="2250"/>
        <w:gridCol w:w="2250"/>
        <w:gridCol w:w="2250"/>
      </w:tblGrid>
      <w:tr>
        <w:tc>
          <w:tcPr>
            <w:tcW w:type="dxa" w:w="2250"/>
            <w:shd w:fill="f7f5f2" w:val="clear"/>
            <w:tcMar>
              <w:top w:type="dxa" w:w="160"/>
              <w:left w:type="dxa" w:w="120"/>
              <w:bottom w:type="dxa" w:w="160"/>
              <w:right w:type="dxa" w:w="120"/>
            </w:tcMar>
          </w:tcPr>
          <w:p>
            <w:pPr>
              <w:spacing w:after="20" w:before="0" w:line="276" w:lineRule="auto"/>
            </w:pPr>
            <w:r>
              <w:rPr>
                <w:rFonts w:ascii="Calibri" w:cs="Calibri" w:eastAsia="Calibri" w:hAnsi="Calibri"/>
                <w:b/>
                <w:bCs/>
                <w:color w:val="c8503a"/>
                <w:sz w:val="30"/>
                <w:szCs w:val="30"/>
              </w:rPr>
              <w:t xml:space="preserve">18+</w:t>
            </w:r>
          </w:p>
          <w:p>
            <w:pPr>
              <w:spacing w:after="0" w:before="0" w:line="276" w:lineRule="auto"/>
            </w:pPr>
            <w:r>
              <w:rPr>
                <w:rFonts w:ascii="Calibri" w:cs="Calibri" w:eastAsia="Calibri" w:hAnsi="Calibri"/>
                <w:b w:val="false"/>
                <w:bCs w:val="false"/>
                <w:color w:val="5a5a5a"/>
                <w:sz w:val="16"/>
                <w:szCs w:val="16"/>
              </w:rPr>
              <w:t xml:space="preserve">MODULES IN PRODUCTION</w:t>
            </w:r>
          </w:p>
        </w:tc>
        <w:tc>
          <w:tcPr>
            <w:tcW w:type="dxa" w:w="2250"/>
            <w:shd w:fill="f7f5f2" w:val="clear"/>
            <w:tcMar>
              <w:top w:type="dxa" w:w="160"/>
              <w:left w:type="dxa" w:w="120"/>
              <w:bottom w:type="dxa" w:w="160"/>
              <w:right w:type="dxa" w:w="120"/>
            </w:tcMar>
          </w:tcPr>
          <w:p>
            <w:pPr>
              <w:spacing w:after="20" w:before="0" w:line="276" w:lineRule="auto"/>
            </w:pPr>
            <w:r>
              <w:rPr>
                <w:rFonts w:ascii="Calibri" w:cs="Calibri" w:eastAsia="Calibri" w:hAnsi="Calibri"/>
                <w:b/>
                <w:bCs/>
                <w:color w:val="c8503a"/>
                <w:sz w:val="30"/>
                <w:szCs w:val="30"/>
              </w:rPr>
              <w:t xml:space="preserve">3</w:t>
            </w:r>
          </w:p>
          <w:p>
            <w:pPr>
              <w:spacing w:after="0" w:before="0" w:line="276" w:lineRule="auto"/>
            </w:pPr>
            <w:r>
              <w:rPr>
                <w:rFonts w:ascii="Calibri" w:cs="Calibri" w:eastAsia="Calibri" w:hAnsi="Calibri"/>
                <w:b w:val="false"/>
                <w:bCs w:val="false"/>
                <w:color w:val="5a5a5a"/>
                <w:sz w:val="16"/>
                <w:szCs w:val="16"/>
              </w:rPr>
              <w:t xml:space="preserve">BRANCHES RUNNING DAILY</w:t>
            </w:r>
          </w:p>
        </w:tc>
        <w:tc>
          <w:tcPr>
            <w:tcW w:type="dxa" w:w="2250"/>
            <w:shd w:fill="f7f5f2" w:val="clear"/>
            <w:tcMar>
              <w:top w:type="dxa" w:w="160"/>
              <w:left w:type="dxa" w:w="120"/>
              <w:bottom w:type="dxa" w:w="160"/>
              <w:right w:type="dxa" w:w="120"/>
            </w:tcMar>
          </w:tcPr>
          <w:p>
            <w:pPr>
              <w:spacing w:after="20" w:before="0" w:line="276" w:lineRule="auto"/>
            </w:pPr>
            <w:r>
              <w:rPr>
                <w:rFonts w:ascii="Calibri" w:cs="Calibri" w:eastAsia="Calibri" w:hAnsi="Calibri"/>
                <w:b/>
                <w:bCs/>
                <w:color w:val="c8503a"/>
                <w:sz w:val="30"/>
                <w:szCs w:val="30"/>
              </w:rPr>
              <w:t xml:space="preserve">₱0</w:t>
            </w:r>
          </w:p>
          <w:p>
            <w:pPr>
              <w:spacing w:after="0" w:before="0" w:line="276" w:lineRule="auto"/>
            </w:pPr>
            <w:r>
              <w:rPr>
                <w:rFonts w:ascii="Calibri" w:cs="Calibri" w:eastAsia="Calibri" w:hAnsi="Calibri"/>
                <w:b w:val="false"/>
                <w:bCs w:val="false"/>
                <w:color w:val="5a5a5a"/>
                <w:sz w:val="16"/>
                <w:szCs w:val="16"/>
              </w:rPr>
              <w:t xml:space="preserve">MONTHLY INFRASTRUCTURE</w:t>
            </w:r>
          </w:p>
        </w:tc>
        <w:tc>
          <w:tcPr>
            <w:tcW w:type="dxa" w:w="2250"/>
            <w:shd w:fill="f7f5f2" w:val="clear"/>
            <w:tcMar>
              <w:top w:type="dxa" w:w="160"/>
              <w:left w:type="dxa" w:w="120"/>
              <w:bottom w:type="dxa" w:w="160"/>
              <w:right w:type="dxa" w:w="120"/>
            </w:tcMar>
          </w:tcPr>
          <w:p>
            <w:pPr>
              <w:spacing w:after="20" w:before="0" w:line="276" w:lineRule="auto"/>
            </w:pPr>
            <w:r>
              <w:rPr>
                <w:rFonts w:ascii="Calibri" w:cs="Calibri" w:eastAsia="Calibri" w:hAnsi="Calibri"/>
                <w:b/>
                <w:bCs/>
                <w:color w:val="c8503a"/>
                <w:sz w:val="30"/>
                <w:szCs w:val="30"/>
              </w:rPr>
              <w:t xml:space="preserve">5 mo</w:t>
            </w:r>
          </w:p>
          <w:p>
            <w:pPr>
              <w:spacing w:after="0" w:before="0" w:line="276" w:lineRule="auto"/>
            </w:pPr>
            <w:r>
              <w:rPr>
                <w:rFonts w:ascii="Calibri" w:cs="Calibri" w:eastAsia="Calibri" w:hAnsi="Calibri"/>
                <w:b w:val="false"/>
                <w:bCs w:val="false"/>
                <w:color w:val="5a5a5a"/>
                <w:sz w:val="16"/>
                <w:szCs w:val="16"/>
              </w:rPr>
              <w:t xml:space="preserve">SOLO BUILD TO LAUNCH</w:t>
            </w:r>
          </w:p>
        </w:tc>
      </w:tr>
    </w:tbl>
    <w:p>
      <w:pPr>
        <w:spacing w:after="60" w:before="200" w:line="276" w:lineRule="auto"/>
      </w:pPr>
      <w:r>
        <w:rPr>
          <w:rFonts w:ascii="Calibri" w:cs="Calibri" w:eastAsia="Calibri" w:hAnsi="Calibri"/>
          <w:b/>
          <w:bCs/>
          <w:color w:val="1a1a2e"/>
          <w:sz w:val="28"/>
          <w:szCs w:val="28"/>
        </w:rPr>
        <w:t xml:space="preserve">The problem</w:t>
      </w:r>
    </w:p>
    <w:p>
      <w:pPr>
        <w:spacing w:after="30" w:before="30" w:line="276" w:lineRule="auto"/>
      </w:pPr>
      <w:r>
        <w:rPr>
          <w:rFonts w:ascii="Calibri" w:cs="Calibri" w:eastAsia="Calibri" w:hAnsi="Calibri"/>
          <w:b w:val="false"/>
          <w:bCs w:val="false"/>
          <w:color w:val="1a1a2e"/>
          <w:sz w:val="20"/>
          <w:szCs w:val="20"/>
        </w:rPr>
        <w:t xml:space="preserve">Angie's Florist runs three physical branches and two online sales channels across the Laguna–Quezon–Batangas corridor. Before June 2026, the entire operation ran on paper notebooks, Facebook Messenger threads, and disconnected spreadsheets.</w:t>
      </w:r>
    </w:p>
    <w:p>
      <w:pPr>
        <w:spacing w:after="30" w:before="30" w:line="276" w:lineRule="auto"/>
      </w:pPr>
      <w:r>
        <w:rPr>
          <w:rFonts w:ascii="Calibri" w:cs="Calibri" w:eastAsia="Calibri" w:hAnsi="Calibri"/>
          <w:b w:val="false"/>
          <w:bCs w:val="false"/>
          <w:color w:val="1a1a2e"/>
          <w:sz w:val="20"/>
          <w:szCs w:val="20"/>
        </w:rPr>
        <w:t xml:space="preserve">The concrete failures were predictable and expensive. Orders taken over Messenger were transcribed by hand into notebooks, then re-typed into spreadsheets — three chances to introduce an error before a florist ever saw the arrangement. Inventory existed only as a physical count someone remembered to do. No branch could see another branch's workload. Riders received addresses as forwarded chat messages. Nobody could answer "how much did we make last week" without an hour of manual reconciliation.</w:t>
      </w:r>
    </w:p>
    <w:p>
      <w:pPr>
        <w:spacing w:after="30" w:before="30" w:line="276" w:lineRule="auto"/>
      </w:pPr>
      <w:r>
        <w:rPr>
          <w:rFonts w:ascii="Calibri" w:cs="Calibri" w:eastAsia="Calibri" w:hAnsi="Calibri"/>
          <w:b w:val="false"/>
          <w:bCs w:val="false"/>
          <w:color w:val="1a1a2e"/>
          <w:sz w:val="20"/>
          <w:szCs w:val="20"/>
        </w:rPr>
        <w:t xml:space="preserve">The business needed a system. It had no budget for one, no IT staff, and no appetite for a six-month enterprise procurement cycle.</w:t>
      </w:r>
    </w:p>
    <w:p>
      <w:pPr>
        <w:spacing w:after="60" w:before="200" w:line="276" w:lineRule="auto"/>
      </w:pPr>
      <w:r>
        <w:rPr>
          <w:rFonts w:ascii="Calibri" w:cs="Calibri" w:eastAsia="Calibri" w:hAnsi="Calibri"/>
          <w:b/>
          <w:bCs/>
          <w:color w:val="1a1a2e"/>
          <w:sz w:val="28"/>
          <w:szCs w:val="28"/>
        </w:rPr>
        <w:t xml:space="preserve">The approach</w:t>
      </w:r>
    </w:p>
    <w:p>
      <w:pPr>
        <w:spacing w:after="30" w:before="30" w:line="276" w:lineRule="auto"/>
      </w:pPr>
      <w:r>
        <w:rPr>
          <w:rFonts w:ascii="Calibri" w:cs="Calibri" w:eastAsia="Calibri" w:hAnsi="Calibri"/>
          <w:b w:val="false"/>
          <w:bCs w:val="false"/>
          <w:color w:val="1a1a2e"/>
          <w:sz w:val="20"/>
          <w:szCs w:val="20"/>
        </w:rPr>
        <w:t xml:space="preserve">I designed and built Bloom OS as the sole developer between February and July 2026, deploying to production in mid-June. The constraint that shaped every decision was operational, not technical: the people using this system are florists, riders, and cashiers — not software users. If a screen required explanation, it was wrong.</w:t>
      </w:r>
    </w:p>
    <w:p>
      <w:pPr>
        <w:spacing w:after="30" w:before="30" w:line="276" w:lineRule="auto"/>
      </w:pPr>
      <w:r>
        <w:rPr>
          <w:rFonts w:ascii="Calibri" w:cs="Calibri" w:eastAsia="Calibri" w:hAnsi="Calibri"/>
          <w:b w:val="false"/>
          <w:bCs w:val="false"/>
          <w:color w:val="1a1a2e"/>
          <w:sz w:val="20"/>
          <w:szCs w:val="20"/>
        </w:rPr>
        <w:t xml:space="preserve">Three design principles followed from that:</w:t>
      </w:r>
    </w:p>
    <w:p>
      <w:pPr>
        <w:spacing w:after="26" w:before="26" w:line="276" w:lineRule="auto"/>
        <w:ind w:left="340"/>
      </w:pPr>
      <w:r>
        <w:rPr>
          <w:rFonts w:ascii="Calibri" w:cs="Calibri" w:eastAsia="Calibri" w:hAnsi="Calibri"/>
          <w:b w:val="false"/>
          <w:bCs w:val="false"/>
          <w:color w:val="c8503a"/>
          <w:sz w:val="19"/>
          <w:szCs w:val="19"/>
        </w:rPr>
        <w:t xml:space="preserve">▪  </w:t>
      </w:r>
      <w:r>
        <w:rPr>
          <w:rFonts w:ascii="Calibri" w:cs="Calibri" w:eastAsia="Calibri" w:hAnsi="Calibri"/>
          <w:b/>
          <w:bCs/>
          <w:color w:val="1a1a2e"/>
          <w:sz w:val="20"/>
          <w:szCs w:val="20"/>
        </w:rPr>
        <w:t xml:space="preserve">One screen, one job.  </w:t>
      </w:r>
      <w:r>
        <w:rPr>
          <w:rFonts w:ascii="Calibri" w:cs="Calibri" w:eastAsia="Calibri" w:hAnsi="Calibri"/>
          <w:b w:val="false"/>
          <w:bCs w:val="false"/>
          <w:color w:val="1a1a2e"/>
          <w:sz w:val="20"/>
          <w:szCs w:val="20"/>
        </w:rPr>
        <w:t xml:space="preserve">Every workflow that existed on paper had to map to a single screen. No multi-step wizards, no navigating between modules to complete one task.</w:t>
      </w:r>
    </w:p>
    <w:p>
      <w:pPr>
        <w:spacing w:after="26" w:before="26" w:line="276" w:lineRule="auto"/>
        <w:ind w:left="340"/>
      </w:pPr>
      <w:r>
        <w:rPr>
          <w:rFonts w:ascii="Calibri" w:cs="Calibri" w:eastAsia="Calibri" w:hAnsi="Calibri"/>
          <w:b w:val="false"/>
          <w:bCs w:val="false"/>
          <w:color w:val="c8503a"/>
          <w:sz w:val="19"/>
          <w:szCs w:val="19"/>
        </w:rPr>
        <w:t xml:space="preserve">▪  </w:t>
      </w:r>
      <w:r>
        <w:rPr>
          <w:rFonts w:ascii="Calibri" w:cs="Calibri" w:eastAsia="Calibri" w:hAnsi="Calibri"/>
          <w:b/>
          <w:bCs/>
          <w:color w:val="1a1a2e"/>
          <w:sz w:val="20"/>
          <w:szCs w:val="20"/>
        </w:rPr>
        <w:t xml:space="preserve">Paste, don't retype.  </w:t>
      </w:r>
      <w:r>
        <w:rPr>
          <w:rFonts w:ascii="Calibri" w:cs="Calibri" w:eastAsia="Calibri" w:hAnsi="Calibri"/>
          <w:b w:val="false"/>
          <w:bCs w:val="false"/>
          <w:color w:val="1a1a2e"/>
          <w:sz w:val="20"/>
          <w:szCs w:val="20"/>
        </w:rPr>
        <w:t xml:space="preserve">Staff copy customer messages straight from Messenger and paste them into the order form. A parser extracts recipient, address, delivery window, card message, and pricing automatically. Manual encoding became a correction step rather than a transcription step.</w:t>
      </w:r>
    </w:p>
    <w:p>
      <w:pPr>
        <w:spacing w:after="26" w:before="26" w:line="276" w:lineRule="auto"/>
        <w:ind w:left="340"/>
      </w:pPr>
      <w:r>
        <w:rPr>
          <w:rFonts w:ascii="Calibri" w:cs="Calibri" w:eastAsia="Calibri" w:hAnsi="Calibri"/>
          <w:b w:val="false"/>
          <w:bCs w:val="false"/>
          <w:color w:val="c8503a"/>
          <w:sz w:val="19"/>
          <w:szCs w:val="19"/>
        </w:rPr>
        <w:t xml:space="preserve">▪  </w:t>
      </w:r>
      <w:r>
        <w:rPr>
          <w:rFonts w:ascii="Calibri" w:cs="Calibri" w:eastAsia="Calibri" w:hAnsi="Calibri"/>
          <w:b/>
          <w:bCs/>
          <w:color w:val="1a1a2e"/>
          <w:sz w:val="20"/>
          <w:szCs w:val="20"/>
        </w:rPr>
        <w:t xml:space="preserve">Show only what the role needs.  </w:t>
      </w:r>
      <w:r>
        <w:rPr>
          <w:rFonts w:ascii="Calibri" w:cs="Calibri" w:eastAsia="Calibri" w:hAnsi="Calibri"/>
          <w:b w:val="false"/>
          <w:bCs w:val="false"/>
          <w:color w:val="1a1a2e"/>
          <w:sz w:val="20"/>
          <w:szCs w:val="20"/>
        </w:rPr>
        <w:t xml:space="preserve">A florist opening the board sees only what they need to arrange. A rider sees only deliveries. Management sees everything. Role-based access is enforced at the data layer, not hidden in the UI.</w:t>
      </w:r>
    </w:p>
    <w:p>
      <w:pPr>
        <w:spacing w:after="60" w:before="200" w:line="276" w:lineRule="auto"/>
      </w:pPr>
      <w:r>
        <w:rPr>
          <w:rFonts w:ascii="Calibri" w:cs="Calibri" w:eastAsia="Calibri" w:hAnsi="Calibri"/>
          <w:b/>
          <w:bCs/>
          <w:color w:val="1a1a2e"/>
          <w:sz w:val="28"/>
          <w:szCs w:val="28"/>
        </w:rPr>
        <w:t xml:space="preserve">Architecture</w:t>
      </w:r>
    </w:p>
    <w:p>
      <w:pPr>
        <w:spacing w:after="30" w:before="30" w:line="276" w:lineRule="auto"/>
      </w:pPr>
      <w:r>
        <w:rPr>
          <w:rFonts w:ascii="Calibri" w:cs="Calibri" w:eastAsia="Calibri" w:hAnsi="Calibri"/>
          <w:b w:val="false"/>
          <w:bCs w:val="false"/>
          <w:color w:val="1a1a2e"/>
          <w:sz w:val="20"/>
          <w:szCs w:val="20"/>
        </w:rPr>
        <w:t xml:space="preserve">The stack was chosen for a specific reason: it had to cost nothing to run and had to be maintainable by one person alongside three other job functions.</w:t>
      </w:r>
    </w:p>
    <w:tbl>
      <w:tblPr>
        <w:tblW w:type="dxa" w:w="9000"/>
        <w:tblBorders>
          <w:top w:val="single" w:color="dddddd" w:sz="2"/>
          <w:left w:val="none" w:sz="0"/>
          <w:bottom w:val="single" w:color="dddddd" w:sz="2"/>
          <w:right w:val="none" w:sz="0"/>
          <w:insideH w:val="single" w:color="eeeeee" w:sz="2"/>
          <w:insideV w:val="none" w:sz="0"/>
        </w:tblBorders>
      </w:tblPr>
      <w:tblGrid>
        <w:gridCol w:w="2300"/>
        <w:gridCol w:w="6700"/>
      </w:tblGrid>
      <w:tr>
        <w:tc>
          <w:tcPr>
            <w:tcW w:type="dxa" w:w="2300"/>
            <w:shd w:fill="f7f5f2" w:val="clear"/>
            <w:tcMar>
              <w:top w:type="dxa" w:w="90"/>
              <w:left w:type="dxa" w:w="140"/>
              <w:bottom w:type="dxa" w:w="90"/>
              <w:right w:type="dxa" w:w="140"/>
            </w:tcMar>
          </w:tcPr>
          <w:p>
            <w:pPr>
              <w:spacing w:after="0" w:before="0" w:line="276" w:lineRule="auto"/>
            </w:pPr>
            <w:r>
              <w:rPr>
                <w:rFonts w:ascii="Calibri" w:cs="Calibri" w:eastAsia="Calibri" w:hAnsi="Calibri"/>
                <w:b/>
                <w:bCs/>
                <w:color w:val="1a1a2e"/>
                <w:sz w:val="18"/>
                <w:szCs w:val="18"/>
              </w:rPr>
              <w:t xml:space="preserve">LAYER</w:t>
            </w:r>
          </w:p>
        </w:tc>
        <w:tc>
          <w:tcPr>
            <w:tcW w:type="dxa" w:w="6700"/>
            <w:shd w:fill="f7f5f2" w:val="clear"/>
            <w:tcMar>
              <w:top w:type="dxa" w:w="90"/>
              <w:left w:type="dxa" w:w="140"/>
              <w:bottom w:type="dxa" w:w="90"/>
              <w:right w:type="dxa" w:w="140"/>
            </w:tcMar>
          </w:tcPr>
          <w:p>
            <w:pPr>
              <w:spacing w:after="0" w:before="0" w:line="276" w:lineRule="auto"/>
            </w:pPr>
            <w:r>
              <w:rPr>
                <w:rFonts w:ascii="Calibri" w:cs="Calibri" w:eastAsia="Calibri" w:hAnsi="Calibri"/>
                <w:b w:val="false"/>
                <w:bCs w:val="false"/>
                <w:color w:val="5a5a5a"/>
                <w:sz w:val="18"/>
                <w:szCs w:val="18"/>
              </w:rPr>
              <w:t xml:space="preserve">IMPLEMENTATION</w:t>
            </w:r>
          </w:p>
        </w:tc>
      </w:tr>
      <w:tr>
        <w:tc>
          <w:tcPr>
            <w:tcW w:type="dxa" w:w="2300"/>
            <w:tcMar>
              <w:top w:type="dxa" w:w="90"/>
              <w:left w:type="dxa" w:w="140"/>
              <w:bottom w:type="dxa" w:w="90"/>
              <w:right w:type="dxa" w:w="140"/>
            </w:tcMar>
          </w:tcPr>
          <w:p>
            <w:pPr>
              <w:spacing w:after="0" w:before="0" w:line="276" w:lineRule="auto"/>
            </w:pPr>
            <w:r>
              <w:rPr>
                <w:rFonts w:ascii="Calibri" w:cs="Calibri" w:eastAsia="Calibri" w:hAnsi="Calibri"/>
                <w:b/>
                <w:bCs/>
                <w:color w:val="1a1a2e"/>
                <w:sz w:val="18"/>
                <w:szCs w:val="18"/>
              </w:rPr>
              <w:t xml:space="preserve">Frontend</w:t>
            </w:r>
          </w:p>
        </w:tc>
        <w:tc>
          <w:tcPr>
            <w:tcW w:type="dxa" w:w="6700"/>
            <w:tcMar>
              <w:top w:type="dxa" w:w="90"/>
              <w:left w:type="dxa" w:w="140"/>
              <w:bottom w:type="dxa" w:w="90"/>
              <w:right w:type="dxa" w:w="140"/>
            </w:tcMar>
          </w:tcPr>
          <w:p>
            <w:pPr>
              <w:spacing w:after="0" w:before="0" w:line="276" w:lineRule="auto"/>
            </w:pPr>
            <w:r>
              <w:rPr>
                <w:rFonts w:ascii="Calibri" w:cs="Calibri" w:eastAsia="Calibri" w:hAnsi="Calibri"/>
                <w:b w:val="false"/>
                <w:bCs w:val="false"/>
                <w:color w:val="5a5a5a"/>
                <w:sz w:val="18"/>
                <w:szCs w:val="18"/>
              </w:rPr>
              <w:t xml:space="preserve">Python · Streamlit — session-based navigation, role-scoped page access</w:t>
            </w:r>
          </w:p>
        </w:tc>
      </w:tr>
      <w:tr>
        <w:tc>
          <w:tcPr>
            <w:tcW w:type="dxa" w:w="2300"/>
            <w:tcMar>
              <w:top w:type="dxa" w:w="90"/>
              <w:left w:type="dxa" w:w="140"/>
              <w:bottom w:type="dxa" w:w="90"/>
              <w:right w:type="dxa" w:w="140"/>
            </w:tcMar>
          </w:tcPr>
          <w:p>
            <w:pPr>
              <w:spacing w:after="0" w:before="0" w:line="276" w:lineRule="auto"/>
            </w:pPr>
            <w:r>
              <w:rPr>
                <w:rFonts w:ascii="Calibri" w:cs="Calibri" w:eastAsia="Calibri" w:hAnsi="Calibri"/>
                <w:b/>
                <w:bCs/>
                <w:color w:val="1a1a2e"/>
                <w:sz w:val="18"/>
                <w:szCs w:val="18"/>
              </w:rPr>
              <w:t xml:space="preserve">Database</w:t>
            </w:r>
          </w:p>
        </w:tc>
        <w:tc>
          <w:tcPr>
            <w:tcW w:type="dxa" w:w="6700"/>
            <w:tcMar>
              <w:top w:type="dxa" w:w="90"/>
              <w:left w:type="dxa" w:w="140"/>
              <w:bottom w:type="dxa" w:w="90"/>
              <w:right w:type="dxa" w:w="140"/>
            </w:tcMar>
          </w:tcPr>
          <w:p>
            <w:pPr>
              <w:spacing w:after="0" w:before="0" w:line="276" w:lineRule="auto"/>
            </w:pPr>
            <w:r>
              <w:rPr>
                <w:rFonts w:ascii="Calibri" w:cs="Calibri" w:eastAsia="Calibri" w:hAnsi="Calibri"/>
                <w:b w:val="false"/>
                <w:bCs w:val="false"/>
                <w:color w:val="5a5a5a"/>
                <w:sz w:val="18"/>
                <w:szCs w:val="18"/>
              </w:rPr>
              <w:t xml:space="preserve">Supabase (PostgreSQL) — relational schema with row-level access control</w:t>
            </w:r>
          </w:p>
        </w:tc>
      </w:tr>
      <w:tr>
        <w:tc>
          <w:tcPr>
            <w:tcW w:type="dxa" w:w="2300"/>
            <w:tcMar>
              <w:top w:type="dxa" w:w="90"/>
              <w:left w:type="dxa" w:w="140"/>
              <w:bottom w:type="dxa" w:w="90"/>
              <w:right w:type="dxa" w:w="140"/>
            </w:tcMar>
          </w:tcPr>
          <w:p>
            <w:pPr>
              <w:spacing w:after="0" w:before="0" w:line="276" w:lineRule="auto"/>
            </w:pPr>
            <w:r>
              <w:rPr>
                <w:rFonts w:ascii="Calibri" w:cs="Calibri" w:eastAsia="Calibri" w:hAnsi="Calibri"/>
                <w:b/>
                <w:bCs/>
                <w:color w:val="1a1a2e"/>
                <w:sz w:val="18"/>
                <w:szCs w:val="18"/>
              </w:rPr>
              <w:t xml:space="preserve">File storage</w:t>
            </w:r>
          </w:p>
        </w:tc>
        <w:tc>
          <w:tcPr>
            <w:tcW w:type="dxa" w:w="6700"/>
            <w:tcMar>
              <w:top w:type="dxa" w:w="90"/>
              <w:left w:type="dxa" w:w="140"/>
              <w:bottom w:type="dxa" w:w="90"/>
              <w:right w:type="dxa" w:w="140"/>
            </w:tcMar>
          </w:tcPr>
          <w:p>
            <w:pPr>
              <w:spacing w:after="0" w:before="0" w:line="276" w:lineRule="auto"/>
            </w:pPr>
            <w:r>
              <w:rPr>
                <w:rFonts w:ascii="Calibri" w:cs="Calibri" w:eastAsia="Calibri" w:hAnsi="Calibri"/>
                <w:b w:val="false"/>
                <w:bCs w:val="false"/>
                <w:color w:val="5a5a5a"/>
                <w:sz w:val="18"/>
                <w:szCs w:val="18"/>
              </w:rPr>
              <w:t xml:space="preserve">Object storage — inspiration photos, payment proof, delivery proof</w:t>
            </w:r>
          </w:p>
        </w:tc>
      </w:tr>
      <w:tr>
        <w:tc>
          <w:tcPr>
            <w:tcW w:type="dxa" w:w="2300"/>
            <w:tcMar>
              <w:top w:type="dxa" w:w="90"/>
              <w:left w:type="dxa" w:w="140"/>
              <w:bottom w:type="dxa" w:w="90"/>
              <w:right w:type="dxa" w:w="140"/>
            </w:tcMar>
          </w:tcPr>
          <w:p>
            <w:pPr>
              <w:spacing w:after="0" w:before="0" w:line="276" w:lineRule="auto"/>
            </w:pPr>
            <w:r>
              <w:rPr>
                <w:rFonts w:ascii="Calibri" w:cs="Calibri" w:eastAsia="Calibri" w:hAnsi="Calibri"/>
                <w:b/>
                <w:bCs/>
                <w:color w:val="1a1a2e"/>
                <w:sz w:val="18"/>
                <w:szCs w:val="18"/>
              </w:rPr>
              <w:t xml:space="preserve">Edge compute</w:t>
            </w:r>
          </w:p>
        </w:tc>
        <w:tc>
          <w:tcPr>
            <w:tcW w:type="dxa" w:w="6700"/>
            <w:tcMar>
              <w:top w:type="dxa" w:w="90"/>
              <w:left w:type="dxa" w:w="140"/>
              <w:bottom w:type="dxa" w:w="90"/>
              <w:right w:type="dxa" w:w="140"/>
            </w:tcMar>
          </w:tcPr>
          <w:p>
            <w:pPr>
              <w:spacing w:after="0" w:before="0" w:line="276" w:lineRule="auto"/>
            </w:pPr>
            <w:r>
              <w:rPr>
                <w:rFonts w:ascii="Calibri" w:cs="Calibri" w:eastAsia="Calibri" w:hAnsi="Calibri"/>
                <w:b w:val="false"/>
                <w:bCs w:val="false"/>
                <w:color w:val="5a5a5a"/>
                <w:sz w:val="18"/>
                <w:szCs w:val="18"/>
              </w:rPr>
              <w:t xml:space="preserve">Serverless functions (TypeScript) — rider-facing delivery page</w:t>
            </w:r>
          </w:p>
        </w:tc>
      </w:tr>
      <w:tr>
        <w:tc>
          <w:tcPr>
            <w:tcW w:type="dxa" w:w="2300"/>
            <w:tcMar>
              <w:top w:type="dxa" w:w="90"/>
              <w:left w:type="dxa" w:w="140"/>
              <w:bottom w:type="dxa" w:w="90"/>
              <w:right w:type="dxa" w:w="140"/>
            </w:tcMar>
          </w:tcPr>
          <w:p>
            <w:pPr>
              <w:spacing w:after="0" w:before="0" w:line="276" w:lineRule="auto"/>
            </w:pPr>
            <w:r>
              <w:rPr>
                <w:rFonts w:ascii="Calibri" w:cs="Calibri" w:eastAsia="Calibri" w:hAnsi="Calibri"/>
                <w:b/>
                <w:bCs/>
                <w:color w:val="1a1a2e"/>
                <w:sz w:val="18"/>
                <w:szCs w:val="18"/>
              </w:rPr>
              <w:t xml:space="preserve">Authentication</w:t>
            </w:r>
          </w:p>
        </w:tc>
        <w:tc>
          <w:tcPr>
            <w:tcW w:type="dxa" w:w="6700"/>
            <w:tcMar>
              <w:top w:type="dxa" w:w="90"/>
              <w:left w:type="dxa" w:w="140"/>
              <w:bottom w:type="dxa" w:w="90"/>
              <w:right w:type="dxa" w:w="140"/>
            </w:tcMar>
          </w:tcPr>
          <w:p>
            <w:pPr>
              <w:spacing w:after="0" w:before="0" w:line="276" w:lineRule="auto"/>
            </w:pPr>
            <w:r>
              <w:rPr>
                <w:rFonts w:ascii="Calibri" w:cs="Calibri" w:eastAsia="Calibri" w:hAnsi="Calibri"/>
                <w:b w:val="false"/>
                <w:bCs w:val="false"/>
                <w:color w:val="5a5a5a"/>
                <w:sz w:val="18"/>
                <w:szCs w:val="18"/>
              </w:rPr>
              <w:t xml:space="preserve">Passwordless, session-backed, role-scoped access — no email required</w:t>
            </w:r>
          </w:p>
        </w:tc>
      </w:tr>
      <w:tr>
        <w:tc>
          <w:tcPr>
            <w:tcW w:type="dxa" w:w="2300"/>
            <w:tcMar>
              <w:top w:type="dxa" w:w="90"/>
              <w:left w:type="dxa" w:w="140"/>
              <w:bottom w:type="dxa" w:w="90"/>
              <w:right w:type="dxa" w:w="140"/>
            </w:tcMar>
          </w:tcPr>
          <w:p>
            <w:pPr>
              <w:spacing w:after="0" w:before="0" w:line="276" w:lineRule="auto"/>
            </w:pPr>
            <w:r>
              <w:rPr>
                <w:rFonts w:ascii="Calibri" w:cs="Calibri" w:eastAsia="Calibri" w:hAnsi="Calibri"/>
                <w:b/>
                <w:bCs/>
                <w:color w:val="1a1a2e"/>
                <w:sz w:val="18"/>
                <w:szCs w:val="18"/>
              </w:rPr>
              <w:t xml:space="preserve">Reporting</w:t>
            </w:r>
          </w:p>
        </w:tc>
        <w:tc>
          <w:tcPr>
            <w:tcW w:type="dxa" w:w="6700"/>
            <w:tcMar>
              <w:top w:type="dxa" w:w="90"/>
              <w:left w:type="dxa" w:w="140"/>
              <w:bottom w:type="dxa" w:w="90"/>
              <w:right w:type="dxa" w:w="140"/>
            </w:tcMar>
          </w:tcPr>
          <w:p>
            <w:pPr>
              <w:spacing w:after="0" w:before="0" w:line="276" w:lineRule="auto"/>
            </w:pPr>
            <w:r>
              <w:rPr>
                <w:rFonts w:ascii="Calibri" w:cs="Calibri" w:eastAsia="Calibri" w:hAnsi="Calibri"/>
                <w:b w:val="false"/>
                <w:bCs w:val="false"/>
                <w:color w:val="5a5a5a"/>
                <w:sz w:val="18"/>
                <w:szCs w:val="18"/>
              </w:rPr>
              <w:t xml:space="preserve">Pandas · Matplotlib — in-app charts and CSV export</w:t>
            </w:r>
          </w:p>
        </w:tc>
      </w:tr>
      <w:tr>
        <w:tc>
          <w:tcPr>
            <w:tcW w:type="dxa" w:w="2300"/>
            <w:tcMar>
              <w:top w:type="dxa" w:w="90"/>
              <w:left w:type="dxa" w:w="140"/>
              <w:bottom w:type="dxa" w:w="90"/>
              <w:right w:type="dxa" w:w="140"/>
            </w:tcMar>
          </w:tcPr>
          <w:p>
            <w:pPr>
              <w:spacing w:after="0" w:before="0" w:line="276" w:lineRule="auto"/>
            </w:pPr>
            <w:r>
              <w:rPr>
                <w:rFonts w:ascii="Calibri" w:cs="Calibri" w:eastAsia="Calibri" w:hAnsi="Calibri"/>
                <w:b/>
                <w:bCs/>
                <w:color w:val="1a1a2e"/>
                <w:sz w:val="18"/>
                <w:szCs w:val="18"/>
              </w:rPr>
              <w:t xml:space="preserve">Deployment</w:t>
            </w:r>
          </w:p>
        </w:tc>
        <w:tc>
          <w:tcPr>
            <w:tcW w:type="dxa" w:w="6700"/>
            <w:tcMar>
              <w:top w:type="dxa" w:w="90"/>
              <w:left w:type="dxa" w:w="140"/>
              <w:bottom w:type="dxa" w:w="90"/>
              <w:right w:type="dxa" w:w="140"/>
            </w:tcMar>
          </w:tcPr>
          <w:p>
            <w:pPr>
              <w:spacing w:after="0" w:before="0" w:line="276" w:lineRule="auto"/>
            </w:pPr>
            <w:r>
              <w:rPr>
                <w:rFonts w:ascii="Calibri" w:cs="Calibri" w:eastAsia="Calibri" w:hAnsi="Calibri"/>
                <w:b w:val="false"/>
                <w:bCs w:val="false"/>
                <w:color w:val="5a5a5a"/>
                <w:sz w:val="18"/>
                <w:szCs w:val="18"/>
              </w:rPr>
              <w:t xml:space="preserve">GitHub → Streamlit Cloud — push to main is live in ~2 minutes</w:t>
            </w:r>
          </w:p>
        </w:tc>
      </w:tr>
      <w:tr>
        <w:tc>
          <w:tcPr>
            <w:tcW w:type="dxa" w:w="2300"/>
            <w:tcMar>
              <w:top w:type="dxa" w:w="90"/>
              <w:left w:type="dxa" w:w="140"/>
              <w:bottom w:type="dxa" w:w="90"/>
              <w:right w:type="dxa" w:w="140"/>
            </w:tcMar>
          </w:tcPr>
          <w:p>
            <w:pPr>
              <w:spacing w:after="0" w:before="0" w:line="276" w:lineRule="auto"/>
            </w:pPr>
            <w:r>
              <w:rPr>
                <w:rFonts w:ascii="Calibri" w:cs="Calibri" w:eastAsia="Calibri" w:hAnsi="Calibri"/>
                <w:b/>
                <w:bCs/>
                <w:color w:val="1a1a2e"/>
                <w:sz w:val="18"/>
                <w:szCs w:val="18"/>
              </w:rPr>
              <w:t xml:space="preserve">Running cost</w:t>
            </w:r>
          </w:p>
        </w:tc>
        <w:tc>
          <w:tcPr>
            <w:tcW w:type="dxa" w:w="6700"/>
            <w:tcMar>
              <w:top w:type="dxa" w:w="90"/>
              <w:left w:type="dxa" w:w="140"/>
              <w:bottom w:type="dxa" w:w="90"/>
              <w:right w:type="dxa" w:w="140"/>
            </w:tcMar>
          </w:tcPr>
          <w:p>
            <w:pPr>
              <w:spacing w:after="0" w:before="0" w:line="276" w:lineRule="auto"/>
            </w:pPr>
            <w:r>
              <w:rPr>
                <w:rFonts w:ascii="Calibri" w:cs="Calibri" w:eastAsia="Calibri" w:hAnsi="Calibri"/>
                <w:b w:val="false"/>
                <w:bCs w:val="false"/>
                <w:color w:val="5a5a5a"/>
                <w:sz w:val="18"/>
                <w:szCs w:val="18"/>
              </w:rPr>
              <w:t xml:space="preserve">₱0/month — entirely on free tiers</w:t>
            </w:r>
          </w:p>
        </w:tc>
      </w:tr>
    </w:tbl>
    <w:p>
      <w:pPr>
        <w:spacing w:after="60" w:before="200" w:line="276" w:lineRule="auto"/>
      </w:pPr>
      <w:r>
        <w:rPr>
          <w:rFonts w:ascii="Calibri" w:cs="Calibri" w:eastAsia="Calibri" w:hAnsi="Calibri"/>
          <w:b/>
          <w:bCs/>
          <w:color w:val="1a1a2e"/>
          <w:sz w:val="28"/>
          <w:szCs w:val="28"/>
        </w:rPr>
        <w:t xml:space="preserve">Engineering decisions that mattered</w:t>
      </w:r>
    </w:p>
    <w:p>
      <w:pPr>
        <w:spacing w:after="50" w:before="160" w:line="276" w:lineRule="auto"/>
      </w:pPr>
      <w:r>
        <w:rPr>
          <w:rFonts w:ascii="Calibri" w:cs="Calibri" w:eastAsia="Calibri" w:hAnsi="Calibri"/>
          <w:b/>
          <w:bCs/>
          <w:color w:val="c8503a"/>
          <w:sz w:val="21"/>
          <w:szCs w:val="21"/>
        </w:rPr>
        <w:t xml:space="preserve">PIN authentication instead of email/password</w:t>
      </w:r>
    </w:p>
    <w:p>
      <w:pPr>
        <w:spacing w:after="30" w:before="30" w:line="276" w:lineRule="auto"/>
      </w:pPr>
      <w:r>
        <w:rPr>
          <w:rFonts w:ascii="Calibri" w:cs="Calibri" w:eastAsia="Calibri" w:hAnsi="Calibri"/>
          <w:b w:val="false"/>
          <w:bCs w:val="false"/>
          <w:color w:val="1a1a2e"/>
          <w:sz w:val="20"/>
          <w:szCs w:val="20"/>
        </w:rPr>
        <w:t xml:space="preserve">Florists and riders share terminals and work with wet hands. Email logins would have been abandoned within a week. Authentication is a short numeric code, hashed and backed by server-side session tokens. Adoption was immediate because the interaction matched how staff already thought about access.</w:t>
      </w:r>
    </w:p>
    <w:p>
      <w:pPr>
        <w:spacing w:after="50" w:before="160" w:line="276" w:lineRule="auto"/>
      </w:pPr>
      <w:r>
        <w:rPr>
          <w:rFonts w:ascii="Calibri" w:cs="Calibri" w:eastAsia="Calibri" w:hAnsi="Calibri"/>
          <w:b/>
          <w:bCs/>
          <w:color w:val="c8503a"/>
          <w:sz w:val="21"/>
          <w:szCs w:val="21"/>
        </w:rPr>
        <w:t xml:space="preserve">Storage moved off local disk</w:t>
      </w:r>
    </w:p>
    <w:p>
      <w:pPr>
        <w:spacing w:after="30" w:before="30" w:line="276" w:lineRule="auto"/>
      </w:pPr>
      <w:r>
        <w:rPr>
          <w:rFonts w:ascii="Calibri" w:cs="Calibri" w:eastAsia="Calibri" w:hAnsi="Calibri"/>
          <w:b w:val="false"/>
          <w:bCs w:val="false"/>
          <w:color w:val="1a1a2e"/>
          <w:sz w:val="20"/>
          <w:szCs w:val="20"/>
        </w:rPr>
        <w:t xml:space="preserve">Streamlit Community Cloud wipes the local filesystem on every restart. The first version stored uploaded photos locally and silently lost them. I migrated all uploads — inspiration photos, proof of payment, finished arrangements, proof of delivery — to a managed object storage bucket. Files became permanent and accessible from any device, including riders' phones in the field.</w:t>
      </w:r>
    </w:p>
    <w:p>
      <w:pPr>
        <w:spacing w:after="50" w:before="160" w:line="276" w:lineRule="auto"/>
      </w:pPr>
      <w:r>
        <w:rPr>
          <w:rFonts w:ascii="Calibri" w:cs="Calibri" w:eastAsia="Calibri" w:hAnsi="Calibri"/>
          <w:b/>
          <w:bCs/>
          <w:color w:val="c8503a"/>
          <w:sz w:val="21"/>
          <w:szCs w:val="21"/>
        </w:rPr>
        <w:t xml:space="preserve">A caching layer with immediate write invalidation</w:t>
      </w:r>
    </w:p>
    <w:p>
      <w:pPr>
        <w:spacing w:after="30" w:before="30" w:line="276" w:lineRule="auto"/>
      </w:pPr>
      <w:r>
        <w:rPr>
          <w:rFonts w:ascii="Calibri" w:cs="Calibri" w:eastAsia="Calibri" w:hAnsi="Calibri"/>
          <w:b w:val="false"/>
          <w:bCs w:val="false"/>
          <w:color w:val="1a1a2e"/>
          <w:sz w:val="20"/>
          <w:szCs w:val="20"/>
        </w:rPr>
        <w:t xml:space="preserve">Every read operation is cached briefly with an invalidation counter. Any write increments the counter, which forces the next read to bypass the cache. The result is that navigation feels instant while a user's own changes appear immediately — the failure mode that makes internal tools feel broken is seeing stale data after you just edited something.</w:t>
      </w:r>
    </w:p>
    <w:p>
      <w:pPr>
        <w:spacing w:after="50" w:before="160" w:line="276" w:lineRule="auto"/>
      </w:pPr>
      <w:r>
        <w:rPr>
          <w:rFonts w:ascii="Calibri" w:cs="Calibri" w:eastAsia="Calibri" w:hAnsi="Calibri"/>
          <w:b/>
          <w:bCs/>
          <w:color w:val="c8503a"/>
          <w:sz w:val="21"/>
          <w:szCs w:val="21"/>
        </w:rPr>
        <w:t xml:space="preserve">Pagination and indexing planned before they were needed</w:t>
      </w:r>
    </w:p>
    <w:p>
      <w:pPr>
        <w:spacing w:after="30" w:before="30" w:line="276" w:lineRule="auto"/>
      </w:pPr>
      <w:r>
        <w:rPr>
          <w:rFonts w:ascii="Calibri" w:cs="Calibri" w:eastAsia="Calibri" w:hAnsi="Calibri"/>
          <w:b w:val="false"/>
          <w:bCs w:val="false"/>
          <w:color w:val="1a1a2e"/>
          <w:sz w:val="20"/>
          <w:szCs w:val="20"/>
        </w:rPr>
        <w:t xml:space="preserve">At 500–1,000 orders per month, loading the full order history on every page render would degrade badly. All Orders defaults to a recent date window and paginates in manageable chunks. Database indexes were added on the columns that actually get filtered — status, branch, date, assigned staff — built before the volume demanded it. This was built before the volume arrived rather than after it became a complaint.</w:t>
      </w:r>
    </w:p>
    <w:p>
      <w:pPr>
        <w:spacing w:after="50" w:before="160" w:line="276" w:lineRule="auto"/>
      </w:pPr>
      <w:r>
        <w:rPr>
          <w:rFonts w:ascii="Calibri" w:cs="Calibri" w:eastAsia="Calibri" w:hAnsi="Calibri"/>
          <w:b/>
          <w:bCs/>
          <w:color w:val="c8503a"/>
          <w:sz w:val="21"/>
          <w:szCs w:val="21"/>
        </w:rPr>
        <w:t xml:space="preserve">Printable waybills generated as self-contained HTML</w:t>
      </w:r>
    </w:p>
    <w:p>
      <w:pPr>
        <w:spacing w:after="30" w:before="30" w:line="276" w:lineRule="auto"/>
      </w:pPr>
      <w:r>
        <w:rPr>
          <w:rFonts w:ascii="Calibri" w:cs="Calibri" w:eastAsia="Calibri" w:hAnsi="Calibri"/>
          <w:b w:val="false"/>
          <w:bCs w:val="false"/>
          <w:color w:val="1a1a2e"/>
          <w:sz w:val="20"/>
          <w:szCs w:val="20"/>
        </w:rPr>
        <w:t xml:space="preserve">Each order produces an A5 waybill containing the arrangement spec, flower breakdown, delivery window, card message, recipient details, and a QR code linking to a rider-facing delivery page served by a serverless function. Riders kept reporting blank QR codes on printed sheets — the cause was browsers dropping embedded images at print time, invisible on screen. The fix was switching to a vector format that prints reliably.</w:t>
      </w:r>
    </w:p>
    <w:p>
      <w:pPr>
        <w:spacing w:after="50" w:before="160" w:line="276" w:lineRule="auto"/>
      </w:pPr>
      <w:r>
        <w:rPr>
          <w:rFonts w:ascii="Calibri" w:cs="Calibri" w:eastAsia="Calibri" w:hAnsi="Calibri"/>
          <w:b/>
          <w:bCs/>
          <w:color w:val="c8503a"/>
          <w:sz w:val="21"/>
          <w:szCs w:val="21"/>
        </w:rPr>
        <w:t xml:space="preserve">An order parser for unstructured customer input</w:t>
      </w:r>
    </w:p>
    <w:p>
      <w:pPr>
        <w:spacing w:after="30" w:before="30" w:line="276" w:lineRule="auto"/>
      </w:pPr>
      <w:r>
        <w:rPr>
          <w:rFonts w:ascii="Calibri" w:cs="Calibri" w:eastAsia="Calibri" w:hAnsi="Calibri"/>
          <w:b w:val="false"/>
          <w:bCs w:val="false"/>
          <w:color w:val="1a1a2e"/>
          <w:sz w:val="20"/>
          <w:szCs w:val="20"/>
        </w:rPr>
        <w:t xml:space="preserve">Customers send orders as free-form Messenger messages using an inconsistent template, mixing Tagalog and English, frequently skipping fields. The parser handles delivery and pick-up formats, extracts pricing and payment method from a details block, normalises Philippine phone number formats, maps addresses to delivery zones through an alias table, and reports which required fields are missing so staff know exactly what to follow up on.</w:t>
      </w:r>
    </w:p>
    <w:p>
      <w:pPr>
        <w:pBdr>
          <w:bottom w:val="single" w:color="dddddd" w:sz="4"/>
        </w:pBdr>
        <w:spacing w:after="100" w:before="140" w:line="276" w:lineRule="auto"/>
      </w:pPr>
    </w:p>
    <w:p>
      <w:pPr>
        <w:spacing w:after="60" w:before="200" w:line="276" w:lineRule="auto"/>
      </w:pPr>
      <w:r>
        <w:rPr>
          <w:rFonts w:ascii="Calibri" w:cs="Calibri" w:eastAsia="Calibri" w:hAnsi="Calibri"/>
          <w:b/>
          <w:bCs/>
          <w:color w:val="1a1a2e"/>
          <w:sz w:val="28"/>
          <w:szCs w:val="28"/>
        </w:rPr>
        <w:t xml:space="preserve">Results</w:t>
      </w:r>
    </w:p>
    <w:p>
      <w:pPr>
        <w:spacing w:after="26" w:before="26" w:line="276" w:lineRule="auto"/>
        <w:ind w:left="340"/>
      </w:pPr>
      <w:r>
        <w:rPr>
          <w:rFonts w:ascii="Calibri" w:cs="Calibri" w:eastAsia="Calibri" w:hAnsi="Calibri"/>
          <w:b w:val="false"/>
          <w:bCs w:val="false"/>
          <w:color w:val="c8503a"/>
          <w:sz w:val="19"/>
          <w:szCs w:val="19"/>
        </w:rPr>
        <w:t xml:space="preserve">▪  </w:t>
      </w:r>
      <w:r>
        <w:rPr>
          <w:rFonts w:ascii="Calibri" w:cs="Calibri" w:eastAsia="Calibri" w:hAnsi="Calibri"/>
          <w:b w:val="false"/>
          <w:bCs w:val="false"/>
          <w:color w:val="1a1a2e"/>
          <w:sz w:val="20"/>
          <w:szCs w:val="20"/>
        </w:rPr>
        <w:t xml:space="preserve">Order intake, inventory, CRM, florist assignment, rider dispatch, HR, payroll, and financial reporting run in one system across all three branches. Notebooks and coordination spreadsheets were retired.</w:t>
      </w:r>
    </w:p>
    <w:p>
      <w:pPr>
        <w:spacing w:after="26" w:before="26" w:line="276" w:lineRule="auto"/>
        <w:ind w:left="340"/>
      </w:pPr>
      <w:r>
        <w:rPr>
          <w:rFonts w:ascii="Calibri" w:cs="Calibri" w:eastAsia="Calibri" w:hAnsi="Calibri"/>
          <w:b w:val="false"/>
          <w:bCs w:val="false"/>
          <w:color w:val="c8503a"/>
          <w:sz w:val="19"/>
          <w:szCs w:val="19"/>
        </w:rPr>
        <w:t xml:space="preserve">▪  </w:t>
      </w:r>
      <w:r>
        <w:rPr>
          <w:rFonts w:ascii="Calibri" w:cs="Calibri" w:eastAsia="Calibri" w:hAnsi="Calibri"/>
          <w:b w:val="false"/>
          <w:bCs w:val="false"/>
          <w:color w:val="1a1a2e"/>
          <w:sz w:val="20"/>
          <w:szCs w:val="20"/>
        </w:rPr>
        <w:t xml:space="preserve">Transcription is now a review step rather than a re-entry step. The parser produces a filled form; staff correct rather than type.</w:t>
      </w:r>
    </w:p>
    <w:p>
      <w:pPr>
        <w:spacing w:after="26" w:before="26" w:line="276" w:lineRule="auto"/>
        <w:ind w:left="340"/>
      </w:pPr>
      <w:r>
        <w:rPr>
          <w:rFonts w:ascii="Calibri" w:cs="Calibri" w:eastAsia="Calibri" w:hAnsi="Calibri"/>
          <w:b w:val="false"/>
          <w:bCs w:val="false"/>
          <w:color w:val="c8503a"/>
          <w:sz w:val="19"/>
          <w:szCs w:val="19"/>
        </w:rPr>
        <w:t xml:space="preserve">▪  </w:t>
      </w:r>
      <w:r>
        <w:rPr>
          <w:rFonts w:ascii="Calibri" w:cs="Calibri" w:eastAsia="Calibri" w:hAnsi="Calibri"/>
          <w:b w:val="false"/>
          <w:bCs w:val="false"/>
          <w:color w:val="1a1a2e"/>
          <w:sz w:val="20"/>
          <w:szCs w:val="20"/>
        </w:rPr>
        <w:t xml:space="preserve">Management can see branch-by-branch order volume, revenue, average order value, cancellations, failed deliveries, and waste cost side by side — previously impossible without manual consolidation.</w:t>
      </w:r>
    </w:p>
    <w:p>
      <w:pPr>
        <w:spacing w:after="26" w:before="26" w:line="276" w:lineRule="auto"/>
        <w:ind w:left="340"/>
      </w:pPr>
      <w:r>
        <w:rPr>
          <w:rFonts w:ascii="Calibri" w:cs="Calibri" w:eastAsia="Calibri" w:hAnsi="Calibri"/>
          <w:b w:val="false"/>
          <w:bCs w:val="false"/>
          <w:color w:val="c8503a"/>
          <w:sz w:val="19"/>
          <w:szCs w:val="19"/>
        </w:rPr>
        <w:t xml:space="preserve">▪  </w:t>
      </w:r>
      <w:r>
        <w:rPr>
          <w:rFonts w:ascii="Calibri" w:cs="Calibri" w:eastAsia="Calibri" w:hAnsi="Calibri"/>
          <w:b w:val="false"/>
          <w:bCs w:val="false"/>
          <w:color w:val="1a1a2e"/>
          <w:sz w:val="20"/>
          <w:szCs w:val="20"/>
        </w:rPr>
        <w:t xml:space="preserve">A restock forecast estimates daily usage per inventory item from the last 30 days of orders and flags anything projected to stock out within 14 days.</w:t>
      </w:r>
    </w:p>
    <w:p>
      <w:pPr>
        <w:spacing w:after="26" w:before="26" w:line="276" w:lineRule="auto"/>
        <w:ind w:left="340"/>
      </w:pPr>
      <w:r>
        <w:rPr>
          <w:rFonts w:ascii="Calibri" w:cs="Calibri" w:eastAsia="Calibri" w:hAnsi="Calibri"/>
          <w:b w:val="false"/>
          <w:bCs w:val="false"/>
          <w:color w:val="c8503a"/>
          <w:sz w:val="19"/>
          <w:szCs w:val="19"/>
        </w:rPr>
        <w:t xml:space="preserve">▪  </w:t>
      </w:r>
      <w:r>
        <w:rPr>
          <w:rFonts w:ascii="Calibri" w:cs="Calibri" w:eastAsia="Calibri" w:hAnsi="Calibri"/>
          <w:b w:val="false"/>
          <w:bCs w:val="false"/>
          <w:color w:val="1a1a2e"/>
          <w:sz w:val="20"/>
          <w:szCs w:val="20"/>
        </w:rPr>
        <w:t xml:space="preserve">The dashboard produces a copy-paste daily and weekly recap formatted for the management group chat — order counts, revenue, top arrangement, rush orders, low-stock alerts.</w:t>
      </w:r>
    </w:p>
    <w:p>
      <w:pPr>
        <w:spacing w:after="26" w:before="26" w:line="276" w:lineRule="auto"/>
        <w:ind w:left="340"/>
      </w:pPr>
      <w:r>
        <w:rPr>
          <w:rFonts w:ascii="Calibri" w:cs="Calibri" w:eastAsia="Calibri" w:hAnsi="Calibri"/>
          <w:b w:val="false"/>
          <w:bCs w:val="false"/>
          <w:color w:val="c8503a"/>
          <w:sz w:val="19"/>
          <w:szCs w:val="19"/>
        </w:rPr>
        <w:t xml:space="preserve">▪  </w:t>
      </w:r>
      <w:r>
        <w:rPr>
          <w:rFonts w:ascii="Calibri" w:cs="Calibri" w:eastAsia="Calibri" w:hAnsi="Calibri"/>
          <w:b w:val="false"/>
          <w:bCs w:val="false"/>
          <w:color w:val="1a1a2e"/>
          <w:sz w:val="20"/>
          <w:szCs w:val="20"/>
        </w:rPr>
        <w:t xml:space="preserve">The system has run continuously in production since June 2026 at zero infrastructure cost.</w:t>
      </w:r>
    </w:p>
    <w:p>
      <w:r>
        <w:br w:type="page"/>
      </w:r>
    </w:p>
    <w:p>
      <w:pPr>
        <w:spacing w:after="60" w:before="200" w:line="276" w:lineRule="auto"/>
      </w:pPr>
      <w:r>
        <w:rPr>
          <w:rFonts w:ascii="Calibri" w:cs="Calibri" w:eastAsia="Calibri" w:hAnsi="Calibri"/>
          <w:b/>
          <w:bCs/>
          <w:color w:val="1a1a2e"/>
          <w:sz w:val="28"/>
          <w:szCs w:val="28"/>
        </w:rPr>
        <w:t xml:space="preserve">The advertising side</w:t>
      </w:r>
    </w:p>
    <w:p>
      <w:pPr>
        <w:spacing w:after="30" w:before="30" w:line="276" w:lineRule="auto"/>
      </w:pPr>
      <w:r>
        <w:rPr>
          <w:rFonts w:ascii="Calibri" w:cs="Calibri" w:eastAsia="Calibri" w:hAnsi="Calibri"/>
          <w:b w:val="false"/>
          <w:bCs w:val="false"/>
          <w:color w:val="1a1a2e"/>
          <w:sz w:val="20"/>
          <w:szCs w:val="20"/>
        </w:rPr>
        <w:t xml:space="preserve">Alongside development, I run the company's entire Meta Ads operation across three branch accounts — campaign structure, creative direction, budget allocation, and performance analysis.</w:t>
      </w:r>
    </w:p>
    <w:tbl>
      <w:tblPr>
        <w:tblW w:type="dxa" w:w="9000"/>
        <w:tblBorders>
          <w:top w:val="none" w:sz="0"/>
          <w:left w:val="none" w:sz="0"/>
          <w:bottom w:val="none" w:sz="0"/>
          <w:right w:val="none" w:sz="0"/>
          <w:insideH w:val="none" w:sz="0"/>
          <w:insideV w:val="none" w:sz="0"/>
        </w:tblBorders>
      </w:tblPr>
      <w:tblGrid>
        <w:gridCol w:w="2250"/>
        <w:gridCol w:w="2250"/>
        <w:gridCol w:w="2250"/>
        <w:gridCol w:w="2250"/>
      </w:tblGrid>
      <w:tr>
        <w:tc>
          <w:tcPr>
            <w:tcW w:type="dxa" w:w="2250"/>
            <w:shd w:fill="f7f5f2" w:val="clear"/>
            <w:tcMar>
              <w:top w:type="dxa" w:w="160"/>
              <w:left w:type="dxa" w:w="120"/>
              <w:bottom w:type="dxa" w:w="160"/>
              <w:right w:type="dxa" w:w="120"/>
            </w:tcMar>
          </w:tcPr>
          <w:p>
            <w:pPr>
              <w:spacing w:after="20" w:before="0" w:line="276" w:lineRule="auto"/>
            </w:pPr>
            <w:r>
              <w:rPr>
                <w:rFonts w:ascii="Calibri" w:cs="Calibri" w:eastAsia="Calibri" w:hAnsi="Calibri"/>
                <w:b/>
                <w:bCs/>
                <w:color w:val="c8503a"/>
                <w:sz w:val="30"/>
                <w:szCs w:val="30"/>
              </w:rPr>
              <w:t xml:space="preserve">8.72×</w:t>
            </w:r>
          </w:p>
          <w:p>
            <w:pPr>
              <w:spacing w:after="0" w:before="0" w:line="276" w:lineRule="auto"/>
            </w:pPr>
            <w:r>
              <w:rPr>
                <w:rFonts w:ascii="Calibri" w:cs="Calibri" w:eastAsia="Calibri" w:hAnsi="Calibri"/>
                <w:b w:val="false"/>
                <w:bCs w:val="false"/>
                <w:color w:val="5a5a5a"/>
                <w:sz w:val="16"/>
                <w:szCs w:val="16"/>
              </w:rPr>
              <w:t xml:space="preserve">BLENDED ROAS</w:t>
            </w:r>
          </w:p>
        </w:tc>
        <w:tc>
          <w:tcPr>
            <w:tcW w:type="dxa" w:w="2250"/>
            <w:shd w:fill="f7f5f2" w:val="clear"/>
            <w:tcMar>
              <w:top w:type="dxa" w:w="160"/>
              <w:left w:type="dxa" w:w="120"/>
              <w:bottom w:type="dxa" w:w="160"/>
              <w:right w:type="dxa" w:w="120"/>
            </w:tcMar>
          </w:tcPr>
          <w:p>
            <w:pPr>
              <w:spacing w:after="20" w:before="0" w:line="276" w:lineRule="auto"/>
            </w:pPr>
            <w:r>
              <w:rPr>
                <w:rFonts w:ascii="Calibri" w:cs="Calibri" w:eastAsia="Calibri" w:hAnsi="Calibri"/>
                <w:b/>
                <w:bCs/>
                <w:color w:val="c8503a"/>
                <w:sz w:val="30"/>
                <w:szCs w:val="30"/>
              </w:rPr>
              <w:t xml:space="preserve">27.10×</w:t>
            </w:r>
          </w:p>
          <w:p>
            <w:pPr>
              <w:spacing w:after="0" w:before="0" w:line="276" w:lineRule="auto"/>
            </w:pPr>
            <w:r>
              <w:rPr>
                <w:rFonts w:ascii="Calibri" w:cs="Calibri" w:eastAsia="Calibri" w:hAnsi="Calibri"/>
                <w:b w:val="false"/>
                <w:bCs w:val="false"/>
                <w:color w:val="5a5a5a"/>
                <w:sz w:val="16"/>
                <w:szCs w:val="16"/>
              </w:rPr>
              <w:t xml:space="preserve">BEST CAMPAIGN</w:t>
            </w:r>
          </w:p>
        </w:tc>
        <w:tc>
          <w:tcPr>
            <w:tcW w:type="dxa" w:w="2250"/>
            <w:shd w:fill="f7f5f2" w:val="clear"/>
            <w:tcMar>
              <w:top w:type="dxa" w:w="160"/>
              <w:left w:type="dxa" w:w="120"/>
              <w:bottom w:type="dxa" w:w="160"/>
              <w:right w:type="dxa" w:w="120"/>
            </w:tcMar>
          </w:tcPr>
          <w:p>
            <w:pPr>
              <w:spacing w:after="20" w:before="0" w:line="276" w:lineRule="auto"/>
            </w:pPr>
            <w:r>
              <w:rPr>
                <w:rFonts w:ascii="Calibri" w:cs="Calibri" w:eastAsia="Calibri" w:hAnsi="Calibri"/>
                <w:b/>
                <w:bCs/>
                <w:color w:val="c8503a"/>
                <w:sz w:val="30"/>
                <w:szCs w:val="30"/>
              </w:rPr>
              <w:t xml:space="preserve">₱67</w:t>
            </w:r>
          </w:p>
          <w:p>
            <w:pPr>
              <w:spacing w:after="0" w:before="0" w:line="276" w:lineRule="auto"/>
            </w:pPr>
            <w:r>
              <w:rPr>
                <w:rFonts w:ascii="Calibri" w:cs="Calibri" w:eastAsia="Calibri" w:hAnsi="Calibri"/>
                <w:b w:val="false"/>
                <w:bCs w:val="false"/>
                <w:color w:val="5a5a5a"/>
                <w:sz w:val="16"/>
                <w:szCs w:val="16"/>
              </w:rPr>
              <w:t xml:space="preserve">LOWEST CPA</w:t>
            </w:r>
          </w:p>
        </w:tc>
        <w:tc>
          <w:tcPr>
            <w:tcW w:type="dxa" w:w="2250"/>
            <w:shd w:fill="f7f5f2" w:val="clear"/>
            <w:tcMar>
              <w:top w:type="dxa" w:w="160"/>
              <w:left w:type="dxa" w:w="120"/>
              <w:bottom w:type="dxa" w:w="160"/>
              <w:right w:type="dxa" w:w="120"/>
            </w:tcMar>
          </w:tcPr>
          <w:p>
            <w:pPr>
              <w:spacing w:after="20" w:before="0" w:line="276" w:lineRule="auto"/>
            </w:pPr>
            <w:r>
              <w:rPr>
                <w:rFonts w:ascii="Calibri" w:cs="Calibri" w:eastAsia="Calibri" w:hAnsi="Calibri"/>
                <w:b/>
                <w:bCs/>
                <w:color w:val="c8503a"/>
                <w:sz w:val="30"/>
                <w:szCs w:val="30"/>
              </w:rPr>
              <w:t xml:space="preserve">495,705</w:t>
            </w:r>
          </w:p>
          <w:p>
            <w:pPr>
              <w:spacing w:after="0" w:before="0" w:line="276" w:lineRule="auto"/>
            </w:pPr>
            <w:r>
              <w:rPr>
                <w:rFonts w:ascii="Calibri" w:cs="Calibri" w:eastAsia="Calibri" w:hAnsi="Calibri"/>
                <w:b w:val="false"/>
                <w:bCs w:val="false"/>
                <w:color w:val="5a5a5a"/>
                <w:sz w:val="16"/>
                <w:szCs w:val="16"/>
              </w:rPr>
              <w:t xml:space="preserve">ACCOUNTS REACHED</w:t>
            </w:r>
          </w:p>
        </w:tc>
      </w:tr>
    </w:tbl>
    <w:p>
      <w:pPr>
        <w:spacing w:after="30" w:before="30" w:line="276" w:lineRule="auto"/>
      </w:pPr>
      <w:r>
        <w:rPr>
          <w:rFonts w:ascii="Calibri" w:cs="Calibri" w:eastAsia="Calibri" w:hAnsi="Calibri"/>
          <w:b w:val="false"/>
          <w:bCs w:val="false"/>
          <w:color w:val="5a5a5a"/>
          <w:sz w:val="20"/>
          <w:szCs w:val="20"/>
        </w:rPr>
        <w:t xml:space="preserve">The blended return of 8.72× sits at 4.4× the 2.0× benchmark commonly cited for retail e-commerce. The 495,705 figure covers unique accounts reached across all branches within a 16-day campaign window.</w:t>
      </w:r>
    </w:p>
    <w:p>
      <w:pPr>
        <w:spacing w:after="50" w:before="160" w:line="276" w:lineRule="auto"/>
      </w:pPr>
      <w:r>
        <w:rPr>
          <w:rFonts w:ascii="Calibri" w:cs="Calibri" w:eastAsia="Calibri" w:hAnsi="Calibri"/>
          <w:b/>
          <w:bCs/>
          <w:color w:val="c8503a"/>
          <w:sz w:val="21"/>
          <w:szCs w:val="21"/>
        </w:rPr>
        <w:t xml:space="preserve">The attribution finding</w:t>
      </w:r>
    </w:p>
    <w:p>
      <w:pPr>
        <w:spacing w:after="30" w:before="30" w:line="276" w:lineRule="auto"/>
      </w:pPr>
      <w:r>
        <w:rPr>
          <w:rFonts w:ascii="Calibri" w:cs="Calibri" w:eastAsia="Calibri" w:hAnsi="Calibri"/>
          <w:b w:val="false"/>
          <w:bCs w:val="false"/>
          <w:color w:val="1a1a2e"/>
          <w:sz w:val="20"/>
          <w:szCs w:val="20"/>
        </w:rPr>
        <w:t xml:space="preserve">The more consequential result was analytical rather than operational. Because Bloom OS captures every order regardless of how it arrives, I was able to reconcile first-party order records against what Meta Ads Manager reported as conversions.</w:t>
      </w:r>
    </w:p>
    <w:p>
      <w:pPr>
        <w:spacing w:after="30" w:before="30" w:line="276" w:lineRule="auto"/>
      </w:pPr>
      <w:r>
        <w:rPr>
          <w:rFonts w:ascii="Calibri" w:cs="Calibri" w:eastAsia="Calibri" w:hAnsi="Calibri"/>
          <w:b w:val="false"/>
          <w:bCs w:val="false"/>
          <w:color w:val="1a1a2e"/>
          <w:sz w:val="20"/>
          <w:szCs w:val="20"/>
        </w:rPr>
        <w:t xml:space="preserve">Over 80% of orders were invisible to Meta's tracking. Orders closing through Messenger conversations, GCash transfers, and walk-in visits attributed to nothing, because no pixel event fired anywhere in those paths.</w:t>
      </w:r>
    </w:p>
    <w:p>
      <w:pPr>
        <w:spacing w:after="30" w:before="30" w:line="276" w:lineRule="auto"/>
      </w:pPr>
      <w:r>
        <w:rPr>
          <w:rFonts w:ascii="Calibri" w:cs="Calibri" w:eastAsia="Calibri" w:hAnsi="Calibri"/>
          <w:b w:val="false"/>
          <w:bCs w:val="false"/>
          <w:color w:val="1a1a2e"/>
          <w:sz w:val="20"/>
          <w:szCs w:val="20"/>
        </w:rPr>
        <w:t xml:space="preserve">The practical consequence is that campaigns appearing to underperform in Ads Manager were, by actual revenue, likely among the strongest. Budget was being allocated against a systematically incomplete picture. Having first-party data in a queryable database is what made the gap visible at all — the ads platform cannot report on conversions it never sees.</w:t>
      </w:r>
    </w:p>
    <w:p>
      <w:pPr>
        <w:pBdr>
          <w:bottom w:val="single" w:color="dddddd" w:sz="4"/>
        </w:pBdr>
        <w:spacing w:after="100" w:before="140" w:line="276" w:lineRule="auto"/>
      </w:pPr>
    </w:p>
    <w:p>
      <w:pPr>
        <w:spacing w:after="60" w:before="200" w:line="276" w:lineRule="auto"/>
      </w:pPr>
      <w:r>
        <w:rPr>
          <w:rFonts w:ascii="Calibri" w:cs="Calibri" w:eastAsia="Calibri" w:hAnsi="Calibri"/>
          <w:b/>
          <w:bCs/>
          <w:color w:val="1a1a2e"/>
          <w:sz w:val="28"/>
          <w:szCs w:val="28"/>
        </w:rPr>
        <w:t xml:space="preserve">What I would build next</w:t>
      </w:r>
    </w:p>
    <w:p>
      <w:pPr>
        <w:spacing w:after="30" w:before="30" w:line="276" w:lineRule="auto"/>
      </w:pPr>
      <w:r>
        <w:rPr>
          <w:rFonts w:ascii="Calibri" w:cs="Calibri" w:eastAsia="Calibri" w:hAnsi="Calibri"/>
          <w:b w:val="false"/>
          <w:bCs w:val="false"/>
          <w:color w:val="1a1a2e"/>
          <w:sz w:val="20"/>
          <w:szCs w:val="20"/>
        </w:rPr>
        <w:t xml:space="preserve">The current Streamlit implementation is the right answer for the constraints it was built under — zero budget, one developer, immediate deployment. It is not the right answer indefinitely.</w:t>
      </w:r>
    </w:p>
    <w:p>
      <w:pPr>
        <w:spacing w:after="26" w:before="26" w:line="276" w:lineRule="auto"/>
      </w:pPr>
      <w:r>
        <w:rPr>
          <w:rFonts w:ascii="Calibri" w:cs="Calibri" w:eastAsia="Calibri" w:hAnsi="Calibri"/>
          <w:b/>
          <w:bCs/>
          <w:color w:val="5a5a5a"/>
          <w:sz w:val="18"/>
          <w:szCs w:val="18"/>
        </w:rPr>
        <w:t xml:space="preserve">Frontend   </w:t>
      </w:r>
      <w:r>
        <w:rPr>
          <w:rFonts w:ascii="Calibri" w:cs="Calibri" w:eastAsia="Calibri" w:hAnsi="Calibri"/>
          <w:b w:val="false"/>
          <w:bCs w:val="false"/>
          <w:color w:val="1a1a2e"/>
          <w:sz w:val="20"/>
          <w:szCs w:val="20"/>
        </w:rPr>
        <w:t xml:space="preserve">React + Vite (TypeScript) as a progressive web app — installable on staff phones, offline-tolerant for riders in low-signal areas</w:t>
      </w:r>
    </w:p>
    <w:p>
      <w:pPr>
        <w:spacing w:after="26" w:before="26" w:line="276" w:lineRule="auto"/>
      </w:pPr>
      <w:r>
        <w:rPr>
          <w:rFonts w:ascii="Calibri" w:cs="Calibri" w:eastAsia="Calibri" w:hAnsi="Calibri"/>
          <w:b/>
          <w:bCs/>
          <w:color w:val="5a5a5a"/>
          <w:sz w:val="18"/>
          <w:szCs w:val="18"/>
        </w:rPr>
        <w:t xml:space="preserve">Backend   </w:t>
      </w:r>
      <w:r>
        <w:rPr>
          <w:rFonts w:ascii="Calibri" w:cs="Calibri" w:eastAsia="Calibri" w:hAnsi="Calibri"/>
          <w:b w:val="false"/>
          <w:bCs w:val="false"/>
          <w:color w:val="1a1a2e"/>
          <w:sz w:val="20"/>
          <w:szCs w:val="20"/>
        </w:rPr>
        <w:t xml:space="preserve">FastAPI — the same PIN and session logic, exposed as a proper API rather than coupled to the UI layer</w:t>
      </w:r>
    </w:p>
    <w:p>
      <w:pPr>
        <w:spacing w:after="26" w:before="26" w:line="276" w:lineRule="auto"/>
      </w:pPr>
      <w:r>
        <w:rPr>
          <w:rFonts w:ascii="Calibri" w:cs="Calibri" w:eastAsia="Calibri" w:hAnsi="Calibri"/>
          <w:b/>
          <w:bCs/>
          <w:color w:val="5a5a5a"/>
          <w:sz w:val="18"/>
          <w:szCs w:val="18"/>
        </w:rPr>
        <w:t xml:space="preserve">Database   </w:t>
      </w:r>
      <w:r>
        <w:rPr>
          <w:rFonts w:ascii="Calibri" w:cs="Calibri" w:eastAsia="Calibri" w:hAnsi="Calibri"/>
          <w:b w:val="false"/>
          <w:bCs w:val="false"/>
          <w:color w:val="1a1a2e"/>
          <w:sz w:val="20"/>
          <w:szCs w:val="20"/>
        </w:rPr>
        <w:t xml:space="preserve">Supabase retained unchanged — schema, access control, storage, and serverless functions all carry over</w:t>
      </w:r>
    </w:p>
    <w:p>
      <w:pPr>
        <w:spacing w:after="26" w:before="26" w:line="276" w:lineRule="auto"/>
      </w:pPr>
      <w:r>
        <w:rPr>
          <w:rFonts w:ascii="Calibri" w:cs="Calibri" w:eastAsia="Calibri" w:hAnsi="Calibri"/>
          <w:b/>
          <w:bCs/>
          <w:color w:val="5a5a5a"/>
          <w:sz w:val="18"/>
          <w:szCs w:val="18"/>
        </w:rPr>
        <w:t xml:space="preserve">Hosting   </w:t>
      </w:r>
      <w:r>
        <w:rPr>
          <w:rFonts w:ascii="Calibri" w:cs="Calibri" w:eastAsia="Calibri" w:hAnsi="Calibri"/>
          <w:b w:val="false"/>
          <w:bCs w:val="false"/>
          <w:color w:val="1a1a2e"/>
          <w:sz w:val="20"/>
          <w:szCs w:val="20"/>
        </w:rPr>
        <w:t xml:space="preserve">Vercel for frontend, Railway or Render for backend</w:t>
      </w:r>
    </w:p>
    <w:p>
      <w:pPr>
        <w:spacing w:after="30" w:before="30" w:line="276" w:lineRule="auto"/>
      </w:pPr>
      <w:r>
        <w:rPr>
          <w:rFonts w:ascii="Calibri" w:cs="Calibri" w:eastAsia="Calibri" w:hAnsi="Calibri"/>
          <w:b w:val="false"/>
          <w:bCs w:val="false"/>
          <w:color w:val="5a5a5a"/>
          <w:sz w:val="20"/>
          <w:szCs w:val="20"/>
        </w:rPr>
        <w:t xml:space="preserve">The migration is deliberately application-layer only. The data model has held up under production use and does not need to move. That constraint is what makes the migration tractable for one developer.</w:t>
      </w:r>
    </w:p>
    <w:p>
      <w:pPr>
        <w:pBdr>
          <w:bottom w:val="single" w:color="dddddd" w:sz="4"/>
        </w:pBdr>
        <w:spacing w:after="100" w:before="140" w:line="276" w:lineRule="auto"/>
      </w:pPr>
    </w:p>
    <w:p>
      <w:pPr>
        <w:spacing w:after="60" w:before="200" w:line="276" w:lineRule="auto"/>
      </w:pPr>
      <w:r>
        <w:rPr>
          <w:rFonts w:ascii="Calibri" w:cs="Calibri" w:eastAsia="Calibri" w:hAnsi="Calibri"/>
          <w:b/>
          <w:bCs/>
          <w:color w:val="1a1a2e"/>
          <w:sz w:val="28"/>
          <w:szCs w:val="28"/>
        </w:rPr>
        <w:t xml:space="preserve">What this demonstrates</w:t>
      </w:r>
    </w:p>
    <w:p>
      <w:pPr>
        <w:spacing w:after="26" w:before="26" w:line="276" w:lineRule="auto"/>
        <w:ind w:left="340"/>
      </w:pPr>
      <w:r>
        <w:rPr>
          <w:rFonts w:ascii="Calibri" w:cs="Calibri" w:eastAsia="Calibri" w:hAnsi="Calibri"/>
          <w:b w:val="false"/>
          <w:bCs w:val="false"/>
          <w:color w:val="c8503a"/>
          <w:sz w:val="19"/>
          <w:szCs w:val="19"/>
        </w:rPr>
        <w:t xml:space="preserve">▪  </w:t>
      </w:r>
      <w:r>
        <w:rPr>
          <w:rFonts w:ascii="Calibri" w:cs="Calibri" w:eastAsia="Calibri" w:hAnsi="Calibri"/>
          <w:b/>
          <w:bCs/>
          <w:color w:val="1a1a2e"/>
          <w:sz w:val="20"/>
          <w:szCs w:val="20"/>
        </w:rPr>
        <w:t xml:space="preserve">End-to-end delivery.  </w:t>
      </w:r>
      <w:r>
        <w:rPr>
          <w:rFonts w:ascii="Calibri" w:cs="Calibri" w:eastAsia="Calibri" w:hAnsi="Calibri"/>
          <w:b w:val="false"/>
          <w:bCs w:val="false"/>
          <w:color w:val="1a1a2e"/>
          <w:sz w:val="20"/>
          <w:szCs w:val="20"/>
        </w:rPr>
        <w:t xml:space="preserve">Schema design, backend logic, interface, deployment pipeline, and production support — with no team to hand any layer off to.</w:t>
      </w:r>
    </w:p>
    <w:p>
      <w:pPr>
        <w:spacing w:after="26" w:before="26" w:line="276" w:lineRule="auto"/>
        <w:ind w:left="340"/>
      </w:pPr>
      <w:r>
        <w:rPr>
          <w:rFonts w:ascii="Calibri" w:cs="Calibri" w:eastAsia="Calibri" w:hAnsi="Calibri"/>
          <w:b w:val="false"/>
          <w:bCs w:val="false"/>
          <w:color w:val="c8503a"/>
          <w:sz w:val="19"/>
          <w:szCs w:val="19"/>
        </w:rPr>
        <w:t xml:space="preserve">▪  </w:t>
      </w:r>
      <w:r>
        <w:rPr>
          <w:rFonts w:ascii="Calibri" w:cs="Calibri" w:eastAsia="Calibri" w:hAnsi="Calibri"/>
          <w:b/>
          <w:bCs/>
          <w:color w:val="1a1a2e"/>
          <w:sz w:val="20"/>
          <w:szCs w:val="20"/>
        </w:rPr>
        <w:t xml:space="preserve">Constraint-led engineering.  </w:t>
      </w:r>
      <w:r>
        <w:rPr>
          <w:rFonts w:ascii="Calibri" w:cs="Calibri" w:eastAsia="Calibri" w:hAnsi="Calibri"/>
          <w:b w:val="false"/>
          <w:bCs w:val="false"/>
          <w:color w:val="1a1a2e"/>
          <w:sz w:val="20"/>
          <w:szCs w:val="20"/>
        </w:rPr>
        <w:t xml:space="preserve">The technical choices were driven by who was using the system and what the business could afford, not by what was interesting to build.</w:t>
      </w:r>
    </w:p>
    <w:p>
      <w:pPr>
        <w:spacing w:after="26" w:before="26" w:line="276" w:lineRule="auto"/>
        <w:ind w:left="340"/>
      </w:pPr>
      <w:r>
        <w:rPr>
          <w:rFonts w:ascii="Calibri" w:cs="Calibri" w:eastAsia="Calibri" w:hAnsi="Calibri"/>
          <w:b w:val="false"/>
          <w:bCs w:val="false"/>
          <w:color w:val="c8503a"/>
          <w:sz w:val="19"/>
          <w:szCs w:val="19"/>
        </w:rPr>
        <w:t xml:space="preserve">▪  </w:t>
      </w:r>
      <w:r>
        <w:rPr>
          <w:rFonts w:ascii="Calibri" w:cs="Calibri" w:eastAsia="Calibri" w:hAnsi="Calibri"/>
          <w:b/>
          <w:bCs/>
          <w:color w:val="1a1a2e"/>
          <w:sz w:val="20"/>
          <w:szCs w:val="20"/>
        </w:rPr>
        <w:t xml:space="preserve">Anticipating failure modes.  </w:t>
      </w:r>
      <w:r>
        <w:rPr>
          <w:rFonts w:ascii="Calibri" w:cs="Calibri" w:eastAsia="Calibri" w:hAnsi="Calibri"/>
          <w:b w:val="false"/>
          <w:bCs w:val="false"/>
          <w:color w:val="1a1a2e"/>
          <w:sz w:val="20"/>
          <w:szCs w:val="20"/>
        </w:rPr>
        <w:t xml:space="preserve">Caching, pagination, and indexing were in place before volume demanded them. Storage was migrated when the platform's ephemeral disk was understood, not after data loss became routine.</w:t>
      </w:r>
    </w:p>
    <w:p>
      <w:pPr>
        <w:spacing w:after="26" w:before="26" w:line="276" w:lineRule="auto"/>
        <w:ind w:left="340"/>
      </w:pPr>
      <w:r>
        <w:rPr>
          <w:rFonts w:ascii="Calibri" w:cs="Calibri" w:eastAsia="Calibri" w:hAnsi="Calibri"/>
          <w:b w:val="false"/>
          <w:bCs w:val="false"/>
          <w:color w:val="c8503a"/>
          <w:sz w:val="19"/>
          <w:szCs w:val="19"/>
        </w:rPr>
        <w:t xml:space="preserve">▪  </w:t>
      </w:r>
      <w:r>
        <w:rPr>
          <w:rFonts w:ascii="Calibri" w:cs="Calibri" w:eastAsia="Calibri" w:hAnsi="Calibri"/>
          <w:b/>
          <w:bCs/>
          <w:color w:val="1a1a2e"/>
          <w:sz w:val="20"/>
          <w:szCs w:val="20"/>
        </w:rPr>
        <w:t xml:space="preserve">Analytical judgment.  </w:t>
      </w:r>
      <w:r>
        <w:rPr>
          <w:rFonts w:ascii="Calibri" w:cs="Calibri" w:eastAsia="Calibri" w:hAnsi="Calibri"/>
          <w:b w:val="false"/>
          <w:bCs w:val="false"/>
          <w:color w:val="1a1a2e"/>
          <w:sz w:val="20"/>
          <w:szCs w:val="20"/>
        </w:rPr>
        <w:t xml:space="preserve">The attribution finding came from asking whether the reported numbers were true, then building the reconciliation to check. That instinct transfers to any data the business depends on.</w:t>
      </w:r>
    </w:p>
    <w:p>
      <w:pPr>
        <w:pBdr>
          <w:bottom w:val="single" w:color="c8503a" w:sz="6"/>
        </w:pBdr>
        <w:spacing w:after="60" w:before="60" w:line="276" w:lineRule="auto"/>
      </w:pPr>
    </w:p>
    <w:p>
      <w:pPr>
        <w:spacing w:after="0" w:before="80" w:line="276" w:lineRule="auto"/>
      </w:pPr>
      <w:r>
        <w:rPr>
          <w:rFonts w:ascii="Calibri" w:cs="Calibri" w:eastAsia="Calibri" w:hAnsi="Calibri"/>
          <w:b/>
          <w:bCs/>
          <w:color w:val="1a1a2e"/>
          <w:sz w:val="20"/>
          <w:szCs w:val="20"/>
        </w:rPr>
        <w:t xml:space="preserve">John Rodgerson D. Bilan</w:t>
      </w:r>
      <w:r>
        <w:rPr>
          <w:rFonts w:ascii="Calibri" w:cs="Calibri" w:eastAsia="Calibri" w:hAnsi="Calibri"/>
          <w:b w:val="false"/>
          <w:bCs w:val="false"/>
          <w:color w:val="5a5a5a"/>
          <w:sz w:val="18"/>
          <w:szCs w:val="18"/>
        </w:rPr>
        <w:t xml:space="preserve">   ·   bilanj159@gmail.com   ·   github.com/jae-wya/angiessystem   ·   Available for remote work</w:t>
      </w:r>
    </w:p>
    <w:sectPr>
      <w:pgSz w:w="11906" w:h="16838" w:orient="portrait"/>
      <w:pgMar w:top="760" w:right="900" w:bottom="7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2026-08-21T08:55:34.732Z</dcterms:created>
  <dcterms:modified xsi:type="dcterms:W3CDTF">2026-08-21T08:55:34.732Z</dcterms:modified>
</cp:coreProperties>
</file>

<file path=docProps/custom.xml><?xml version="1.0" encoding="utf-8"?>
<Properties xmlns="http://schemas.openxmlformats.org/officeDocument/2006/custom-properties" xmlns:vt="http://schemas.openxmlformats.org/officeDocument/2006/docPropsVTypes"/>
</file>