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5 - HomePulse 2.0: Smart Home Telemetry, Automation, Alerts, and Monitoring - Software Requirements Specification</w:t>
      </w:r>
    </w:p>
    <w:p>
      <w:pPr>
        <w:jc w:val="center"/>
      </w:pPr>
      <w:r>
        <w:rPr>
          <w:i/>
        </w:rPr>
        <w:t>CSCI 4534 - Software Testing and Quality Assurance</w:t>
        <w:br/>
        <w:t>Student Project Requirements Package</w:t>
      </w:r>
    </w:p>
    <w:p>
      <w:pPr>
        <w:pStyle w:val="Heading1"/>
      </w:pPr>
      <w:r>
        <w:t>1. Purpose and Product Context</w:t>
      </w:r>
    </w:p>
    <w:p>
      <w:r>
        <w:t>HomePulse manages multiple smart homes, per-home membership, device registration/tokens, telemetry ingestion, manual commands, scenes, event-driven automation rules, schedules, alerts/acknowledgements, optional monitoring, outbound webhooks, retention, diagnostics, and reconciliation. The project emphasizes event ordering, replay protection, authorization across tenant boundaries, rule conflicts/cooldowns, timezones, asynchronous retries, secret handling, and nonfunctional reliability/security.</w:t>
      </w:r>
    </w:p>
    <w:p>
      <w:pPr>
        <w:pStyle w:val="Heading1"/>
      </w:pPr>
      <w:r>
        <w:t>2. Intended Users and Roles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Home Owner</w:t>
            </w:r>
          </w:p>
        </w:tc>
        <w:tc>
          <w:tcPr>
            <w:tcW w:type="dxa" w:w="5112"/>
            <w:vAlign w:val="top"/>
          </w:tcPr>
          <w:p>
            <w:r>
              <w:t>Own one or more homes; manage membership, devices, scenes/rules, alerts, and configuration.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Home Member</w:t>
            </w:r>
          </w:p>
        </w:tc>
        <w:tc>
          <w:tcPr>
            <w:tcW w:type="dxa" w:w="5112"/>
            <w:vAlign w:val="top"/>
          </w:tcPr>
          <w:p>
            <w:r>
              <w:t>Operate authorized devices/scenes and view home status according to per-home role.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Installer</w:t>
            </w:r>
          </w:p>
        </w:tc>
        <w:tc>
          <w:tcPr>
            <w:tcW w:type="dxa" w:w="5112"/>
            <w:vAlign w:val="top"/>
          </w:tcPr>
          <w:p>
            <w:r>
              <w:t>Provision/configure devices during an authorized installation workflow but has limited ongoing household-data access.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Monitoring Operator</w:t>
            </w:r>
          </w:p>
        </w:tc>
        <w:tc>
          <w:tcPr>
            <w:tcW w:type="dxa" w:w="5112"/>
            <w:vAlign w:val="top"/>
          </w:tcPr>
          <w:p>
            <w:r>
              <w:t>View and process only alerts for homes enrolled in monitoring according to least-privilege rules.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Administrator</w:t>
            </w:r>
          </w:p>
        </w:tc>
        <w:tc>
          <w:tcPr>
            <w:tcW w:type="dxa" w:w="5112"/>
            <w:vAlign w:val="top"/>
          </w:tcPr>
          <w:p>
            <w:r>
              <w:t>Run maintenance/reconciliation operations and manage system-level support functions.</w:t>
            </w:r>
          </w:p>
        </w:tc>
      </w:tr>
    </w:tbl>
    <w:p>
      <w:pPr>
        <w:pStyle w:val="Heading1"/>
      </w:pPr>
      <w:r>
        <w:t>3.1 In Scope</w:t>
      </w:r>
    </w:p>
    <w:p>
      <w:pPr>
        <w:pStyle w:val="ListBullet"/>
      </w:pPr>
      <w:r>
        <w:t>Multiple homes with per-home membership and role authorization.</w:t>
      </w:r>
    </w:p>
    <w:p>
      <w:pPr>
        <w:pStyle w:val="ListBullet"/>
      </w:pPr>
      <w:r>
        <w:t>Devices with capabilities, external IDs, status, firmware, and device credentials.</w:t>
      </w:r>
    </w:p>
    <w:p>
      <w:pPr>
        <w:pStyle w:val="ListBullet"/>
      </w:pPr>
      <w:r>
        <w:t>Telemetry ingestion with source event IDs, reported/received time, and device health.</w:t>
      </w:r>
    </w:p>
    <w:p>
      <w:pPr>
        <w:pStyle w:val="ListBullet"/>
      </w:pPr>
      <w:r>
        <w:t>Manual device commands and multi-action scenes.</w:t>
      </w:r>
    </w:p>
    <w:p>
      <w:pPr>
        <w:pStyle w:val="ListBullet"/>
      </w:pPr>
      <w:r>
        <w:t>Event-driven rules with conditions, priorities, cooldowns, and ordered actions.</w:t>
      </w:r>
    </w:p>
    <w:p>
      <w:pPr>
        <w:pStyle w:val="ListBullet"/>
      </w:pPr>
      <w:r>
        <w:t>Time-based schedules with timezone/weekday behavior.</w:t>
      </w:r>
    </w:p>
    <w:p>
      <w:pPr>
        <w:pStyle w:val="ListBullet"/>
      </w:pPr>
      <w:r>
        <w:t>Alerts, deduplication, acknowledgement, resolution, and optional monitoring integration.</w:t>
      </w:r>
    </w:p>
    <w:p>
      <w:pPr>
        <w:pStyle w:val="ListBullet"/>
      </w:pPr>
      <w:r>
        <w:t>Outbound webhooks with retry, telemetry retention/archive, export/diagnostics, and reconciliation.</w:t>
      </w:r>
    </w:p>
    <w:p>
      <w:pPr>
        <w:pStyle w:val="Heading1"/>
      </w:pPr>
      <w:r>
        <w:t>3.2 Out of Scope</w:t>
      </w:r>
    </w:p>
    <w:p>
      <w:pPr>
        <w:pStyle w:val="ListBullet"/>
      </w:pPr>
      <w:r>
        <w:t>Real physical-device protocols such as Zigbee, Z-Wave, Matter, or cloud vendor SDKs.</w:t>
      </w:r>
    </w:p>
    <w:p>
      <w:pPr>
        <w:pStyle w:val="ListBullet"/>
      </w:pPr>
      <w:r>
        <w:t>Real emergency dispatch or alarm monitoring center integration.</w:t>
      </w:r>
    </w:p>
    <w:p>
      <w:pPr>
        <w:pStyle w:val="ListBullet"/>
      </w:pPr>
      <w:r>
        <w:t>Real cryptographic hardware/TPM provisioning.</w:t>
      </w:r>
    </w:p>
    <w:p>
      <w:pPr>
        <w:pStyle w:val="ListBullet"/>
      </w:pPr>
      <w:r>
        <w:t>Audio/video streaming or camera image storage.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FR-01</w:t>
            </w:r>
          </w:p>
        </w:tc>
        <w:tc>
          <w:tcPr>
            <w:tcW w:type="dxa" w:w="5112"/>
            <w:vAlign w:val="top"/>
          </w:tcPr>
          <w:p>
            <w:r>
              <w:t>A user may belong to multiple homes, and authorization shall be evaluated for the specific home being accessed.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FR-02</w:t>
            </w:r>
          </w:p>
        </w:tc>
        <w:tc>
          <w:tcPr>
            <w:tcW w:type="dxa" w:w="5112"/>
            <w:vAlign w:val="top"/>
          </w:tcPr>
          <w:p>
            <w:r>
              <w:t>Each home shall define owner, display name, timezone, and non-precise address label/context.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FR-03</w:t>
            </w:r>
          </w:p>
        </w:tc>
        <w:tc>
          <w:tcPr>
            <w:tcW w:type="dxa" w:w="5112"/>
            <w:vAlign w:val="top"/>
          </w:tcPr>
          <w:p>
            <w:r>
              <w:t>Home owners shall manage membership and per-home roles without granting unintended access to other homes they own.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FR-04</w:t>
            </w:r>
          </w:p>
        </w:tc>
        <w:tc>
          <w:tcPr>
            <w:tcW w:type="dxa" w:w="5112"/>
            <w:vAlign w:val="top"/>
          </w:tcPr>
          <w:p>
            <w:r>
              <w:t>An installer role shall be limited to explicitly authorized installation/provisioning functions and shall not automatically receive ongoing household alert/telemetry access.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FR-05</w:t>
            </w:r>
          </w:p>
        </w:tc>
        <w:tc>
          <w:tcPr>
            <w:tcW w:type="dxa" w:w="5112"/>
            <w:vAlign w:val="top"/>
          </w:tcPr>
          <w:p>
            <w:r>
              <w:t>A device shall belong to exactly one home and shall define external ID, type, supported capabilities, firmware, status, and last-seen time.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FR-06</w:t>
            </w:r>
          </w:p>
        </w:tc>
        <w:tc>
          <w:tcPr>
            <w:tcW w:type="dxa" w:w="5112"/>
            <w:vAlign w:val="top"/>
          </w:tcPr>
          <w:p>
            <w:r>
              <w:t>Device external IDs shall be unique across the system.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FR-07</w:t>
            </w:r>
          </w:p>
        </w:tc>
        <w:tc>
          <w:tcPr>
            <w:tcW w:type="dxa" w:w="5112"/>
            <w:vAlign w:val="top"/>
          </w:tcPr>
          <w:p>
            <w:r>
              <w:t>Device credentials/tokens shall be generated/stored using a secure representation and shall be revocable.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FR-08</w:t>
            </w:r>
          </w:p>
        </w:tc>
        <w:tc>
          <w:tcPr>
            <w:tcW w:type="dxa" w:w="5112"/>
            <w:vAlign w:val="top"/>
          </w:tcPr>
          <w:p>
            <w:r>
              <w:t>A device authentication token shall authorize telemetry only for the device to which the credential is bound.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FR-09</w:t>
            </w:r>
          </w:p>
        </w:tc>
        <w:tc>
          <w:tcPr>
            <w:tcW w:type="dxa" w:w="5112"/>
            <w:vAlign w:val="top"/>
          </w:tcPr>
          <w:p>
            <w:r>
              <w:t>Telemetry ingestion shall include device, source event ID, metric, value/text value, reported time, and receive time.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FR-10</w:t>
            </w:r>
          </w:p>
        </w:tc>
        <w:tc>
          <w:tcPr>
            <w:tcW w:type="dxa" w:w="5112"/>
            <w:vAlign w:val="top"/>
          </w:tcPr>
          <w:p>
            <w:r>
              <w:t>Telemetry replay protection shall be scoped to device plus source event ID so legitimate identical source IDs from different devices do not collide.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FR-11</w:t>
            </w:r>
          </w:p>
        </w:tc>
        <w:tc>
          <w:tcPr>
            <w:tcW w:type="dxa" w:w="5112"/>
            <w:vAlign w:val="top"/>
          </w:tcPr>
          <w:p>
            <w:r>
              <w:t>A duplicate telemetry event for the same device/source event ID shall not create a second telemetry record or execute automations again.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FR-12</w:t>
            </w:r>
          </w:p>
        </w:tc>
        <w:tc>
          <w:tcPr>
            <w:tcW w:type="dxa" w:w="5112"/>
            <w:vAlign w:val="top"/>
          </w:tcPr>
          <w:p>
            <w:r>
              <w:t>Telemetry received outside the configured clock-skew/staleness tolerance shall be handled explicitly and shall not silently replace newer effective device state.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FR-13</w:t>
            </w:r>
          </w:p>
        </w:tc>
        <w:tc>
          <w:tcPr>
            <w:tcW w:type="dxa" w:w="5112"/>
            <w:vAlign w:val="top"/>
          </w:tcPr>
          <w:p>
            <w:r>
              <w:t>Device last-seen/health state shall be derived consistently from accepted telemetry or gateway health events.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FR-14</w:t>
            </w:r>
          </w:p>
        </w:tc>
        <w:tc>
          <w:tcPr>
            <w:tcW w:type="dxa" w:w="5112"/>
            <w:vAlign w:val="top"/>
          </w:tcPr>
          <w:p>
            <w:r>
              <w:t>Home members shall be able to issue only commands supported by the selected device capabilities and allowed by their per-home role.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FR-15</w:t>
            </w:r>
          </w:p>
        </w:tc>
        <w:tc>
          <w:tcPr>
            <w:tcW w:type="dxa" w:w="5112"/>
            <w:vAlign w:val="top"/>
          </w:tcPr>
          <w:p>
            <w:r>
              <w:t>Manual commands to OFFLINE devices shall return a controlled unavailable result unless a documented queued-command behavior is supported.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FR-16</w:t>
            </w:r>
          </w:p>
        </w:tc>
        <w:tc>
          <w:tcPr>
            <w:tcW w:type="dxa" w:w="5112"/>
            <w:vAlign w:val="top"/>
          </w:tcPr>
          <w:p>
            <w:r>
              <w:t>Every manual command shall record device, actor, command, payload, status, and timestamps.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FR-17</w:t>
            </w:r>
          </w:p>
        </w:tc>
        <w:tc>
          <w:tcPr>
            <w:tcW w:type="dxa" w:w="5112"/>
            <w:vAlign w:val="top"/>
          </w:tcPr>
          <w:p>
            <w:r>
              <w:t>A scene shall belong to one home and contain an ordered list of device actions within that home.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FR-18</w:t>
            </w:r>
          </w:p>
        </w:tc>
        <w:tc>
          <w:tcPr>
            <w:tcW w:type="dxa" w:w="5112"/>
            <w:vAlign w:val="top"/>
          </w:tcPr>
          <w:p>
            <w:r>
              <w:t>Scene execution shall validate all actions and report partial/failure outcomes without incorrectly reporting full success.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FR-19</w:t>
            </w:r>
          </w:p>
        </w:tc>
        <w:tc>
          <w:tcPr>
            <w:tcW w:type="dxa" w:w="5112"/>
            <w:vAlign w:val="top"/>
          </w:tcPr>
          <w:p>
            <w:r>
              <w:t>An automation rule shall define home, trigger device/metric/operator/value, priority, cooldown, enabled state, and one or more actions.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FR-20</w:t>
            </w:r>
          </w:p>
        </w:tc>
        <w:tc>
          <w:tcPr>
            <w:tcW w:type="dxa" w:w="5112"/>
            <w:vAlign w:val="top"/>
          </w:tcPr>
          <w:p>
            <w:r>
              <w:t>Supported trigger/condition operators shall include equality, inequality, and numeric comparisons with documented type behavior.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FR-21</w:t>
            </w:r>
          </w:p>
        </w:tc>
        <w:tc>
          <w:tcPr>
            <w:tcW w:type="dxa" w:w="5112"/>
            <w:vAlign w:val="top"/>
          </w:tcPr>
          <w:p>
            <w:r>
              <w:t>Rule actions shall target devices within the same home unless an explicitly supported cross-home automation capability exists.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FR-22</w:t>
            </w:r>
          </w:p>
        </w:tc>
        <w:tc>
          <w:tcPr>
            <w:tcW w:type="dxa" w:w="5112"/>
            <w:vAlign w:val="top"/>
          </w:tcPr>
          <w:p>
            <w:r>
              <w:t>When multiple rules trigger from one event, the system shall apply documented priority ordering consistently.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FR-23</w:t>
            </w:r>
          </w:p>
        </w:tc>
        <w:tc>
          <w:tcPr>
            <w:tcW w:type="dxa" w:w="5112"/>
            <w:vAlign w:val="top"/>
          </w:tcPr>
          <w:p>
            <w:r>
              <w:t>When triggered rules issue conflicting commands to the same device, the documented conflict-resolution policy shall determine the effective action.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FR-24</w:t>
            </w:r>
          </w:p>
        </w:tc>
        <w:tc>
          <w:tcPr>
            <w:tcW w:type="dxa" w:w="5112"/>
            <w:vAlign w:val="top"/>
          </w:tcPr>
          <w:p>
            <w:r>
              <w:t>Rule cooldown shall be tracked per rule rather than globally across all rules in a home.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FR-25</w:t>
            </w:r>
          </w:p>
        </w:tc>
        <w:tc>
          <w:tcPr>
            <w:tcW w:type="dxa" w:w="5112"/>
            <w:vAlign w:val="top"/>
          </w:tcPr>
          <w:p>
            <w:r>
              <w:t>Automation execution shall create a rule-run record containing trigger event, start, result, and completion/error detail.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FR-26</w:t>
            </w:r>
          </w:p>
        </w:tc>
        <w:tc>
          <w:tcPr>
            <w:tcW w:type="dxa" w:w="5112"/>
            <w:vAlign w:val="top"/>
          </w:tcPr>
          <w:p>
            <w:r>
              <w:t>A telemetry retry shall not cause duplicate rule runs for an event that has already been processed.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FR-27</w:t>
            </w:r>
          </w:p>
        </w:tc>
        <w:tc>
          <w:tcPr>
            <w:tcW w:type="dxa" w:w="5112"/>
            <w:vAlign w:val="top"/>
          </w:tcPr>
          <w:p>
            <w:r>
              <w:t>Schedules shall run in the configured home/schedule timezone and respect weekday selections.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FR-28</w:t>
            </w:r>
          </w:p>
        </w:tc>
        <w:tc>
          <w:tcPr>
            <w:tcW w:type="dxa" w:w="5112"/>
            <w:vAlign w:val="top"/>
          </w:tcPr>
          <w:p>
            <w:r>
              <w:t>Schedule execution shall handle daylight-saving transitions according to a documented policy for skipped or repeated local times.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FR-29</w:t>
            </w:r>
          </w:p>
        </w:tc>
        <w:tc>
          <w:tcPr>
            <w:tcW w:type="dxa" w:w="5112"/>
            <w:vAlign w:val="top"/>
          </w:tcPr>
          <w:p>
            <w:r>
              <w:t>A scheduled action shall execute at most once for a given intended local schedule occurrence unless explicitly manually replayed.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FR-30</w:t>
            </w:r>
          </w:p>
        </w:tc>
        <w:tc>
          <w:tcPr>
            <w:tcW w:type="dxa" w:w="5112"/>
            <w:vAlign w:val="top"/>
          </w:tcPr>
          <w:p>
            <w:r>
              <w:t>Alerts shall contain home, source device when applicable, kind, severity, message, status, and creation time.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FR-31</w:t>
            </w:r>
          </w:p>
        </w:tc>
        <w:tc>
          <w:tcPr>
            <w:tcW w:type="dxa" w:w="5112"/>
            <w:vAlign w:val="top"/>
          </w:tcPr>
          <w:p>
            <w:r>
              <w:t>Alert deduplication shall be scoped at least by home, source, alert kind, and configured deduplication window.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FR-32</w:t>
            </w:r>
          </w:p>
        </w:tc>
        <w:tc>
          <w:tcPr>
            <w:tcW w:type="dxa" w:w="5112"/>
            <w:vAlign w:val="top"/>
          </w:tcPr>
          <w:p>
            <w:r>
              <w:t>A user shall be able to acknowledge an alert only if authorized for that home or monitoring workflow.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FR-33</w:t>
            </w:r>
          </w:p>
        </w:tc>
        <w:tc>
          <w:tcPr>
            <w:tcW w:type="dxa" w:w="5112"/>
            <w:vAlign w:val="top"/>
          </w:tcPr>
          <w:p>
            <w:r>
              <w:t>Acknowledgement shall preserve actor, time, and note while changing alert workflow status without deleting the original alert.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FR-34</w:t>
            </w:r>
          </w:p>
        </w:tc>
        <w:tc>
          <w:tcPr>
            <w:tcW w:type="dxa" w:w="5112"/>
            <w:vAlign w:val="top"/>
          </w:tcPr>
          <w:p>
            <w:r>
              <w:t>Only enrolled monitoring homes and alert categories configured for monitoring shall appear to monitoring operators.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FR-35</w:t>
            </w:r>
          </w:p>
        </w:tc>
        <w:tc>
          <w:tcPr>
            <w:tcW w:type="dxa" w:w="5112"/>
            <w:vAlign w:val="top"/>
          </w:tcPr>
          <w:p>
            <w:r>
              <w:t>Monitoring operators shall receive only the minimum home/contact information required for the monitored event.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FR-36</w:t>
            </w:r>
          </w:p>
        </w:tc>
        <w:tc>
          <w:tcPr>
            <w:tcW w:type="dxa" w:w="5112"/>
            <w:vAlign w:val="top"/>
          </w:tcPr>
          <w:p>
            <w:r>
              <w:t>The home-status API shall enforce home membership/role authorization before returning device and alert information.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FR-37</w:t>
            </w:r>
          </w:p>
        </w:tc>
        <w:tc>
          <w:tcPr>
            <w:tcW w:type="dxa" w:w="5112"/>
            <w:vAlign w:val="top"/>
          </w:tcPr>
          <w:p>
            <w:r>
              <w:t>Telemetry APIs and administrative diagnostics shall not return device authentication tokens or webhook secrets.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FR-38</w:t>
            </w:r>
          </w:p>
        </w:tc>
        <w:tc>
          <w:tcPr>
            <w:tcW w:type="dxa" w:w="5112"/>
            <w:vAlign w:val="top"/>
          </w:tcPr>
          <w:p>
            <w:r>
              <w:t>Webhook configuration shall include home, target URL, secret/signing material, event types, and active status.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FR-39</w:t>
            </w:r>
          </w:p>
        </w:tc>
        <w:tc>
          <w:tcPr>
            <w:tcW w:type="dxa" w:w="5112"/>
            <w:vAlign w:val="top"/>
          </w:tcPr>
          <w:p>
            <w:r>
              <w:t>Outbound webhook deliveries shall be signed using the configured secret and shall not disclose the raw secret in payload or logs.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FR-40</w:t>
            </w:r>
          </w:p>
        </w:tc>
        <w:tc>
          <w:tcPr>
            <w:tcW w:type="dxa" w:w="5112"/>
            <w:vAlign w:val="top"/>
          </w:tcPr>
          <w:p>
            <w:r>
              <w:t>Webhook retries shall preserve the original event identity and shall not create a new logical event for each retry.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FR-41</w:t>
            </w:r>
          </w:p>
        </w:tc>
        <w:tc>
          <w:tcPr>
            <w:tcW w:type="dxa" w:w="5112"/>
            <w:vAlign w:val="top"/>
          </w:tcPr>
          <w:p>
            <w:r>
              <w:t>Webhook delivery history shall record attempt, response code, status, and next retry information.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FR-42</w:t>
            </w:r>
          </w:p>
        </w:tc>
        <w:tc>
          <w:tcPr>
            <w:tcW w:type="dxa" w:w="5112"/>
            <w:vAlign w:val="top"/>
          </w:tcPr>
          <w:p>
            <w:r>
              <w:t>Retention processing shall archive/delete telemetry older than the configured retention threshold while preserving newer data.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FR-43</w:t>
            </w:r>
          </w:p>
        </w:tc>
        <w:tc>
          <w:tcPr>
            <w:tcW w:type="dxa" w:w="5112"/>
            <w:vAlign w:val="top"/>
          </w:tcPr>
          <w:p>
            <w:r>
              <w:t>Retention shall not remove records still required to preserve referential or audit evidence for active rule runs/alerts without a documented archival relationship.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FR-44</w:t>
            </w:r>
          </w:p>
        </w:tc>
        <w:tc>
          <w:tcPr>
            <w:tcW w:type="dxa" w:w="5112"/>
            <w:vAlign w:val="top"/>
          </w:tcPr>
          <w:p>
            <w:r>
              <w:t>A rule dry-run/evaluation feature shall evaluate trigger/conditions/actions without issuing real device commands or modifying rule cooldown/state.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FR-45</w:t>
            </w:r>
          </w:p>
        </w:tc>
        <w:tc>
          <w:tcPr>
            <w:tcW w:type="dxa" w:w="5112"/>
            <w:vAlign w:val="top"/>
          </w:tcPr>
          <w:p>
            <w:r>
              <w:t>An administrative home export shall omit or securely redact passwords, device tokens, webhook secrets, and other credentials.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FR-46</w:t>
            </w:r>
          </w:p>
        </w:tc>
        <w:tc>
          <w:tcPr>
            <w:tcW w:type="dxa" w:w="5112"/>
            <w:vAlign w:val="top"/>
          </w:tcPr>
          <w:p>
            <w:r>
              <w:t>A reconciliation operation shall identify inconsistent device last-seen state, orphan actions, cross-home references, duplicate logical events, and invalid alert/monitoring combinations without modifying data.</w:t>
            </w:r>
          </w:p>
        </w:tc>
      </w:tr>
    </w:tbl>
    <w:p>
      <w:pPr>
        <w:pStyle w:val="Heading1"/>
      </w:pPr>
      <w:r>
        <w:t>5. Business and State Rules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BR-01</w:t>
            </w:r>
          </w:p>
        </w:tc>
        <w:tc>
          <w:tcPr>
            <w:tcW w:type="dxa" w:w="5112"/>
            <w:vAlign w:val="top"/>
          </w:tcPr>
          <w:p>
            <w:r>
              <w:t>Home authorization is tenant-specific: membership in Home A grants no implicit access to Home B.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BR-02</w:t>
            </w:r>
          </w:p>
        </w:tc>
        <w:tc>
          <w:tcPr>
            <w:tcW w:type="dxa" w:w="5112"/>
            <w:vAlign w:val="top"/>
          </w:tcPr>
          <w:p>
            <w:r>
              <w:t>An installer is not a standing household member unless a separate membership grants that access.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BR-03</w:t>
            </w:r>
          </w:p>
        </w:tc>
        <w:tc>
          <w:tcPr>
            <w:tcW w:type="dxa" w:w="5112"/>
            <w:vAlign w:val="top"/>
          </w:tcPr>
          <w:p>
            <w:r>
              <w:t>Telemetry idempotency key is the tuple (device_id, source_event_id).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BR-04</w:t>
            </w:r>
          </w:p>
        </w:tc>
        <w:tc>
          <w:tcPr>
            <w:tcW w:type="dxa" w:w="5112"/>
            <w:vAlign w:val="top"/>
          </w:tcPr>
          <w:p>
            <w:r>
              <w:t>Rule priority uses a documented direction, with higher numeric priority executing before lower numeric priority unless requirements are formally changed.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BR-05</w:t>
            </w:r>
          </w:p>
        </w:tc>
        <w:tc>
          <w:tcPr>
            <w:tcW w:type="dxa" w:w="5112"/>
            <w:vAlign w:val="top"/>
          </w:tcPr>
          <w:p>
            <w:r>
              <w:t>Rule cooldown is maintained per rule and is measured from the last completed/accepted run according to policy.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BR-06</w:t>
            </w:r>
          </w:p>
        </w:tc>
        <w:tc>
          <w:tcPr>
            <w:tcW w:type="dxa" w:w="5112"/>
            <w:vAlign w:val="top"/>
          </w:tcPr>
          <w:p>
            <w:r>
              <w:t>Alert deduplication includes home so identical devices/alert types in different homes cannot suppress each other.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BR-07</w:t>
            </w:r>
          </w:p>
        </w:tc>
        <w:tc>
          <w:tcPr>
            <w:tcW w:type="dxa" w:w="5112"/>
            <w:vAlign w:val="top"/>
          </w:tcPr>
          <w:p>
            <w:r>
              <w:t>Schedules evaluate in the schedule/home timezone, not server UTC, unless the schedule explicitly uses UTC.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BR-08</w:t>
            </w:r>
          </w:p>
        </w:tc>
        <w:tc>
          <w:tcPr>
            <w:tcW w:type="dxa" w:w="5112"/>
            <w:vAlign w:val="top"/>
          </w:tcPr>
          <w:p>
            <w:r>
              <w:t>Webhook retries preserve the same logical event ID and increase attempt count for that delivery lineage.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BR-09</w:t>
            </w:r>
          </w:p>
        </w:tc>
        <w:tc>
          <w:tcPr>
            <w:tcW w:type="dxa" w:w="5112"/>
            <w:vAlign w:val="top"/>
          </w:tcPr>
          <w:p>
            <w:r>
              <w:t>Retention removes data older than the cutoff, not newer than the cutoff.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BR-10</w:t>
            </w:r>
          </w:p>
        </w:tc>
        <w:tc>
          <w:tcPr>
            <w:tcW w:type="dxa" w:w="5112"/>
            <w:vAlign w:val="top"/>
          </w:tcPr>
          <w:p>
            <w:r>
              <w:t>Dry-run is side-effect free with respect to device commands, persistent rule-run/cooldown state, alerts, and webhooks.</w:t>
            </w:r>
          </w:p>
        </w:tc>
      </w:tr>
    </w:tbl>
    <w:p>
      <w:pPr>
        <w:pStyle w:val="Heading1"/>
      </w:pPr>
      <w:r>
        <w:t>6. Nonfunctional and Quality Requirements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NFR-01</w:t>
            </w:r>
          </w:p>
        </w:tc>
        <w:tc>
          <w:tcPr>
            <w:tcW w:type="dxa" w:w="5112"/>
            <w:vAlign w:val="top"/>
          </w:tcPr>
          <w:p>
            <w:r>
              <w:t>under the supplied reference workload, 95% of normal interactive requests shall complete within 2.0 seconds excluding intentionally simulated third-party latency.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NFR-02</w:t>
            </w:r>
          </w:p>
        </w:tc>
        <w:tc>
          <w:tcPr>
            <w:tcW w:type="dxa" w:w="5112"/>
            <w:vAlign w:val="top"/>
          </w:tcPr>
          <w:p>
            <w:r>
              <w:t>simultaneous operations against the same scarce or stateful resource shall preserve business invariants and shall not create duplicate or impossible records.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NFR-03</w:t>
            </w:r>
          </w:p>
        </w:tc>
        <w:tc>
          <w:tcPr>
            <w:tcW w:type="dxa" w:w="5112"/>
            <w:vAlign w:val="top"/>
          </w:tcPr>
          <w:p>
            <w:r>
              <w:t>authorization shall be enforced on the server for every protected web route and API operation; hiding navigation controls is not sufficient.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NFR-04</w:t>
            </w:r>
          </w:p>
        </w:tc>
        <w:tc>
          <w:tcPr>
            <w:tcW w:type="dxa" w:w="5112"/>
            <w:vAlign w:val="top"/>
          </w:tcPr>
          <w:p>
            <w:r>
              <w:t>stored user passwords shall use an adaptive password-hashing scheme and inactive accounts shall be unable to authenticate.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NFR-05</w:t>
            </w:r>
          </w:p>
        </w:tc>
        <w:tc>
          <w:tcPr>
            <w:tcW w:type="dxa" w:w="5112"/>
            <w:vAlign w:val="top"/>
          </w:tcPr>
          <w:p>
            <w:r>
              <w:t>SQL statements shall be parameterized and externally supplied identifiers shall be validated before they are used.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NFR-06</w:t>
            </w:r>
          </w:p>
        </w:tc>
        <w:tc>
          <w:tcPr>
            <w:tcW w:type="dxa" w:w="5112"/>
            <w:vAlign w:val="top"/>
          </w:tcPr>
          <w:p>
            <w:r>
              <w:t>expected validation, conflict, and integration failures shall produce controlled responses and shall not expose raw stack traces or database details.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NFR-07</w:t>
            </w:r>
          </w:p>
        </w:tc>
        <w:tc>
          <w:tcPr>
            <w:tcW w:type="dxa" w:w="5112"/>
            <w:vAlign w:val="top"/>
          </w:tcPr>
          <w:p>
            <w:r>
              <w:t>state-changing browser operations shall be protected against cross-site request forgery and session cookies shall use secure production settings.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NFR-08</w:t>
            </w:r>
          </w:p>
        </w:tc>
        <w:tc>
          <w:tcPr>
            <w:tcW w:type="dxa" w:w="5112"/>
            <w:vAlign w:val="top"/>
          </w:tcPr>
          <w:p>
            <w:r>
              <w:t>JSON endpoints shall use documented status codes and a consistent error object containing a machine-readable code and human-readable message.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NFR-09</w:t>
            </w:r>
          </w:p>
        </w:tc>
        <w:tc>
          <w:tcPr>
            <w:tcW w:type="dxa" w:w="5112"/>
            <w:vAlign w:val="top"/>
          </w:tcPr>
          <w:p>
            <w:r>
              <w:t>security- and business-significant changes shall record actor, action, object, timestamp, and correlation information sufficient to reconstruct the event.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NFR-10</w:t>
            </w:r>
          </w:p>
        </w:tc>
        <w:tc>
          <w:tcPr>
            <w:tcW w:type="dxa" w:w="5112"/>
            <w:vAlign w:val="top"/>
          </w:tcPr>
          <w:p>
            <w:r>
              <w:t>validation errors shall identify the invalid field and, where practical, preserve other valid user input rather than silently discarding the request.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NFR-11</w:t>
            </w:r>
          </w:p>
        </w:tc>
        <w:tc>
          <w:tcPr>
            <w:tcW w:type="dxa" w:w="5112"/>
            <w:vAlign w:val="top"/>
          </w:tcPr>
          <w:p>
            <w:r>
              <w:t>primary workflows shall be keyboard-operable, form controls shall have programmatically associated labels, and status shall not be communicated by color alone.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NFR-12</w:t>
            </w:r>
          </w:p>
        </w:tc>
        <w:tc>
          <w:tcPr>
            <w:tcW w:type="dxa" w:w="5112"/>
            <w:vAlign w:val="top"/>
          </w:tcPr>
          <w:p>
            <w:r>
              <w:t>retryable integration failures shall not cause duplicate business effects; retries shall be safe or protected by an idempotency mechanism.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NFR-13</w:t>
            </w:r>
          </w:p>
        </w:tc>
        <w:tc>
          <w:tcPr>
            <w:tcW w:type="dxa" w:w="5112"/>
            <w:vAlign w:val="top"/>
          </w:tcPr>
          <w:p>
            <w:r>
              <w:t>operational failures shall be logged with enough context to diagnose them without logging passwords, authentication tokens, payment tokens, or other secrets.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NFR-14</w:t>
            </w:r>
          </w:p>
        </w:tc>
        <w:tc>
          <w:tcPr>
            <w:tcW w:type="dxa" w:w="5112"/>
            <w:vAlign w:val="top"/>
          </w:tcPr>
          <w:p>
            <w:r>
              <w:t>database backup and restore procedures shall be documented and a restored environment shall preserve core records and referential integrity.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NFR-15</w:t>
            </w:r>
          </w:p>
        </w:tc>
        <w:tc>
          <w:tcPr>
            <w:tcW w:type="dxa" w:w="5112"/>
            <w:vAlign w:val="top"/>
          </w:tcPr>
          <w:p>
            <w:r>
              <w:t>membership, device telemetry, automation execution, schedule, alert, webhook, retention, and device-health reconciliation or health checks shall identify internally inconsistent records without silently modifying them.</w:t>
            </w:r>
          </w:p>
        </w:tc>
      </w:tr>
    </w:tbl>
    <w:p>
      <w:pPr>
        <w:pStyle w:val="Heading1"/>
      </w:pPr>
      <w:r>
        <w:t>7. External Interfaces</w:t>
      </w:r>
    </w:p>
    <w:p>
      <w:pPr>
        <w:pStyle w:val="ListBullet"/>
      </w:pPr>
      <w:r>
        <w:t>Browser interfaces for homes, devices, telemetry views, scenes, rules, alerts, monitoring, and administration.</w:t>
      </w:r>
    </w:p>
    <w:p>
      <w:pPr>
        <w:pStyle w:val="ListBullet"/>
      </w:pPr>
      <w:r>
        <w:t>JSON POST device-telemetry ingestion with device-token authentication.</w:t>
      </w:r>
    </w:p>
    <w:p>
      <w:pPr>
        <w:pStyle w:val="ListBullet"/>
      </w:pPr>
      <w:r>
        <w:t>JSON home-status endpoint with tenant authorization.</w:t>
      </w:r>
    </w:p>
    <w:p>
      <w:pPr>
        <w:pStyle w:val="ListBullet"/>
      </w:pPr>
      <w:r>
        <w:t>DeviceGateway command interface simulating external device control.</w:t>
      </w:r>
    </w:p>
    <w:p>
      <w:pPr>
        <w:pStyle w:val="ListBullet"/>
      </w:pPr>
      <w:r>
        <w:t>WebhookGateway outbound delivery/retry interface.</w:t>
      </w:r>
    </w:p>
    <w:p>
      <w:pPr>
        <w:pStyle w:val="ListBullet"/>
      </w:pPr>
      <w:r>
        <w:t>Administrative schedule, retention, export, dry-run, and reconciliation operations.</w:t>
      </w:r>
    </w:p>
    <w:p>
      <w:pPr>
        <w:pStyle w:val="Heading1"/>
      </w:pPr>
      <w:r>
        <w:t>8. Core Data Entities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Home / Membership</w:t>
            </w:r>
          </w:p>
        </w:tc>
        <w:tc>
          <w:tcPr>
            <w:tcW w:type="dxa" w:w="5112"/>
            <w:vAlign w:val="top"/>
          </w:tcPr>
          <w:p>
            <w:r>
              <w:t>Tenant boundary and per-home authorization.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Device / Device Token</w:t>
            </w:r>
          </w:p>
        </w:tc>
        <w:tc>
          <w:tcPr>
            <w:tcW w:type="dxa" w:w="5112"/>
            <w:vAlign w:val="top"/>
          </w:tcPr>
          <w:p>
            <w:r>
              <w:t>Physical/logical endpoint and credential.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Telemetry</w:t>
            </w:r>
          </w:p>
        </w:tc>
        <w:tc>
          <w:tcPr>
            <w:tcW w:type="dxa" w:w="5112"/>
            <w:vAlign w:val="top"/>
          </w:tcPr>
          <w:p>
            <w:r>
              <w:t>Idempotent time-stamped device event stream.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Device Command</w:t>
            </w:r>
          </w:p>
        </w:tc>
        <w:tc>
          <w:tcPr>
            <w:tcW w:type="dxa" w:w="5112"/>
            <w:vAlign w:val="top"/>
          </w:tcPr>
          <w:p>
            <w:r>
              <w:t>Manual/automated actuator history.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Scene / Scene Action</w:t>
            </w:r>
          </w:p>
        </w:tc>
        <w:tc>
          <w:tcPr>
            <w:tcW w:type="dxa" w:w="5112"/>
            <w:vAlign w:val="top"/>
          </w:tcPr>
          <w:p>
            <w:r>
              <w:t>Ordered multi-device action set.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Rule / Condition / Action / Run</w:t>
            </w:r>
          </w:p>
        </w:tc>
        <w:tc>
          <w:tcPr>
            <w:tcW w:type="dxa" w:w="5112"/>
            <w:vAlign w:val="top"/>
          </w:tcPr>
          <w:p>
            <w:r>
              <w:t>Event automation definition and execution evidence.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Schedule / Schedule Run</w:t>
            </w:r>
          </w:p>
        </w:tc>
        <w:tc>
          <w:tcPr>
            <w:tcW w:type="dxa" w:w="5112"/>
            <w:vAlign w:val="top"/>
          </w:tcPr>
          <w:p>
            <w:r>
              <w:t>Timezone-aware scheduled automation.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Alert / Acknowledgement</w:t>
            </w:r>
          </w:p>
        </w:tc>
        <w:tc>
          <w:tcPr>
            <w:tcW w:type="dxa" w:w="5112"/>
            <w:vAlign w:val="top"/>
          </w:tcPr>
          <w:p>
            <w:r>
              <w:t>Operational/safety notification workflow.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Monitoring Enrollment / Event</w:t>
            </w:r>
          </w:p>
        </w:tc>
        <w:tc>
          <w:tcPr>
            <w:tcW w:type="dxa" w:w="5112"/>
            <w:vAlign w:val="top"/>
          </w:tcPr>
          <w:p>
            <w:r>
              <w:t>Optional least-privilege monitoring integration.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Webhook / Delivery</w:t>
            </w:r>
          </w:p>
        </w:tc>
        <w:tc>
          <w:tcPr>
            <w:tcW w:type="dxa" w:w="5112"/>
            <w:vAlign w:val="top"/>
          </w:tcPr>
          <w:p>
            <w:r>
              <w:t>Outbound event integration and retry history.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Archive</w:t>
            </w:r>
          </w:p>
        </w:tc>
        <w:tc>
          <w:tcPr>
            <w:tcW w:type="dxa" w:w="5112"/>
            <w:vAlign w:val="top"/>
          </w:tcPr>
          <w:p>
            <w:r>
              <w:t>Retention/archive operation evidence.</w:t>
            </w:r>
          </w:p>
        </w:tc>
      </w:tr>
      <w:tr>
        <w:trPr>
          <w:cantSplit/>
        </w:trPr>
        <w:tc>
          <w:tcPr>
            <w:tcW w:type="dxa" w:w="5112"/>
            <w:vAlign w:val="top"/>
          </w:tcPr>
          <w:p>
            <w:r>
              <w:t>Audit Log</w:t>
            </w:r>
          </w:p>
        </w:tc>
        <w:tc>
          <w:tcPr>
            <w:tcW w:type="dxa" w:w="5112"/>
            <w:vAlign w:val="top"/>
          </w:tcPr>
          <w:p>
            <w:r>
              <w:t>Security and configuration history.</w:t>
            </w:r>
          </w:p>
        </w:tc>
      </w:tr>
    </w:tbl>
    <w:p>
      <w:pPr>
        <w:pStyle w:val="Heading1"/>
      </w:pPr>
      <w:r>
        <w:t>9. Primary Use Cases</w:t>
      </w:r>
    </w:p>
    <w:p>
      <w:pPr>
        <w:pStyle w:val="ListBullet"/>
      </w:pPr>
      <w:r>
        <w:t>UC-01 Ingest Telemetry and Trigger Rule: Device authenticates with a device-bound credential and posts unique event.; System validates device/event identity, time, and replay status.; Accepted telemetry updates health state.; Matching rules are evaluated in priority order with per-rule cooldown/conflict handling.; System records rule runs and device commands; duplicate telemetry does not repeat effects.</w:t>
      </w:r>
    </w:p>
    <w:p>
      <w:pPr>
        <w:pStyle w:val="ListBullet"/>
      </w:pPr>
      <w:r>
        <w:t>UC-02 Run a Scene: Authorized home member selects a scene.; System confirms scene/actions are within the same home and commands are supported.; Actions execute in order and individual outcomes are recorded.; UI reports complete, partial, or failed result accurately.</w:t>
      </w:r>
    </w:p>
    <w:p>
      <w:pPr>
        <w:pStyle w:val="ListBullet"/>
      </w:pPr>
      <w:r>
        <w:t>UC-03 Acknowledge Monitored Alert: System creates/deduplicates alert for an enrolled home.; Authorized home member or monitoring operator views minimum required information.; Authorized actor acknowledges with a note.; System preserves alert plus acknowledgement history and sends configured integrations if applicable.</w:t>
      </w:r>
    </w:p>
    <w:p>
      <w:pPr>
        <w:pStyle w:val="ListBullet"/>
      </w:pPr>
      <w:r>
        <w:t>UC-04 Execute Schedule Across Time Change: Scheduler resolves intended local occurrence using schedule timezone/weekday policy.; System prevents duplicate execution for repeated local time.; Scene/rule action executes once and schedule-run evidence is recorded.</w:t>
      </w:r>
    </w:p>
    <w:p>
      <w:pPr>
        <w:pStyle w:val="ListBullet"/>
      </w:pPr>
      <w:r>
        <w:t>UC-05 Webhook Retry: A business event creates signed outbound delivery.; First external request fails transiently.; Retry preserves event identity, increments attempt, and records response.; No duplicate business event is generated by the retry itself.</w:t>
      </w:r>
    </w:p>
    <w:p>
      <w:pPr>
        <w:pStyle w:val="Heading1"/>
      </w:pPr>
      <w:r>
        <w:t>10. Acceptance and Verification Expectations</w:t>
      </w:r>
    </w:p>
    <w:p>
      <w:pPr>
        <w:pStyle w:val="ListBullet"/>
      </w:pPr>
      <w:r>
        <w:t>Tenant isolation tests cover multiple homes owned by the same user plus unrelated/installer/monitor users.</w:t>
      </w:r>
    </w:p>
    <w:p>
      <w:pPr>
        <w:pStyle w:val="ListBullet"/>
      </w:pPr>
      <w:r>
        <w:t>Event tests cover duplicate source IDs across different devices, exact replay, out-of-order events, stale timestamps, and concurrent ingestion.</w:t>
      </w:r>
    </w:p>
    <w:p>
      <w:pPr>
        <w:pStyle w:val="ListBullet"/>
      </w:pPr>
      <w:r>
        <w:t>Automation tests cover rule priority, conflicting actions, per-rule cooldown, dry-run side effects, scenes, and schedule DST behavior.</w:t>
      </w:r>
    </w:p>
    <w:p>
      <w:pPr>
        <w:pStyle w:val="ListBullet"/>
      </w:pPr>
      <w:r>
        <w:t>Security tests explicitly inspect credentials/tokens/secrets in APIs, exports, logs, and monitoring views; final release recommendation addresses the impact of any exposure.</w:t>
      </w:r>
    </w:p>
    <w:p>
      <w:pPr>
        <w:pStyle w:val="Heading1"/>
      </w:pPr>
      <w:r>
        <w:t>11. Student QA Deliverables</w:t>
      </w:r>
    </w:p>
    <w:p>
      <w:pPr>
        <w:pStyle w:val="ListBullet"/>
      </w:pPr>
      <w:r>
        <w:t>Requirements issue log and traceability matrix.</w:t>
      </w:r>
    </w:p>
    <w:p>
      <w:pPr>
        <w:pStyle w:val="ListBullet"/>
      </w:pPr>
      <w:r>
        <w:t>Risk-based test strategy.</w:t>
      </w:r>
    </w:p>
    <w:p>
      <w:pPr>
        <w:pStyle w:val="ListBullet"/>
      </w:pPr>
      <w:r>
        <w:t>Manual and automated test suites.</w:t>
      </w:r>
    </w:p>
    <w:p>
      <w:pPr>
        <w:pStyle w:val="ListBullet"/>
      </w:pPr>
      <w:r>
        <w:t>API/integration and appropriate nonfunctional test evidence.</w:t>
      </w:r>
    </w:p>
    <w:p>
      <w:pPr>
        <w:pStyle w:val="ListBullet"/>
      </w:pPr>
      <w:r>
        <w:t>Formal defect reports.</w:t>
      </w:r>
    </w:p>
    <w:p>
      <w:pPr>
        <w:pStyle w:val="ListBullet"/>
      </w:pPr>
      <w:r>
        <w:t>Regression report and evidence-based release recommendation.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