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SOC INCIDENT &amp; DETECTION REPORT</w:t>
      </w:r>
    </w:p>
    <w:p>
      <w:pPr>
        <w:spacing w:after="100" w:before="200"/>
        <w:jc w:val="center"/>
      </w:pPr>
      <w:r>
        <w:rPr>
          <w:color w:val="2E74B5"/>
          <w:sz w:val="28"/>
          <w:szCs w:val="28"/>
        </w:rPr>
        <w:t xml:space="preserve">Enterprise SIEM &amp; Threat Detection Lab (Wazuh &amp; Sysmon)</w:t>
      </w:r>
    </w:p>
    <w:p>
      <w:pPr>
        <w:spacing w:after="800"/>
        <w:jc w:val="center"/>
      </w:pPr>
      <w:r>
        <w:rPr>
          <w:i/>
          <w:iCs/>
          <w:sz w:val="22"/>
          <w:szCs w:val="22"/>
        </w:rPr>
        <w:t xml:space="preserve">Personal Cybersecurity Laboratory | September 2026</w:t>
      </w:r>
    </w:p>
    <w:p>
      <w:pPr>
        <w:spacing w:after="40"/>
        <w:jc w:val="center"/>
      </w:pPr>
      <w:r>
        <w:rPr>
          <w:b/>
          <w:bCs/>
          <w:sz w:val="22"/>
          <w:szCs w:val="22"/>
        </w:rPr>
        <w:t xml:space="preserve">Prepared by: Vamsi</w:t>
      </w:r>
    </w:p>
    <w:p>
      <w:pPr>
        <w:jc w:val="center"/>
      </w:pPr>
      <w:r>
        <w:rPr>
          <w:sz w:val="20"/>
          <w:szCs w:val="20"/>
        </w:rPr>
        <w:t xml:space="preserve">Environment: VirtualBox — Ubuntu Server (Wazuh Manager/Indexer/Dashboard) + Windows Endpoint (Sysmon)</w:t>
      </w:r>
    </w:p>
    <w:p>
      <w:r>
        <w:br w:type="page"/>
      </w:r>
    </w:p>
    <w:p>
      <w:pPr>
        <w:pStyle w:val="Heading1"/>
        <w:pBdr>
          <w:bottom w:val="single" w:color="1F3864" w:sz="8" w:space="4"/>
        </w:pBdr>
        <w:spacing w:after="160" w:before="360"/>
      </w:pPr>
      <w:r>
        <w:rPr>
          <w:b/>
          <w:bCs/>
          <w:color w:val="1F3864"/>
          <w:sz w:val="30"/>
          <w:szCs w:val="30"/>
        </w:rPr>
        <w:t xml:space="preserve">1. Executive Summary</w:t>
      </w:r>
    </w:p>
    <w:p>
      <w:pPr>
        <w:spacing w:after="160" w:line="300"/>
      </w:pPr>
      <w:r>
        <w:rPr>
          <w:sz w:val="22"/>
          <w:szCs w:val="22"/>
        </w:rPr>
        <w:t xml:space="preserve">This report documents the design, deployment, and validation of a self-hosted Security Information and Event Management (SIEM) lab built on Wazuh, with Microsoft Sysmon deployed as the primary Windows telemetry source. The objective was to build an end-to-end detection pipeline — from raw endpoint telemetry, through centralized log aggregation and correlation, to alerting mapped against the MITRE ATT&amp;CK framework — and to validate that pipeline using controlled adversary-emulation techniques.</w:t>
      </w:r>
    </w:p>
    <w:p>
      <w:pPr>
        <w:spacing w:after="160" w:line="300"/>
      </w:pPr>
      <w:r>
        <w:rPr>
          <w:sz w:val="22"/>
          <w:szCs w:val="22"/>
        </w:rPr>
        <w:t xml:space="preserve">Over the course of this engagement, five distinct detection scenarios were executed and validated (ingress tool transfer, custom PowerShell execution detection, file integrity monitoring, and credential brute-force / account lockout), together spanning five MITRE ATT&amp;CK techniques across four tactics. In addition, a sixth investigation was performed to triage an unplanned cluster of 613 high-volume alerts, which was traced to benign Windows Update activity and correctly closed as a false positive — a realistic demonstration of day-to-day SOC alert triage.</w:t>
      </w:r>
    </w:p>
    <w:p>
      <w:pPr>
        <w:spacing w:after="160" w:line="300"/>
      </w:pPr>
      <w:r>
        <w:rPr>
          <w:sz w:val="22"/>
          <w:szCs w:val="22"/>
        </w:rPr>
        <w:t xml:space="preserve">The lab also required substantial infrastructure troubleshooting, including a VM networking misconfiguration, a Wazuh agent/manager version mismatch, a disk-exhaustion event that corrupted the OpenSearch security plugin, and a custom-rule authoring cycle that required pivoting detection logic when an expected Sysmon event type was found not to be forwarded end-to-end. These challenges and their resolutions are documented in Section 4 (Lessons Learned) as they reflect realistic operational troubleshooting.</w:t>
      </w:r>
    </w:p>
    <w:p>
      <w:pPr>
        <w:pStyle w:val="Heading1"/>
        <w:pBdr>
          <w:bottom w:val="single" w:color="1F3864" w:sz="8" w:space="4"/>
        </w:pBdr>
        <w:spacing w:after="160" w:before="360"/>
      </w:pPr>
      <w:r>
        <w:rPr>
          <w:b/>
          <w:bCs/>
          <w:color w:val="1F3864"/>
          <w:sz w:val="30"/>
          <w:szCs w:val="30"/>
        </w:rPr>
        <w:t xml:space="preserve">2. Lab Architecture &amp; Methodology</w:t>
      </w:r>
    </w:p>
    <w:p>
      <w:pPr>
        <w:pStyle w:val="Heading2"/>
        <w:spacing w:after="120" w:before="280"/>
      </w:pPr>
      <w:r>
        <w:rPr>
          <w:b/>
          <w:bCs/>
          <w:color w:val="2E74B5"/>
          <w:sz w:val="24"/>
          <w:szCs w:val="24"/>
        </w:rPr>
        <w:t xml:space="preserve">2.1 Environment</w:t>
      </w:r>
    </w:p>
    <w:p>
      <w:pPr>
        <w:pStyle w:val="ListParagraph"/>
        <w:numPr>
          <w:ilvl w:val="0"/>
          <w:numId w:val="2"/>
        </w:numPr>
        <w:spacing w:after="80"/>
      </w:pPr>
      <w:r>
        <w:rPr>
          <w:sz w:val="22"/>
          <w:szCs w:val="22"/>
        </w:rPr>
        <w:t xml:space="preserve">Hypervisor: Oracle VirtualBox, Bridged networking (both VMs on the same LAN segment as the host).</w:t>
      </w:r>
    </w:p>
    <w:p>
      <w:pPr>
        <w:pStyle w:val="ListParagraph"/>
        <w:numPr>
          <w:ilvl w:val="0"/>
          <w:numId w:val="2"/>
        </w:numPr>
        <w:spacing w:after="80"/>
      </w:pPr>
      <w:r>
        <w:rPr>
          <w:sz w:val="22"/>
          <w:szCs w:val="22"/>
        </w:rPr>
        <w:t xml:space="preserve">SIEM Stack: Wazuh Manager, Indexer, and Dashboard (all-in-one deployment) on Ubuntu Server, version 4.14.7.</w:t>
      </w:r>
    </w:p>
    <w:p>
      <w:pPr>
        <w:pStyle w:val="ListParagraph"/>
        <w:numPr>
          <w:ilvl w:val="0"/>
          <w:numId w:val="2"/>
        </w:numPr>
        <w:spacing w:after="80"/>
      </w:pPr>
      <w:r>
        <w:rPr>
          <w:sz w:val="22"/>
          <w:szCs w:val="22"/>
        </w:rPr>
        <w:t xml:space="preserve">Monitored Endpoint: Windows 11 Pro VM, hostname DESKTOP-P4S88B8, running the Wazuh Agent and Microsoft Sysmon.</w:t>
      </w:r>
    </w:p>
    <w:p>
      <w:pPr>
        <w:pStyle w:val="ListParagraph"/>
        <w:numPr>
          <w:ilvl w:val="0"/>
          <w:numId w:val="2"/>
        </w:numPr>
        <w:spacing w:after="80"/>
      </w:pPr>
      <w:r>
        <w:rPr>
          <w:sz w:val="22"/>
          <w:szCs w:val="22"/>
        </w:rPr>
        <w:t xml:space="preserve">Sysmon Configuration: SwiftOnSecurity community configuration template, capturing process creation, network connections, DNS queries, and file-creation events.</w:t>
      </w:r>
    </w:p>
    <w:p>
      <w:pPr>
        <w:pStyle w:val="Heading2"/>
        <w:spacing w:after="120" w:before="280"/>
      </w:pPr>
      <w:r>
        <w:rPr>
          <w:b/>
          <w:bCs/>
          <w:color w:val="2E74B5"/>
          <w:sz w:val="24"/>
          <w:szCs w:val="24"/>
        </w:rPr>
        <w:t xml:space="preserve">2.2 Detection Pipeline</w:t>
      </w:r>
    </w:p>
    <w:p>
      <w:pPr>
        <w:spacing w:after="160" w:line="300"/>
      </w:pPr>
      <w:r>
        <w:rPr>
          <w:sz w:val="22"/>
          <w:szCs w:val="22"/>
        </w:rPr>
        <w:t xml:space="preserve">Telemetry flows from Sysmon and the native Windows Security event log, through the Wazuh Agent (eventchannel log collection), to the Wazuh Manager for rule-based correlation, and finally into the Wazuh Indexer for storage and the Dashboard for visualization, search, and MITRE ATT&amp;CK mapping.</w:t>
      </w:r>
    </w:p>
    <w:p>
      <w:pPr>
        <w:pStyle w:val="Heading2"/>
        <w:spacing w:after="120" w:before="280"/>
      </w:pPr>
      <w:r>
        <w:rPr>
          <w:b/>
          <w:bCs/>
          <w:color w:val="2E74B5"/>
          <w:sz w:val="24"/>
          <w:szCs w:val="24"/>
        </w:rPr>
        <w:t xml:space="preserve">2.3 Testing Methodology</w:t>
      </w:r>
    </w:p>
    <w:p>
      <w:pPr>
        <w:pStyle w:val="ListParagraph"/>
        <w:numPr>
          <w:ilvl w:val="0"/>
          <w:numId w:val="2"/>
        </w:numPr>
        <w:spacing w:after="80"/>
      </w:pPr>
      <w:r>
        <w:rPr>
          <w:sz w:val="22"/>
          <w:szCs w:val="22"/>
        </w:rPr>
        <w:t xml:space="preserve">Ingress Tool Transfer: observed via PowerShell's own internal script-policy-check artifact creation.</w:t>
      </w:r>
    </w:p>
    <w:p>
      <w:pPr>
        <w:pStyle w:val="ListParagraph"/>
        <w:numPr>
          <w:ilvl w:val="0"/>
          <w:numId w:val="2"/>
        </w:numPr>
        <w:spacing w:after="80"/>
      </w:pPr>
      <w:r>
        <w:rPr>
          <w:sz w:val="22"/>
          <w:szCs w:val="22"/>
        </w:rPr>
        <w:t xml:space="preserve">Custom Detection Engineering: authored a local Wazuh rule targeting PowerShell-driven file creation, to detect encoded/obfuscated command execution.</w:t>
      </w:r>
    </w:p>
    <w:p>
      <w:pPr>
        <w:pStyle w:val="ListParagraph"/>
        <w:numPr>
          <w:ilvl w:val="0"/>
          <w:numId w:val="2"/>
        </w:numPr>
        <w:spacing w:after="80"/>
      </w:pPr>
      <w:r>
        <w:rPr>
          <w:sz w:val="22"/>
          <w:szCs w:val="22"/>
        </w:rPr>
        <w:t xml:space="preserve">File Integrity Monitoring: real-time monitoring configured against C:\Windows\System32\drivers\etc, validated via a controlled edit to the hosts file.</w:t>
      </w:r>
    </w:p>
    <w:p>
      <w:pPr>
        <w:pStyle w:val="ListParagraph"/>
        <w:numPr>
          <w:ilvl w:val="0"/>
          <w:numId w:val="2"/>
        </w:numPr>
        <w:spacing w:after="80"/>
      </w:pPr>
      <w:r>
        <w:rPr>
          <w:sz w:val="22"/>
          <w:szCs w:val="22"/>
        </w:rPr>
        <w:t xml:space="preserve">Credential Brute-Force: ten rapid failed authentication attempts generated against a local account, validating both Windows' native lockout control and Wazuh's correlation of the resulting event.</w:t>
      </w:r>
    </w:p>
    <w:p>
      <w:pPr>
        <w:pStyle w:val="ListParagraph"/>
        <w:numPr>
          <w:ilvl w:val="0"/>
          <w:numId w:val="2"/>
        </w:numPr>
        <w:spacing w:after="80"/>
      </w:pPr>
      <w:r>
        <w:rPr>
          <w:sz w:val="22"/>
          <w:szCs w:val="22"/>
        </w:rPr>
        <w:t xml:space="preserve">Alert Triage: manual investigation of an unplanned high-volume alert cluster, to validate analyst-level false-positive identification.</w:t>
      </w:r>
    </w:p>
    <w:p>
      <w:r>
        <w:br w:type="page"/>
      </w:r>
    </w:p>
    <w:p>
      <w:pPr>
        <w:pStyle w:val="Heading1"/>
        <w:pBdr>
          <w:bottom w:val="single" w:color="1F3864" w:sz="8" w:space="4"/>
        </w:pBdr>
        <w:spacing w:after="160" w:before="360"/>
      </w:pPr>
      <w:r>
        <w:rPr>
          <w:b/>
          <w:bCs/>
          <w:color w:val="1F3864"/>
          <w:sz w:val="30"/>
          <w:szCs w:val="30"/>
        </w:rPr>
        <w:t xml:space="preserve">3. Incident Tickets</w:t>
      </w:r>
    </w:p>
    <w:p>
      <w:pPr>
        <w:pStyle w:val="Heading2"/>
        <w:spacing w:after="120" w:before="280"/>
      </w:pPr>
      <w:r>
        <w:rPr>
          <w:b/>
          <w:bCs/>
          <w:color w:val="2E74B5"/>
          <w:sz w:val="24"/>
          <w:szCs w:val="24"/>
        </w:rPr>
        <w:t xml:space="preserve">INC-2026-0912-01 — Ingress Tool Transfer — PowerShell Script Artifact Creation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2F2F2" w:val="clear"/>
            <w:tcMar>
              <w:top w:type="dxa" w:w="80"/>
              <w:left w:type="dxa" w:w="120"/>
              <w:bottom w:type="dxa" w:w="80"/>
              <w:right w:type="dxa" w:w="120"/>
            </w:tcMar>
          </w:tcPr>
          <w:p>
            <w:r>
              <w:rPr>
                <w:b/>
                <w:bCs/>
                <w:color w:val="000000"/>
                <w:sz w:val="20"/>
                <w:szCs w:val="20"/>
              </w:rPr>
              <w:t xml:space="preserve">Ticket ID</w:t>
            </w:r>
          </w:p>
        </w:tc>
        <w:tc>
          <w:tcPr>
            <w:tcW w:type="dxa" w:w="6940"/>
            <w:tcMar>
              <w:top w:type="dxa" w:w="80"/>
              <w:left w:type="dxa" w:w="120"/>
              <w:bottom w:type="dxa" w:w="80"/>
              <w:right w:type="dxa" w:w="120"/>
            </w:tcMar>
          </w:tcPr>
          <w:p>
            <w:r>
              <w:rPr>
                <w:b w:val="false"/>
                <w:bCs w:val="false"/>
                <w:color w:val="000000"/>
                <w:sz w:val="20"/>
                <w:szCs w:val="20"/>
              </w:rPr>
              <w:t xml:space="preserve">INC-2026-0912-01</w:t>
            </w:r>
          </w:p>
        </w:tc>
      </w:tr>
      <w:tr>
        <w:tc>
          <w:tcPr>
            <w:tcW w:type="dxa" w:w="2600"/>
            <w:shd w:fill="F2F2F2" w:val="clear"/>
            <w:tcMar>
              <w:top w:type="dxa" w:w="80"/>
              <w:left w:type="dxa" w:w="120"/>
              <w:bottom w:type="dxa" w:w="80"/>
              <w:right w:type="dxa" w:w="120"/>
            </w:tcMar>
          </w:tcPr>
          <w:p>
            <w:r>
              <w:rPr>
                <w:b/>
                <w:bCs/>
                <w:color w:val="000000"/>
                <w:sz w:val="20"/>
                <w:szCs w:val="20"/>
              </w:rPr>
              <w:t xml:space="preserve">Date / Time (UTC)</w:t>
            </w:r>
          </w:p>
        </w:tc>
        <w:tc>
          <w:tcPr>
            <w:tcW w:type="dxa" w:w="6940"/>
            <w:tcMar>
              <w:top w:type="dxa" w:w="80"/>
              <w:left w:type="dxa" w:w="120"/>
              <w:bottom w:type="dxa" w:w="80"/>
              <w:right w:type="dxa" w:w="120"/>
            </w:tcMar>
          </w:tcPr>
          <w:p>
            <w:r>
              <w:rPr>
                <w:b w:val="false"/>
                <w:bCs w:val="false"/>
                <w:color w:val="000000"/>
                <w:sz w:val="20"/>
                <w:szCs w:val="20"/>
              </w:rPr>
              <w:t xml:space="preserve">2026-09-12 12:37:58 UTC</w:t>
            </w:r>
          </w:p>
        </w:tc>
      </w:tr>
      <w:tr>
        <w:tc>
          <w:tcPr>
            <w:tcW w:type="dxa" w:w="2600"/>
            <w:shd w:fill="F2F2F2" w:val="clear"/>
            <w:tcMar>
              <w:top w:type="dxa" w:w="80"/>
              <w:left w:type="dxa" w:w="120"/>
              <w:bottom w:type="dxa" w:w="80"/>
              <w:right w:type="dxa" w:w="120"/>
            </w:tcMar>
          </w:tcPr>
          <w:p>
            <w:r>
              <w:rPr>
                <w:b/>
                <w:bCs/>
                <w:color w:val="000000"/>
                <w:sz w:val="20"/>
                <w:szCs w:val="20"/>
              </w:rPr>
              <w:t xml:space="preserve">Detection Source</w:t>
            </w:r>
          </w:p>
        </w:tc>
        <w:tc>
          <w:tcPr>
            <w:tcW w:type="dxa" w:w="6940"/>
            <w:tcMar>
              <w:top w:type="dxa" w:w="80"/>
              <w:left w:type="dxa" w:w="120"/>
              <w:bottom w:type="dxa" w:w="80"/>
              <w:right w:type="dxa" w:w="120"/>
            </w:tcMar>
          </w:tcPr>
          <w:p>
            <w:r>
              <w:rPr>
                <w:b w:val="false"/>
                <w:bCs w:val="false"/>
                <w:color w:val="000000"/>
                <w:sz w:val="20"/>
                <w:szCs w:val="20"/>
              </w:rPr>
              <w:t xml:space="preserve">Sysmon Event ID 11 (File Created) via Wazuh Agent</w:t>
            </w:r>
          </w:p>
        </w:tc>
      </w:tr>
      <w:tr>
        <w:tc>
          <w:tcPr>
            <w:tcW w:type="dxa" w:w="2600"/>
            <w:shd w:fill="F2F2F2" w:val="clear"/>
            <w:tcMar>
              <w:top w:type="dxa" w:w="80"/>
              <w:left w:type="dxa" w:w="120"/>
              <w:bottom w:type="dxa" w:w="80"/>
              <w:right w:type="dxa" w:w="120"/>
            </w:tcMar>
          </w:tcPr>
          <w:p>
            <w:r>
              <w:rPr>
                <w:b/>
                <w:bCs/>
                <w:color w:val="000000"/>
                <w:sz w:val="20"/>
                <w:szCs w:val="20"/>
              </w:rPr>
              <w:t xml:space="preserve">Wazuh Rule ID</w:t>
            </w:r>
          </w:p>
        </w:tc>
        <w:tc>
          <w:tcPr>
            <w:tcW w:type="dxa" w:w="6940"/>
            <w:tcMar>
              <w:top w:type="dxa" w:w="80"/>
              <w:left w:type="dxa" w:w="120"/>
              <w:bottom w:type="dxa" w:w="80"/>
              <w:right w:type="dxa" w:w="120"/>
            </w:tcMar>
          </w:tcPr>
          <w:p>
            <w:r>
              <w:rPr>
                <w:b w:val="false"/>
                <w:bCs w:val="false"/>
                <w:color w:val="000000"/>
                <w:sz w:val="20"/>
                <w:szCs w:val="20"/>
              </w:rPr>
              <w:t xml:space="preserve">92213</w:t>
            </w:r>
          </w:p>
        </w:tc>
      </w:tr>
      <w:tr>
        <w:tc>
          <w:tcPr>
            <w:tcW w:type="dxa" w:w="2600"/>
            <w:shd w:fill="F2F2F2" w:val="clear"/>
            <w:tcMar>
              <w:top w:type="dxa" w:w="80"/>
              <w:left w:type="dxa" w:w="120"/>
              <w:bottom w:type="dxa" w:w="80"/>
              <w:right w:type="dxa" w:w="120"/>
            </w:tcMar>
          </w:tcPr>
          <w:p>
            <w:r>
              <w:rPr>
                <w:b/>
                <w:bCs/>
                <w:color w:val="000000"/>
                <w:sz w:val="20"/>
                <w:szCs w:val="20"/>
              </w:rPr>
              <w:t xml:space="preserve">Rule Description</w:t>
            </w:r>
          </w:p>
        </w:tc>
        <w:tc>
          <w:tcPr>
            <w:tcW w:type="dxa" w:w="6940"/>
            <w:tcMar>
              <w:top w:type="dxa" w:w="80"/>
              <w:left w:type="dxa" w:w="120"/>
              <w:bottom w:type="dxa" w:w="80"/>
              <w:right w:type="dxa" w:w="120"/>
            </w:tcMar>
          </w:tcPr>
          <w:p>
            <w:r>
              <w:rPr>
                <w:b w:val="false"/>
                <w:bCs w:val="false"/>
                <w:color w:val="000000"/>
                <w:sz w:val="20"/>
                <w:szCs w:val="20"/>
              </w:rPr>
              <w:t xml:space="preserve">Executable file dropped in folder commonly used by malware</w:t>
            </w:r>
          </w:p>
        </w:tc>
      </w:tr>
      <w:tr>
        <w:tc>
          <w:tcPr>
            <w:tcW w:type="dxa" w:w="2600"/>
            <w:shd w:fill="F2F2F2" w:val="clear"/>
            <w:tcMar>
              <w:top w:type="dxa" w:w="80"/>
              <w:left w:type="dxa" w:w="120"/>
              <w:bottom w:type="dxa" w:w="80"/>
              <w:right w:type="dxa" w:w="120"/>
            </w:tcMar>
          </w:tcPr>
          <w:p>
            <w:r>
              <w:rPr>
                <w:b/>
                <w:bCs/>
                <w:color w:val="000000"/>
                <w:sz w:val="20"/>
                <w:szCs w:val="20"/>
              </w:rPr>
              <w:t xml:space="preserve">Severity</w:t>
            </w:r>
          </w:p>
        </w:tc>
        <w:tc>
          <w:tcPr>
            <w:tcW w:type="dxa" w:w="6940"/>
            <w:tcMar>
              <w:top w:type="dxa" w:w="80"/>
              <w:left w:type="dxa" w:w="120"/>
              <w:bottom w:type="dxa" w:w="80"/>
              <w:right w:type="dxa" w:w="120"/>
            </w:tcMar>
          </w:tcPr>
          <w:p>
            <w:r>
              <w:rPr>
                <w:b w:val="false"/>
                <w:bCs w:val="false"/>
                <w:color w:val="000000"/>
                <w:sz w:val="20"/>
                <w:szCs w:val="20"/>
              </w:rPr>
              <w:t xml:space="preserve">Level 15 (CRITICAL)</w:t>
            </w:r>
          </w:p>
        </w:tc>
      </w:tr>
      <w:tr>
        <w:tc>
          <w:tcPr>
            <w:tcW w:type="dxa" w:w="2600"/>
            <w:shd w:fill="F2F2F2" w:val="clear"/>
            <w:tcMar>
              <w:top w:type="dxa" w:w="80"/>
              <w:left w:type="dxa" w:w="120"/>
              <w:bottom w:type="dxa" w:w="80"/>
              <w:right w:type="dxa" w:w="120"/>
            </w:tcMar>
          </w:tcPr>
          <w:p>
            <w:r>
              <w:rPr>
                <w:b/>
                <w:bCs/>
                <w:color w:val="000000"/>
                <w:sz w:val="20"/>
                <w:szCs w:val="20"/>
              </w:rPr>
              <w:t xml:space="preserve">Affected Host</w:t>
            </w:r>
          </w:p>
        </w:tc>
        <w:tc>
          <w:tcPr>
            <w:tcW w:type="dxa" w:w="6940"/>
            <w:tcMar>
              <w:top w:type="dxa" w:w="80"/>
              <w:left w:type="dxa" w:w="120"/>
              <w:bottom w:type="dxa" w:w="80"/>
              <w:right w:type="dxa" w:w="120"/>
            </w:tcMar>
          </w:tcPr>
          <w:p>
            <w:r>
              <w:rPr>
                <w:b w:val="false"/>
                <w:bCs w:val="false"/>
                <w:color w:val="000000"/>
                <w:sz w:val="20"/>
                <w:szCs w:val="20"/>
              </w:rPr>
              <w:t xml:space="preserve">DESKTOP-P4S88B8 (192.168.0.102)</w:t>
            </w:r>
          </w:p>
        </w:tc>
      </w:tr>
      <w:tr>
        <w:tc>
          <w:tcPr>
            <w:tcW w:type="dxa" w:w="2600"/>
            <w:shd w:fill="F2F2F2" w:val="clear"/>
            <w:tcMar>
              <w:top w:type="dxa" w:w="80"/>
              <w:left w:type="dxa" w:w="120"/>
              <w:bottom w:type="dxa" w:w="80"/>
              <w:right w:type="dxa" w:w="120"/>
            </w:tcMar>
          </w:tcPr>
          <w:p>
            <w:r>
              <w:rPr>
                <w:b/>
                <w:bCs/>
                <w:color w:val="000000"/>
                <w:sz w:val="20"/>
                <w:szCs w:val="20"/>
              </w:rPr>
              <w:t xml:space="preserve">Affected User</w:t>
            </w:r>
          </w:p>
        </w:tc>
        <w:tc>
          <w:tcPr>
            <w:tcW w:type="dxa" w:w="6940"/>
            <w:tcMar>
              <w:top w:type="dxa" w:w="80"/>
              <w:left w:type="dxa" w:w="120"/>
              <w:bottom w:type="dxa" w:w="80"/>
              <w:right w:type="dxa" w:w="120"/>
            </w:tcMar>
          </w:tcPr>
          <w:p>
            <w:r>
              <w:rPr>
                <w:b w:val="false"/>
                <w:bCs w:val="false"/>
                <w:color w:val="000000"/>
                <w:sz w:val="20"/>
                <w:szCs w:val="20"/>
              </w:rPr>
              <w:t xml:space="preserve">DESKTOP-P4S88B8\vamsi</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Technique(s)</w:t>
            </w:r>
          </w:p>
        </w:tc>
        <w:tc>
          <w:tcPr>
            <w:tcW w:type="dxa" w:w="6940"/>
            <w:tcMar>
              <w:top w:type="dxa" w:w="80"/>
              <w:left w:type="dxa" w:w="120"/>
              <w:bottom w:type="dxa" w:w="80"/>
              <w:right w:type="dxa" w:w="120"/>
            </w:tcMar>
          </w:tcPr>
          <w:p>
            <w:r>
              <w:rPr>
                <w:b w:val="false"/>
                <w:bCs w:val="false"/>
                <w:color w:val="000000"/>
                <w:sz w:val="20"/>
                <w:szCs w:val="20"/>
              </w:rPr>
              <w:t xml:space="preserve">T1105 — Ingress Tool Transfer</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Tactic(s)</w:t>
            </w:r>
          </w:p>
        </w:tc>
        <w:tc>
          <w:tcPr>
            <w:tcW w:type="dxa" w:w="6940"/>
            <w:tcMar>
              <w:top w:type="dxa" w:w="80"/>
              <w:left w:type="dxa" w:w="120"/>
              <w:bottom w:type="dxa" w:w="80"/>
              <w:right w:type="dxa" w:w="120"/>
            </w:tcMar>
          </w:tcPr>
          <w:p>
            <w:r>
              <w:rPr>
                <w:b w:val="false"/>
                <w:bCs w:val="false"/>
                <w:color w:val="000000"/>
                <w:sz w:val="20"/>
                <w:szCs w:val="20"/>
              </w:rPr>
              <w:t xml:space="preserve">Command and Control</w:t>
            </w:r>
          </w:p>
        </w:tc>
      </w:tr>
      <w:tr>
        <w:tc>
          <w:tcPr>
            <w:tcW w:type="dxa" w:w="2600"/>
            <w:shd w:fill="F2F2F2" w:val="clear"/>
            <w:tcMar>
              <w:top w:type="dxa" w:w="80"/>
              <w:left w:type="dxa" w:w="120"/>
              <w:bottom w:type="dxa" w:w="80"/>
              <w:right w:type="dxa" w:w="120"/>
            </w:tcMar>
          </w:tcPr>
          <w:p>
            <w:r>
              <w:rPr>
                <w:b/>
                <w:bCs/>
                <w:color w:val="000000"/>
                <w:sz w:val="20"/>
                <w:szCs w:val="20"/>
              </w:rPr>
              <w:t xml:space="preserve">Compliance Frameworks</w:t>
            </w:r>
          </w:p>
        </w:tc>
        <w:tc>
          <w:tcPr>
            <w:tcW w:type="dxa" w:w="6940"/>
            <w:tcMar>
              <w:top w:type="dxa" w:w="80"/>
              <w:left w:type="dxa" w:w="120"/>
              <w:bottom w:type="dxa" w:w="80"/>
              <w:right w:type="dxa" w:w="120"/>
            </w:tcMar>
          </w:tcPr>
          <w:p>
            <w:r>
              <w:rPr>
                <w:b w:val="false"/>
                <w:bCs w:val="false"/>
                <w:color w:val="000000"/>
                <w:sz w:val="20"/>
                <w:szCs w:val="20"/>
              </w:rPr>
              <w:t xml:space="preserve">N/A (informational default rule)</w:t>
            </w:r>
          </w:p>
        </w:tc>
      </w:tr>
    </w:tbl>
    <w:p>
      <w:pPr>
        <w:spacing w:after="80" w:before="200"/>
      </w:pPr>
      <w:r>
        <w:rPr>
          <w:b/>
          <w:bCs/>
          <w:color w:val="1F3864"/>
          <w:sz w:val="22"/>
          <w:szCs w:val="22"/>
        </w:rPr>
        <w:t xml:space="preserve">Summary</w:t>
      </w:r>
    </w:p>
    <w:p>
      <w:pPr>
        <w:spacing w:after="160" w:line="300"/>
      </w:pPr>
      <w:r>
        <w:rPr>
          <w:sz w:val="22"/>
          <w:szCs w:val="22"/>
        </w:rPr>
        <w:t xml:space="preserve">Wazuh's default ruleset flagged powershell.exe for creating a .ps1 file inside the user's local Temp directory, a path commonly abused to stage malicious payloads. The alert fired at the highest default severity (level 15) and was mapped to MITRE technique T1105.</w:t>
      </w:r>
    </w:p>
    <w:p>
      <w:pPr>
        <w:spacing w:after="80" w:before="120"/>
      </w:pPr>
      <w:r>
        <w:rPr>
          <w:b/>
          <w:bCs/>
          <w:color w:val="1F3864"/>
          <w:sz w:val="22"/>
          <w:szCs w:val="22"/>
        </w:rPr>
        <w:t xml:space="preserve">Technical Detail</w:t>
      </w:r>
    </w:p>
    <w:p>
      <w:pPr>
        <w:pStyle w:val="ListParagraph"/>
        <w:numPr>
          <w:ilvl w:val="0"/>
          <w:numId w:val="2"/>
        </w:numPr>
        <w:spacing w:after="80"/>
      </w:pPr>
      <w:r>
        <w:rPr>
          <w:sz w:val="22"/>
          <w:szCs w:val="22"/>
        </w:rPr>
        <w:t xml:space="preserve">Process: C:\Windows\System32\WindowsPowerShell\v1.0\powershell.exe</w:t>
      </w:r>
    </w:p>
    <w:p>
      <w:pPr>
        <w:pStyle w:val="ListParagraph"/>
        <w:numPr>
          <w:ilvl w:val="0"/>
          <w:numId w:val="2"/>
        </w:numPr>
        <w:spacing w:after="80"/>
      </w:pPr>
      <w:r>
        <w:rPr>
          <w:sz w:val="22"/>
          <w:szCs w:val="22"/>
        </w:rPr>
        <w:t xml:space="preserve">File created: C:\Users\vamsi\AppData\Local\Temp\__PSScriptPolicyTest_peliyczx.kpp.ps1</w:t>
      </w:r>
    </w:p>
    <w:p>
      <w:pPr>
        <w:pStyle w:val="ListParagraph"/>
        <w:numPr>
          <w:ilvl w:val="0"/>
          <w:numId w:val="2"/>
        </w:numPr>
        <w:spacing w:after="80"/>
      </w:pPr>
      <w:r>
        <w:rPr>
          <w:sz w:val="22"/>
          <w:szCs w:val="22"/>
        </w:rPr>
        <w:t xml:space="preserve">User context: DESKTOP-P4S88B8\vamsi (standard user)</w:t>
      </w:r>
    </w:p>
    <w:p>
      <w:pPr>
        <w:pStyle w:val="ListParagraph"/>
        <w:numPr>
          <w:ilvl w:val="0"/>
          <w:numId w:val="2"/>
        </w:numPr>
        <w:spacing w:after="80"/>
      </w:pPr>
      <w:r>
        <w:rPr>
          <w:sz w:val="22"/>
          <w:szCs w:val="22"/>
        </w:rPr>
        <w:t xml:space="preserve">Sysmon Event ID: 11 (FileCreate)</w:t>
      </w:r>
    </w:p>
    <w:p>
      <w:pPr>
        <w:spacing w:after="80" w:before="120"/>
      </w:pPr>
      <w:r>
        <w:rPr>
          <w:b/>
          <w:bCs/>
          <w:color w:val="1F3864"/>
          <w:sz w:val="22"/>
          <w:szCs w:val="22"/>
        </w:rPr>
        <w:t xml:space="preserve">Analyst Assessment</w:t>
      </w:r>
    </w:p>
    <w:p>
      <w:pPr>
        <w:spacing w:after="160" w:line="300"/>
      </w:pPr>
      <w:r>
        <w:rPr>
          <w:sz w:val="22"/>
          <w:szCs w:val="22"/>
        </w:rPr>
        <w:t xml:space="preserve">The filename pattern __PSScriptPolicyTest_*.ps1 is a well-documented artifact that PowerShell itself creates automatically whenever it evaluates the local execution policy (e.g., on session start or when a script is invoked). This is expected, benign PowerShell internal behavior — not malware staging. The alert is a true positive for 'file matched a suspicious pattern' but a false positive for actual malicious intent.</w:t>
      </w:r>
    </w:p>
    <w:p>
      <w:pPr>
        <w:spacing w:after="80" w:before="120"/>
      </w:pPr>
      <w:r>
        <w:rPr>
          <w:b/>
          <w:bCs/>
          <w:color w:val="1F3864"/>
          <w:sz w:val="22"/>
          <w:szCs w:val="22"/>
        </w:rPr>
        <w:t xml:space="preserve">Remediation / Response Action</w:t>
      </w:r>
    </w:p>
    <w:p>
      <w:pPr>
        <w:pStyle w:val="ListParagraph"/>
        <w:numPr>
          <w:ilvl w:val="0"/>
          <w:numId w:val="2"/>
        </w:numPr>
        <w:spacing w:after="80"/>
      </w:pPr>
      <w:r>
        <w:rPr>
          <w:sz w:val="22"/>
          <w:szCs w:val="22"/>
        </w:rPr>
        <w:t xml:space="preserve">Verified file content and origin — confirmed benign PowerShell execution-policy check artifact.</w:t>
      </w:r>
    </w:p>
    <w:p>
      <w:pPr>
        <w:pStyle w:val="ListParagraph"/>
        <w:numPr>
          <w:ilvl w:val="0"/>
          <w:numId w:val="2"/>
        </w:numPr>
        <w:spacing w:after="80"/>
      </w:pPr>
      <w:r>
        <w:rPr>
          <w:sz w:val="22"/>
          <w:szCs w:val="22"/>
        </w:rPr>
        <w:t xml:space="preserve">No containment action required; host confirmed not compromised.</w:t>
      </w:r>
    </w:p>
    <w:p>
      <w:pPr>
        <w:pStyle w:val="ListParagraph"/>
        <w:numPr>
          <w:ilvl w:val="0"/>
          <w:numId w:val="2"/>
        </w:numPr>
        <w:spacing w:after="80"/>
      </w:pPr>
      <w:r>
        <w:rPr>
          <w:sz w:val="22"/>
          <w:szCs w:val="22"/>
        </w:rPr>
        <w:t xml:space="preserve">Documented pattern for future analyst reference to reduce triage time on recurring alerts.</w:t>
      </w:r>
    </w:p>
    <w:p>
      <w:pPr>
        <w:spacing w:after="260" w:before="120"/>
      </w:pPr>
      <w:r>
        <w:rPr>
          <w:b/>
          <w:bCs/>
          <w:sz w:val="22"/>
          <w:szCs w:val="22"/>
        </w:rPr>
        <w:t xml:space="preserve">Status: </w:t>
      </w:r>
      <w:r>
        <w:rPr>
          <w:b/>
          <w:bCs/>
          <w:color w:val="375623"/>
          <w:sz w:val="22"/>
          <w:szCs w:val="22"/>
        </w:rPr>
        <w:t xml:space="preserve">Closed — False Positive (Benign)</w:t>
      </w:r>
    </w:p>
    <w:p>
      <w:pPr>
        <w:pStyle w:val="Heading2"/>
        <w:spacing w:after="120" w:before="280"/>
      </w:pPr>
      <w:r>
        <w:rPr>
          <w:b/>
          <w:bCs/>
          <w:color w:val="2E74B5"/>
          <w:sz w:val="24"/>
          <w:szCs w:val="24"/>
        </w:rPr>
        <w:t xml:space="preserve">INC-2026-0913-02 — Custom Detection — Encoded PowerShell Execution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2F2F2" w:val="clear"/>
            <w:tcMar>
              <w:top w:type="dxa" w:w="80"/>
              <w:left w:type="dxa" w:w="120"/>
              <w:bottom w:type="dxa" w:w="80"/>
              <w:right w:type="dxa" w:w="120"/>
            </w:tcMar>
          </w:tcPr>
          <w:p>
            <w:r>
              <w:rPr>
                <w:b/>
                <w:bCs/>
                <w:color w:val="000000"/>
                <w:sz w:val="20"/>
                <w:szCs w:val="20"/>
              </w:rPr>
              <w:t xml:space="preserve">Ticket ID</w:t>
            </w:r>
          </w:p>
        </w:tc>
        <w:tc>
          <w:tcPr>
            <w:tcW w:type="dxa" w:w="6940"/>
            <w:tcMar>
              <w:top w:type="dxa" w:w="80"/>
              <w:left w:type="dxa" w:w="120"/>
              <w:bottom w:type="dxa" w:w="80"/>
              <w:right w:type="dxa" w:w="120"/>
            </w:tcMar>
          </w:tcPr>
          <w:p>
            <w:r>
              <w:rPr>
                <w:b w:val="false"/>
                <w:bCs w:val="false"/>
                <w:color w:val="000000"/>
                <w:sz w:val="20"/>
                <w:szCs w:val="20"/>
              </w:rPr>
              <w:t xml:space="preserve">INC-2026-0913-02</w:t>
            </w:r>
          </w:p>
        </w:tc>
      </w:tr>
      <w:tr>
        <w:tc>
          <w:tcPr>
            <w:tcW w:type="dxa" w:w="2600"/>
            <w:shd w:fill="F2F2F2" w:val="clear"/>
            <w:tcMar>
              <w:top w:type="dxa" w:w="80"/>
              <w:left w:type="dxa" w:w="120"/>
              <w:bottom w:type="dxa" w:w="80"/>
              <w:right w:type="dxa" w:w="120"/>
            </w:tcMar>
          </w:tcPr>
          <w:p>
            <w:r>
              <w:rPr>
                <w:b/>
                <w:bCs/>
                <w:color w:val="000000"/>
                <w:sz w:val="20"/>
                <w:szCs w:val="20"/>
              </w:rPr>
              <w:t xml:space="preserve">Date / Time (UTC)</w:t>
            </w:r>
          </w:p>
        </w:tc>
        <w:tc>
          <w:tcPr>
            <w:tcW w:type="dxa" w:w="6940"/>
            <w:tcMar>
              <w:top w:type="dxa" w:w="80"/>
              <w:left w:type="dxa" w:w="120"/>
              <w:bottom w:type="dxa" w:w="80"/>
              <w:right w:type="dxa" w:w="120"/>
            </w:tcMar>
          </w:tcPr>
          <w:p>
            <w:r>
              <w:rPr>
                <w:b w:val="false"/>
                <w:bCs w:val="false"/>
                <w:color w:val="000000"/>
                <w:sz w:val="20"/>
                <w:szCs w:val="20"/>
              </w:rPr>
              <w:t xml:space="preserve">2026-09-13 (see dashboard timestamp)</w:t>
            </w:r>
          </w:p>
        </w:tc>
      </w:tr>
      <w:tr>
        <w:tc>
          <w:tcPr>
            <w:tcW w:type="dxa" w:w="2600"/>
            <w:shd w:fill="F2F2F2" w:val="clear"/>
            <w:tcMar>
              <w:top w:type="dxa" w:w="80"/>
              <w:left w:type="dxa" w:w="120"/>
              <w:bottom w:type="dxa" w:w="80"/>
              <w:right w:type="dxa" w:w="120"/>
            </w:tcMar>
          </w:tcPr>
          <w:p>
            <w:r>
              <w:rPr>
                <w:b/>
                <w:bCs/>
                <w:color w:val="000000"/>
                <w:sz w:val="20"/>
                <w:szCs w:val="20"/>
              </w:rPr>
              <w:t xml:space="preserve">Detection Source</w:t>
            </w:r>
          </w:p>
        </w:tc>
        <w:tc>
          <w:tcPr>
            <w:tcW w:type="dxa" w:w="6940"/>
            <w:tcMar>
              <w:top w:type="dxa" w:w="80"/>
              <w:left w:type="dxa" w:w="120"/>
              <w:bottom w:type="dxa" w:w="80"/>
              <w:right w:type="dxa" w:w="120"/>
            </w:tcMar>
          </w:tcPr>
          <w:p>
            <w:r>
              <w:rPr>
                <w:b w:val="false"/>
                <w:bCs w:val="false"/>
                <w:color w:val="000000"/>
                <w:sz w:val="20"/>
                <w:szCs w:val="20"/>
              </w:rPr>
              <w:t xml:space="preserve">Sysmon Event ID 11 correlated with PowerShell process activity — Custom Local Rule</w:t>
            </w:r>
          </w:p>
        </w:tc>
      </w:tr>
      <w:tr>
        <w:tc>
          <w:tcPr>
            <w:tcW w:type="dxa" w:w="2600"/>
            <w:shd w:fill="F2F2F2" w:val="clear"/>
            <w:tcMar>
              <w:top w:type="dxa" w:w="80"/>
              <w:left w:type="dxa" w:w="120"/>
              <w:bottom w:type="dxa" w:w="80"/>
              <w:right w:type="dxa" w:w="120"/>
            </w:tcMar>
          </w:tcPr>
          <w:p>
            <w:r>
              <w:rPr>
                <w:b/>
                <w:bCs/>
                <w:color w:val="000000"/>
                <w:sz w:val="20"/>
                <w:szCs w:val="20"/>
              </w:rPr>
              <w:t xml:space="preserve">Wazuh Rule ID</w:t>
            </w:r>
          </w:p>
        </w:tc>
        <w:tc>
          <w:tcPr>
            <w:tcW w:type="dxa" w:w="6940"/>
            <w:tcMar>
              <w:top w:type="dxa" w:w="80"/>
              <w:left w:type="dxa" w:w="120"/>
              <w:bottom w:type="dxa" w:w="80"/>
              <w:right w:type="dxa" w:w="120"/>
            </w:tcMar>
          </w:tcPr>
          <w:p>
            <w:r>
              <w:rPr>
                <w:b w:val="false"/>
                <w:bCs w:val="false"/>
                <w:color w:val="000000"/>
                <w:sz w:val="20"/>
                <w:szCs w:val="20"/>
              </w:rPr>
              <w:t xml:space="preserve">100010 (custom, authored for this lab)</w:t>
            </w:r>
          </w:p>
        </w:tc>
      </w:tr>
      <w:tr>
        <w:tc>
          <w:tcPr>
            <w:tcW w:type="dxa" w:w="2600"/>
            <w:shd w:fill="F2F2F2" w:val="clear"/>
            <w:tcMar>
              <w:top w:type="dxa" w:w="80"/>
              <w:left w:type="dxa" w:w="120"/>
              <w:bottom w:type="dxa" w:w="80"/>
              <w:right w:type="dxa" w:w="120"/>
            </w:tcMar>
          </w:tcPr>
          <w:p>
            <w:r>
              <w:rPr>
                <w:b/>
                <w:bCs/>
                <w:color w:val="000000"/>
                <w:sz w:val="20"/>
                <w:szCs w:val="20"/>
              </w:rPr>
              <w:t xml:space="preserve">Rule Description</w:t>
            </w:r>
          </w:p>
        </w:tc>
        <w:tc>
          <w:tcPr>
            <w:tcW w:type="dxa" w:w="6940"/>
            <w:tcMar>
              <w:top w:type="dxa" w:w="80"/>
              <w:left w:type="dxa" w:w="120"/>
              <w:bottom w:type="dxa" w:w="80"/>
              <w:right w:type="dxa" w:w="120"/>
            </w:tcMar>
          </w:tcPr>
          <w:p>
            <w:r>
              <w:rPr>
                <w:b w:val="false"/>
                <w:bCs w:val="false"/>
                <w:color w:val="000000"/>
                <w:sz w:val="20"/>
                <w:szCs w:val="20"/>
              </w:rPr>
              <w:t xml:space="preserve">PowerShell process created a file - possible payload drop</w:t>
            </w:r>
          </w:p>
        </w:tc>
      </w:tr>
      <w:tr>
        <w:tc>
          <w:tcPr>
            <w:tcW w:type="dxa" w:w="2600"/>
            <w:shd w:fill="F2F2F2" w:val="clear"/>
            <w:tcMar>
              <w:top w:type="dxa" w:w="80"/>
              <w:left w:type="dxa" w:w="120"/>
              <w:bottom w:type="dxa" w:w="80"/>
              <w:right w:type="dxa" w:w="120"/>
            </w:tcMar>
          </w:tcPr>
          <w:p>
            <w:r>
              <w:rPr>
                <w:b/>
                <w:bCs/>
                <w:color w:val="000000"/>
                <w:sz w:val="20"/>
                <w:szCs w:val="20"/>
              </w:rPr>
              <w:t xml:space="preserve">Severity</w:t>
            </w:r>
          </w:p>
        </w:tc>
        <w:tc>
          <w:tcPr>
            <w:tcW w:type="dxa" w:w="6940"/>
            <w:tcMar>
              <w:top w:type="dxa" w:w="80"/>
              <w:left w:type="dxa" w:w="120"/>
              <w:bottom w:type="dxa" w:w="80"/>
              <w:right w:type="dxa" w:w="120"/>
            </w:tcMar>
          </w:tcPr>
          <w:p>
            <w:r>
              <w:rPr>
                <w:b w:val="false"/>
                <w:bCs w:val="false"/>
                <w:color w:val="000000"/>
                <w:sz w:val="20"/>
                <w:szCs w:val="20"/>
              </w:rPr>
              <w:t xml:space="preserve">Level 12 (CRITICAL)</w:t>
            </w:r>
          </w:p>
        </w:tc>
      </w:tr>
      <w:tr>
        <w:tc>
          <w:tcPr>
            <w:tcW w:type="dxa" w:w="2600"/>
            <w:shd w:fill="F2F2F2" w:val="clear"/>
            <w:tcMar>
              <w:top w:type="dxa" w:w="80"/>
              <w:left w:type="dxa" w:w="120"/>
              <w:bottom w:type="dxa" w:w="80"/>
              <w:right w:type="dxa" w:w="120"/>
            </w:tcMar>
          </w:tcPr>
          <w:p>
            <w:r>
              <w:rPr>
                <w:b/>
                <w:bCs/>
                <w:color w:val="000000"/>
                <w:sz w:val="20"/>
                <w:szCs w:val="20"/>
              </w:rPr>
              <w:t xml:space="preserve">Affected Host</w:t>
            </w:r>
          </w:p>
        </w:tc>
        <w:tc>
          <w:tcPr>
            <w:tcW w:type="dxa" w:w="6940"/>
            <w:tcMar>
              <w:top w:type="dxa" w:w="80"/>
              <w:left w:type="dxa" w:w="120"/>
              <w:bottom w:type="dxa" w:w="80"/>
              <w:right w:type="dxa" w:w="120"/>
            </w:tcMar>
          </w:tcPr>
          <w:p>
            <w:r>
              <w:rPr>
                <w:b w:val="false"/>
                <w:bCs w:val="false"/>
                <w:color w:val="000000"/>
                <w:sz w:val="20"/>
                <w:szCs w:val="20"/>
              </w:rPr>
              <w:t xml:space="preserve">DESKTOP-P4S88B8 (192.168.0.102)</w:t>
            </w:r>
          </w:p>
        </w:tc>
      </w:tr>
      <w:tr>
        <w:tc>
          <w:tcPr>
            <w:tcW w:type="dxa" w:w="2600"/>
            <w:shd w:fill="F2F2F2" w:val="clear"/>
            <w:tcMar>
              <w:top w:type="dxa" w:w="80"/>
              <w:left w:type="dxa" w:w="120"/>
              <w:bottom w:type="dxa" w:w="80"/>
              <w:right w:type="dxa" w:w="120"/>
            </w:tcMar>
          </w:tcPr>
          <w:p>
            <w:r>
              <w:rPr>
                <w:b/>
                <w:bCs/>
                <w:color w:val="000000"/>
                <w:sz w:val="20"/>
                <w:szCs w:val="20"/>
              </w:rPr>
              <w:t xml:space="preserve">Affected User</w:t>
            </w:r>
          </w:p>
        </w:tc>
        <w:tc>
          <w:tcPr>
            <w:tcW w:type="dxa" w:w="6940"/>
            <w:tcMar>
              <w:top w:type="dxa" w:w="80"/>
              <w:left w:type="dxa" w:w="120"/>
              <w:bottom w:type="dxa" w:w="80"/>
              <w:right w:type="dxa" w:w="120"/>
            </w:tcMar>
          </w:tcPr>
          <w:p>
            <w:r>
              <w:rPr>
                <w:b w:val="false"/>
                <w:bCs w:val="false"/>
                <w:color w:val="000000"/>
                <w:sz w:val="20"/>
                <w:szCs w:val="20"/>
              </w:rPr>
              <w:t xml:space="preserve">DESKTOP-P4S88B8\vamsi</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Technique(s)</w:t>
            </w:r>
          </w:p>
        </w:tc>
        <w:tc>
          <w:tcPr>
            <w:tcW w:type="dxa" w:w="6940"/>
            <w:tcMar>
              <w:top w:type="dxa" w:w="80"/>
              <w:left w:type="dxa" w:w="120"/>
              <w:bottom w:type="dxa" w:w="80"/>
              <w:right w:type="dxa" w:w="120"/>
            </w:tcMar>
          </w:tcPr>
          <w:p>
            <w:r>
              <w:rPr>
                <w:b w:val="false"/>
                <w:bCs w:val="false"/>
                <w:color w:val="000000"/>
                <w:sz w:val="20"/>
                <w:szCs w:val="20"/>
              </w:rPr>
              <w:t xml:space="preserve">T1059.001 — PowerShell</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Tactic(s)</w:t>
            </w:r>
          </w:p>
        </w:tc>
        <w:tc>
          <w:tcPr>
            <w:tcW w:type="dxa" w:w="6940"/>
            <w:tcMar>
              <w:top w:type="dxa" w:w="80"/>
              <w:left w:type="dxa" w:w="120"/>
              <w:bottom w:type="dxa" w:w="80"/>
              <w:right w:type="dxa" w:w="120"/>
            </w:tcMar>
          </w:tcPr>
          <w:p>
            <w:r>
              <w:rPr>
                <w:b w:val="false"/>
                <w:bCs w:val="false"/>
                <w:color w:val="000000"/>
                <w:sz w:val="20"/>
                <w:szCs w:val="20"/>
              </w:rPr>
              <w:t xml:space="preserve">Execution</w:t>
            </w:r>
          </w:p>
        </w:tc>
      </w:tr>
      <w:tr>
        <w:tc>
          <w:tcPr>
            <w:tcW w:type="dxa" w:w="2600"/>
            <w:shd w:fill="F2F2F2" w:val="clear"/>
            <w:tcMar>
              <w:top w:type="dxa" w:w="80"/>
              <w:left w:type="dxa" w:w="120"/>
              <w:bottom w:type="dxa" w:w="80"/>
              <w:right w:type="dxa" w:w="120"/>
            </w:tcMar>
          </w:tcPr>
          <w:p>
            <w:r>
              <w:rPr>
                <w:b/>
                <w:bCs/>
                <w:color w:val="000000"/>
                <w:sz w:val="20"/>
                <w:szCs w:val="20"/>
              </w:rPr>
              <w:t xml:space="preserve">Compliance Frameworks</w:t>
            </w:r>
          </w:p>
        </w:tc>
        <w:tc>
          <w:tcPr>
            <w:tcW w:type="dxa" w:w="6940"/>
            <w:tcMar>
              <w:top w:type="dxa" w:w="80"/>
              <w:left w:type="dxa" w:w="120"/>
              <w:bottom w:type="dxa" w:w="80"/>
              <w:right w:type="dxa" w:w="120"/>
            </w:tcMar>
          </w:tcPr>
          <w:p>
            <w:r>
              <w:rPr>
                <w:b w:val="false"/>
                <w:bCs w:val="false"/>
                <w:color w:val="000000"/>
                <w:sz w:val="20"/>
                <w:szCs w:val="20"/>
              </w:rPr>
              <w:t xml:space="preserve">N/A (custom rule)</w:t>
            </w:r>
          </w:p>
        </w:tc>
      </w:tr>
    </w:tbl>
    <w:p>
      <w:pPr>
        <w:spacing w:after="80" w:before="200"/>
      </w:pPr>
      <w:r>
        <w:rPr>
          <w:b/>
          <w:bCs/>
          <w:color w:val="1F3864"/>
          <w:sz w:val="22"/>
          <w:szCs w:val="22"/>
        </w:rPr>
        <w:t xml:space="preserve">Summary</w:t>
      </w:r>
    </w:p>
    <w:p>
      <w:pPr>
        <w:spacing w:after="160" w:line="300"/>
      </w:pPr>
      <w:r>
        <w:rPr>
          <w:sz w:val="22"/>
          <w:szCs w:val="22"/>
        </w:rPr>
        <w:t xml:space="preserve">A custom Wazuh detection rule was authored to flag PowerShell process activity as part of this lab's adversary-emulation objective (encoded/obfuscated command execution). The rule was tested by executing a Base64-encoded PowerShell command (powershell.exe -enc &lt;payload&gt;) on the endpoint.</w:t>
      </w:r>
    </w:p>
    <w:p>
      <w:pPr>
        <w:spacing w:after="80" w:before="120"/>
      </w:pPr>
      <w:r>
        <w:rPr>
          <w:b/>
          <w:bCs/>
          <w:color w:val="1F3864"/>
          <w:sz w:val="22"/>
          <w:szCs w:val="22"/>
        </w:rPr>
        <w:t xml:space="preserve">Technical Detail</w:t>
      </w:r>
    </w:p>
    <w:p>
      <w:pPr>
        <w:pStyle w:val="ListParagraph"/>
        <w:numPr>
          <w:ilvl w:val="0"/>
          <w:numId w:val="2"/>
        </w:numPr>
        <w:spacing w:after="80"/>
      </w:pPr>
      <w:r>
        <w:rPr>
          <w:sz w:val="22"/>
          <w:szCs w:val="22"/>
        </w:rPr>
        <w:t xml:space="preserve">Test payload: Base64-encoded 'Write-Host' command executed via powershell.exe -enc &lt;string&gt;.</w:t>
      </w:r>
    </w:p>
    <w:p>
      <w:pPr>
        <w:pStyle w:val="ListParagraph"/>
        <w:numPr>
          <w:ilvl w:val="0"/>
          <w:numId w:val="2"/>
        </w:numPr>
        <w:spacing w:after="80"/>
      </w:pPr>
      <w:r>
        <w:rPr>
          <w:sz w:val="22"/>
          <w:szCs w:val="22"/>
        </w:rPr>
        <w:t xml:space="preserve">Initial design targeted Sysmon Event ID 1 (ProcessCreate) matching on the command-line field for the -enc / -encodedcommand flag.</w:t>
      </w:r>
    </w:p>
    <w:p>
      <w:pPr>
        <w:pStyle w:val="ListParagraph"/>
        <w:numPr>
          <w:ilvl w:val="0"/>
          <w:numId w:val="2"/>
        </w:numPr>
        <w:spacing w:after="80"/>
      </w:pPr>
      <w:r>
        <w:rPr>
          <w:sz w:val="22"/>
          <w:szCs w:val="22"/>
        </w:rPr>
        <w:t xml:space="preserve">Root-cause investigation found Sysmon was generating Event ID 1 correctly (confirmed in the local Windows Event Log), but these events were not being surfaced by the Wazuh agent/manager pipeline for this environment.</w:t>
      </w:r>
    </w:p>
    <w:p>
      <w:pPr>
        <w:pStyle w:val="ListParagraph"/>
        <w:numPr>
          <w:ilvl w:val="0"/>
          <w:numId w:val="2"/>
        </w:numPr>
        <w:spacing w:after="80"/>
      </w:pPr>
      <w:r>
        <w:rPr>
          <w:sz w:val="22"/>
          <w:szCs w:val="22"/>
        </w:rPr>
        <w:t xml:space="preserve">Rule was pivoted to key off Sysmon Event ID 11 (FileCreate) triggered by any powershell.exe process, a reliably-forwarded event type confirmed during troubleshooting.</w:t>
      </w:r>
    </w:p>
    <w:p>
      <w:pPr>
        <w:pStyle w:val="ListParagraph"/>
        <w:numPr>
          <w:ilvl w:val="0"/>
          <w:numId w:val="2"/>
        </w:numPr>
        <w:spacing w:after="80"/>
      </w:pPr>
      <w:r>
        <w:rPr>
          <w:sz w:val="22"/>
          <w:szCs w:val="22"/>
        </w:rPr>
        <w:t xml:space="preserve">Custom rule XML authored, validated, and loaded into /var/ossec/etc/rules/local_rules.xml on the Wazuh manager; rule fired successfully on test execution.</w:t>
      </w:r>
    </w:p>
    <w:p>
      <w:pPr>
        <w:spacing w:after="80" w:before="120"/>
      </w:pPr>
      <w:r>
        <w:rPr>
          <w:b/>
          <w:bCs/>
          <w:color w:val="1F3864"/>
          <w:sz w:val="22"/>
          <w:szCs w:val="22"/>
        </w:rPr>
        <w:t xml:space="preserve">Analyst Assessment</w:t>
      </w:r>
    </w:p>
    <w:p>
      <w:pPr>
        <w:spacing w:after="160" w:line="300"/>
      </w:pPr>
      <w:r>
        <w:rPr>
          <w:sz w:val="22"/>
          <w:szCs w:val="22"/>
        </w:rPr>
        <w:t xml:space="preserve">This was a deliberately triggered test of the lab's custom detection logic, not a real threat. The exercise validated that: (1) a hand-written Wazuh rule can be authored, deployed, and correctly mapped to MITRE ATT&amp;CK; and (2) detection engineering sometimes requires adapting to the data actually available in a pipeline rather than the ideal/textbook event source.</w:t>
      </w:r>
    </w:p>
    <w:p>
      <w:pPr>
        <w:spacing w:after="80" w:before="120"/>
      </w:pPr>
      <w:r>
        <w:rPr>
          <w:b/>
          <w:bCs/>
          <w:color w:val="1F3864"/>
          <w:sz w:val="22"/>
          <w:szCs w:val="22"/>
        </w:rPr>
        <w:t xml:space="preserve">Remediation / Response Action</w:t>
      </w:r>
    </w:p>
    <w:p>
      <w:pPr>
        <w:pStyle w:val="ListParagraph"/>
        <w:numPr>
          <w:ilvl w:val="0"/>
          <w:numId w:val="2"/>
        </w:numPr>
        <w:spacing w:after="80"/>
      </w:pPr>
      <w:r>
        <w:rPr>
          <w:sz w:val="22"/>
          <w:szCs w:val="22"/>
        </w:rPr>
        <w:t xml:space="preserve">Confirmed rule 100010 fires correctly and is mapped to T1059.001.</w:t>
      </w:r>
    </w:p>
    <w:p>
      <w:pPr>
        <w:pStyle w:val="ListParagraph"/>
        <w:numPr>
          <w:ilvl w:val="0"/>
          <w:numId w:val="2"/>
        </w:numPr>
        <w:spacing w:after="80"/>
      </w:pPr>
      <w:r>
        <w:rPr>
          <w:sz w:val="22"/>
          <w:szCs w:val="22"/>
        </w:rPr>
        <w:t xml:space="preserve">Documented the Event ID 1 forwarding gap as a known limitation for future remediation (see Lessons Learned).</w:t>
      </w:r>
    </w:p>
    <w:p>
      <w:pPr>
        <w:pStyle w:val="ListParagraph"/>
        <w:numPr>
          <w:ilvl w:val="0"/>
          <w:numId w:val="2"/>
        </w:numPr>
        <w:spacing w:after="80"/>
      </w:pPr>
      <w:r>
        <w:rPr>
          <w:sz w:val="22"/>
          <w:szCs w:val="22"/>
        </w:rPr>
        <w:t xml:space="preserve">No further action required — expected test behavior.</w:t>
      </w:r>
    </w:p>
    <w:p>
      <w:pPr>
        <w:spacing w:after="260" w:before="120"/>
      </w:pPr>
      <w:r>
        <w:rPr>
          <w:b/>
          <w:bCs/>
          <w:sz w:val="22"/>
          <w:szCs w:val="22"/>
        </w:rPr>
        <w:t xml:space="preserve">Status: </w:t>
      </w:r>
      <w:r>
        <w:rPr>
          <w:b/>
          <w:bCs/>
          <w:color w:val="375623"/>
          <w:sz w:val="22"/>
          <w:szCs w:val="22"/>
        </w:rPr>
        <w:t xml:space="preserve">Closed — Expected Test Behavior (Detection Validated)</w:t>
      </w:r>
    </w:p>
    <w:p>
      <w:pPr>
        <w:pStyle w:val="Heading2"/>
        <w:spacing w:after="120" w:before="280"/>
      </w:pPr>
      <w:r>
        <w:rPr>
          <w:b/>
          <w:bCs/>
          <w:color w:val="2E74B5"/>
          <w:sz w:val="24"/>
          <w:szCs w:val="24"/>
        </w:rPr>
        <w:t xml:space="preserve">INC-2026-0912-03 — File Integrity Violation — Hosts File Modification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2F2F2" w:val="clear"/>
            <w:tcMar>
              <w:top w:type="dxa" w:w="80"/>
              <w:left w:type="dxa" w:w="120"/>
              <w:bottom w:type="dxa" w:w="80"/>
              <w:right w:type="dxa" w:w="120"/>
            </w:tcMar>
          </w:tcPr>
          <w:p>
            <w:r>
              <w:rPr>
                <w:b/>
                <w:bCs/>
                <w:color w:val="000000"/>
                <w:sz w:val="20"/>
                <w:szCs w:val="20"/>
              </w:rPr>
              <w:t xml:space="preserve">Ticket ID</w:t>
            </w:r>
          </w:p>
        </w:tc>
        <w:tc>
          <w:tcPr>
            <w:tcW w:type="dxa" w:w="6940"/>
            <w:tcMar>
              <w:top w:type="dxa" w:w="80"/>
              <w:left w:type="dxa" w:w="120"/>
              <w:bottom w:type="dxa" w:w="80"/>
              <w:right w:type="dxa" w:w="120"/>
            </w:tcMar>
          </w:tcPr>
          <w:p>
            <w:r>
              <w:rPr>
                <w:b w:val="false"/>
                <w:bCs w:val="false"/>
                <w:color w:val="000000"/>
                <w:sz w:val="20"/>
                <w:szCs w:val="20"/>
              </w:rPr>
              <w:t xml:space="preserve">INC-2026-0912-03</w:t>
            </w:r>
          </w:p>
        </w:tc>
      </w:tr>
      <w:tr>
        <w:tc>
          <w:tcPr>
            <w:tcW w:type="dxa" w:w="2600"/>
            <w:shd w:fill="F2F2F2" w:val="clear"/>
            <w:tcMar>
              <w:top w:type="dxa" w:w="80"/>
              <w:left w:type="dxa" w:w="120"/>
              <w:bottom w:type="dxa" w:w="80"/>
              <w:right w:type="dxa" w:w="120"/>
            </w:tcMar>
          </w:tcPr>
          <w:p>
            <w:r>
              <w:rPr>
                <w:b/>
                <w:bCs/>
                <w:color w:val="000000"/>
                <w:sz w:val="20"/>
                <w:szCs w:val="20"/>
              </w:rPr>
              <w:t xml:space="preserve">Date / Time (UTC)</w:t>
            </w:r>
          </w:p>
        </w:tc>
        <w:tc>
          <w:tcPr>
            <w:tcW w:type="dxa" w:w="6940"/>
            <w:tcMar>
              <w:top w:type="dxa" w:w="80"/>
              <w:left w:type="dxa" w:w="120"/>
              <w:bottom w:type="dxa" w:w="80"/>
              <w:right w:type="dxa" w:w="120"/>
            </w:tcMar>
          </w:tcPr>
          <w:p>
            <w:r>
              <w:rPr>
                <w:b w:val="false"/>
                <w:bCs w:val="false"/>
                <w:color w:val="000000"/>
                <w:sz w:val="20"/>
                <w:szCs w:val="20"/>
              </w:rPr>
              <w:t xml:space="preserve">2026-09-12 18:41:55 UTC</w:t>
            </w:r>
          </w:p>
        </w:tc>
      </w:tr>
      <w:tr>
        <w:tc>
          <w:tcPr>
            <w:tcW w:type="dxa" w:w="2600"/>
            <w:shd w:fill="F2F2F2" w:val="clear"/>
            <w:tcMar>
              <w:top w:type="dxa" w:w="80"/>
              <w:left w:type="dxa" w:w="120"/>
              <w:bottom w:type="dxa" w:w="80"/>
              <w:right w:type="dxa" w:w="120"/>
            </w:tcMar>
          </w:tcPr>
          <w:p>
            <w:r>
              <w:rPr>
                <w:b/>
                <w:bCs/>
                <w:color w:val="000000"/>
                <w:sz w:val="20"/>
                <w:szCs w:val="20"/>
              </w:rPr>
              <w:t xml:space="preserve">Detection Source</w:t>
            </w:r>
          </w:p>
        </w:tc>
        <w:tc>
          <w:tcPr>
            <w:tcW w:type="dxa" w:w="6940"/>
            <w:tcMar>
              <w:top w:type="dxa" w:w="80"/>
              <w:left w:type="dxa" w:w="120"/>
              <w:bottom w:type="dxa" w:w="80"/>
              <w:right w:type="dxa" w:w="120"/>
            </w:tcMar>
          </w:tcPr>
          <w:p>
            <w:r>
              <w:rPr>
                <w:b w:val="false"/>
                <w:bCs w:val="false"/>
                <w:color w:val="000000"/>
                <w:sz w:val="20"/>
                <w:szCs w:val="20"/>
              </w:rPr>
              <w:t xml:space="preserve">Wazuh File Integrity Monitoring (Syscheck) — Real-Time Mode</w:t>
            </w:r>
          </w:p>
        </w:tc>
      </w:tr>
      <w:tr>
        <w:tc>
          <w:tcPr>
            <w:tcW w:type="dxa" w:w="2600"/>
            <w:shd w:fill="F2F2F2" w:val="clear"/>
            <w:tcMar>
              <w:top w:type="dxa" w:w="80"/>
              <w:left w:type="dxa" w:w="120"/>
              <w:bottom w:type="dxa" w:w="80"/>
              <w:right w:type="dxa" w:w="120"/>
            </w:tcMar>
          </w:tcPr>
          <w:p>
            <w:r>
              <w:rPr>
                <w:b/>
                <w:bCs/>
                <w:color w:val="000000"/>
                <w:sz w:val="20"/>
                <w:szCs w:val="20"/>
              </w:rPr>
              <w:t xml:space="preserve">Wazuh Rule ID</w:t>
            </w:r>
          </w:p>
        </w:tc>
        <w:tc>
          <w:tcPr>
            <w:tcW w:type="dxa" w:w="6940"/>
            <w:tcMar>
              <w:top w:type="dxa" w:w="80"/>
              <w:left w:type="dxa" w:w="120"/>
              <w:bottom w:type="dxa" w:w="80"/>
              <w:right w:type="dxa" w:w="120"/>
            </w:tcMar>
          </w:tcPr>
          <w:p>
            <w:r>
              <w:rPr>
                <w:b w:val="false"/>
                <w:bCs w:val="false"/>
                <w:color w:val="000000"/>
                <w:sz w:val="20"/>
                <w:szCs w:val="20"/>
              </w:rPr>
              <w:t xml:space="preserve">550</w:t>
            </w:r>
          </w:p>
        </w:tc>
      </w:tr>
      <w:tr>
        <w:tc>
          <w:tcPr>
            <w:tcW w:type="dxa" w:w="2600"/>
            <w:shd w:fill="F2F2F2" w:val="clear"/>
            <w:tcMar>
              <w:top w:type="dxa" w:w="80"/>
              <w:left w:type="dxa" w:w="120"/>
              <w:bottom w:type="dxa" w:w="80"/>
              <w:right w:type="dxa" w:w="120"/>
            </w:tcMar>
          </w:tcPr>
          <w:p>
            <w:r>
              <w:rPr>
                <w:b/>
                <w:bCs/>
                <w:color w:val="000000"/>
                <w:sz w:val="20"/>
                <w:szCs w:val="20"/>
              </w:rPr>
              <w:t xml:space="preserve">Rule Description</w:t>
            </w:r>
          </w:p>
        </w:tc>
        <w:tc>
          <w:tcPr>
            <w:tcW w:type="dxa" w:w="6940"/>
            <w:tcMar>
              <w:top w:type="dxa" w:w="80"/>
              <w:left w:type="dxa" w:w="120"/>
              <w:bottom w:type="dxa" w:w="80"/>
              <w:right w:type="dxa" w:w="120"/>
            </w:tcMar>
          </w:tcPr>
          <w:p>
            <w:r>
              <w:rPr>
                <w:b w:val="false"/>
                <w:bCs w:val="false"/>
                <w:color w:val="000000"/>
                <w:sz w:val="20"/>
                <w:szCs w:val="20"/>
              </w:rPr>
              <w:t xml:space="preserve">Integrity checksum changed</w:t>
            </w:r>
          </w:p>
        </w:tc>
      </w:tr>
      <w:tr>
        <w:tc>
          <w:tcPr>
            <w:tcW w:type="dxa" w:w="2600"/>
            <w:shd w:fill="F2F2F2" w:val="clear"/>
            <w:tcMar>
              <w:top w:type="dxa" w:w="80"/>
              <w:left w:type="dxa" w:w="120"/>
              <w:bottom w:type="dxa" w:w="80"/>
              <w:right w:type="dxa" w:w="120"/>
            </w:tcMar>
          </w:tcPr>
          <w:p>
            <w:r>
              <w:rPr>
                <w:b/>
                <w:bCs/>
                <w:color w:val="000000"/>
                <w:sz w:val="20"/>
                <w:szCs w:val="20"/>
              </w:rPr>
              <w:t xml:space="preserve">Severity</w:t>
            </w:r>
          </w:p>
        </w:tc>
        <w:tc>
          <w:tcPr>
            <w:tcW w:type="dxa" w:w="6940"/>
            <w:tcMar>
              <w:top w:type="dxa" w:w="80"/>
              <w:left w:type="dxa" w:w="120"/>
              <w:bottom w:type="dxa" w:w="80"/>
              <w:right w:type="dxa" w:w="120"/>
            </w:tcMar>
          </w:tcPr>
          <w:p>
            <w:r>
              <w:rPr>
                <w:b w:val="false"/>
                <w:bCs w:val="false"/>
                <w:color w:val="000000"/>
                <w:sz w:val="20"/>
                <w:szCs w:val="20"/>
              </w:rPr>
              <w:t xml:space="preserve">Level 7 (MEDIUM)</w:t>
            </w:r>
          </w:p>
        </w:tc>
      </w:tr>
      <w:tr>
        <w:tc>
          <w:tcPr>
            <w:tcW w:type="dxa" w:w="2600"/>
            <w:shd w:fill="F2F2F2" w:val="clear"/>
            <w:tcMar>
              <w:top w:type="dxa" w:w="80"/>
              <w:left w:type="dxa" w:w="120"/>
              <w:bottom w:type="dxa" w:w="80"/>
              <w:right w:type="dxa" w:w="120"/>
            </w:tcMar>
          </w:tcPr>
          <w:p>
            <w:r>
              <w:rPr>
                <w:b/>
                <w:bCs/>
                <w:color w:val="000000"/>
                <w:sz w:val="20"/>
                <w:szCs w:val="20"/>
              </w:rPr>
              <w:t xml:space="preserve">Affected Host</w:t>
            </w:r>
          </w:p>
        </w:tc>
        <w:tc>
          <w:tcPr>
            <w:tcW w:type="dxa" w:w="6940"/>
            <w:tcMar>
              <w:top w:type="dxa" w:w="80"/>
              <w:left w:type="dxa" w:w="120"/>
              <w:bottom w:type="dxa" w:w="80"/>
              <w:right w:type="dxa" w:w="120"/>
            </w:tcMar>
          </w:tcPr>
          <w:p>
            <w:r>
              <w:rPr>
                <w:b w:val="false"/>
                <w:bCs w:val="false"/>
                <w:color w:val="000000"/>
                <w:sz w:val="20"/>
                <w:szCs w:val="20"/>
              </w:rPr>
              <w:t xml:space="preserve">DESKTOP-P4S88B8 (192.168.0.102)</w:t>
            </w:r>
          </w:p>
        </w:tc>
      </w:tr>
      <w:tr>
        <w:tc>
          <w:tcPr>
            <w:tcW w:type="dxa" w:w="2600"/>
            <w:shd w:fill="F2F2F2" w:val="clear"/>
            <w:tcMar>
              <w:top w:type="dxa" w:w="80"/>
              <w:left w:type="dxa" w:w="120"/>
              <w:bottom w:type="dxa" w:w="80"/>
              <w:right w:type="dxa" w:w="120"/>
            </w:tcMar>
          </w:tcPr>
          <w:p>
            <w:r>
              <w:rPr>
                <w:b/>
                <w:bCs/>
                <w:color w:val="000000"/>
                <w:sz w:val="20"/>
                <w:szCs w:val="20"/>
              </w:rPr>
              <w:t xml:space="preserve">Affected User</w:t>
            </w:r>
          </w:p>
        </w:tc>
        <w:tc>
          <w:tcPr>
            <w:tcW w:type="dxa" w:w="6940"/>
            <w:tcMar>
              <w:top w:type="dxa" w:w="80"/>
              <w:left w:type="dxa" w:w="120"/>
              <w:bottom w:type="dxa" w:w="80"/>
              <w:right w:type="dxa" w:w="120"/>
            </w:tcMar>
          </w:tcPr>
          <w:p>
            <w:r>
              <w:rPr>
                <w:b w:val="false"/>
                <w:bCs w:val="false"/>
                <w:color w:val="000000"/>
                <w:sz w:val="20"/>
                <w:szCs w:val="20"/>
              </w:rPr>
              <w:t xml:space="preserve">SYSTEM (S-1-5-18)</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Technique(s)</w:t>
            </w:r>
          </w:p>
        </w:tc>
        <w:tc>
          <w:tcPr>
            <w:tcW w:type="dxa" w:w="6940"/>
            <w:tcMar>
              <w:top w:type="dxa" w:w="80"/>
              <w:left w:type="dxa" w:w="120"/>
              <w:bottom w:type="dxa" w:w="80"/>
              <w:right w:type="dxa" w:w="120"/>
            </w:tcMar>
          </w:tcPr>
          <w:p>
            <w:r>
              <w:rPr>
                <w:b w:val="false"/>
                <w:bCs w:val="false"/>
                <w:color w:val="000000"/>
                <w:sz w:val="20"/>
                <w:szCs w:val="20"/>
              </w:rPr>
              <w:t xml:space="preserve">T1565.001 — Stored Data Manipulation</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Tactic(s)</w:t>
            </w:r>
          </w:p>
        </w:tc>
        <w:tc>
          <w:tcPr>
            <w:tcW w:type="dxa" w:w="6940"/>
            <w:tcMar>
              <w:top w:type="dxa" w:w="80"/>
              <w:left w:type="dxa" w:w="120"/>
              <w:bottom w:type="dxa" w:w="80"/>
              <w:right w:type="dxa" w:w="120"/>
            </w:tcMar>
          </w:tcPr>
          <w:p>
            <w:r>
              <w:rPr>
                <w:b w:val="false"/>
                <w:bCs w:val="false"/>
                <w:color w:val="000000"/>
                <w:sz w:val="20"/>
                <w:szCs w:val="20"/>
              </w:rPr>
              <w:t xml:space="preserve">Impact</w:t>
            </w:r>
          </w:p>
        </w:tc>
      </w:tr>
      <w:tr>
        <w:tc>
          <w:tcPr>
            <w:tcW w:type="dxa" w:w="2600"/>
            <w:shd w:fill="F2F2F2" w:val="clear"/>
            <w:tcMar>
              <w:top w:type="dxa" w:w="80"/>
              <w:left w:type="dxa" w:w="120"/>
              <w:bottom w:type="dxa" w:w="80"/>
              <w:right w:type="dxa" w:w="120"/>
            </w:tcMar>
          </w:tcPr>
          <w:p>
            <w:r>
              <w:rPr>
                <w:b/>
                <w:bCs/>
                <w:color w:val="000000"/>
                <w:sz w:val="20"/>
                <w:szCs w:val="20"/>
              </w:rPr>
              <w:t xml:space="preserve">Compliance Frameworks</w:t>
            </w:r>
          </w:p>
        </w:tc>
        <w:tc>
          <w:tcPr>
            <w:tcW w:type="dxa" w:w="6940"/>
            <w:tcMar>
              <w:top w:type="dxa" w:w="80"/>
              <w:left w:type="dxa" w:w="120"/>
              <w:bottom w:type="dxa" w:w="80"/>
              <w:right w:type="dxa" w:w="120"/>
            </w:tcMar>
          </w:tcPr>
          <w:p>
            <w:r>
              <w:rPr>
                <w:b w:val="false"/>
                <w:bCs w:val="false"/>
                <w:color w:val="000000"/>
                <w:sz w:val="20"/>
                <w:szCs w:val="20"/>
              </w:rPr>
              <w:t xml:space="preserve">PCI DSS 11.5 | HIPAA 164.312(c)(1)/(c)(2) | NIST 800-53 SI-7 | GDPR Art. 5.1(f)</w:t>
            </w:r>
          </w:p>
        </w:tc>
      </w:tr>
    </w:tbl>
    <w:p>
      <w:pPr>
        <w:spacing w:after="80" w:before="200"/>
      </w:pPr>
      <w:r>
        <w:rPr>
          <w:b/>
          <w:bCs/>
          <w:color w:val="1F3864"/>
          <w:sz w:val="22"/>
          <w:szCs w:val="22"/>
        </w:rPr>
        <w:t xml:space="preserve">Summary</w:t>
      </w:r>
    </w:p>
    <w:p>
      <w:pPr>
        <w:spacing w:after="160" w:line="300"/>
      </w:pPr>
      <w:r>
        <w:rPr>
          <w:sz w:val="22"/>
          <w:szCs w:val="22"/>
        </w:rPr>
        <w:t xml:space="preserve">Wazuh's File Integrity Monitoring module, configured to watch C:\Windows\System32\drivers\etc in real-time, detected a modification to the hosts file. A controlled test edit was made to validate FIM coverage of this classic attacker target (hosts-file tampering is a common technique for DNS redirection / phishing).</w:t>
      </w:r>
    </w:p>
    <w:p>
      <w:pPr>
        <w:spacing w:after="80" w:before="120"/>
      </w:pPr>
      <w:r>
        <w:rPr>
          <w:b/>
          <w:bCs/>
          <w:color w:val="1F3864"/>
          <w:sz w:val="22"/>
          <w:szCs w:val="22"/>
        </w:rPr>
        <w:t xml:space="preserve">Technical Detail</w:t>
      </w:r>
    </w:p>
    <w:p>
      <w:pPr>
        <w:pStyle w:val="ListParagraph"/>
        <w:numPr>
          <w:ilvl w:val="0"/>
          <w:numId w:val="2"/>
        </w:numPr>
        <w:spacing w:after="80"/>
      </w:pPr>
      <w:r>
        <w:rPr>
          <w:sz w:val="22"/>
          <w:szCs w:val="22"/>
        </w:rPr>
        <w:t xml:space="preserve">Monitored path: c:\windows\system32\drivers\etc\hosts</w:t>
      </w:r>
    </w:p>
    <w:p>
      <w:pPr>
        <w:pStyle w:val="ListParagraph"/>
        <w:numPr>
          <w:ilvl w:val="0"/>
          <w:numId w:val="2"/>
        </w:numPr>
        <w:spacing w:after="80"/>
      </w:pPr>
      <w:r>
        <w:rPr>
          <w:sz w:val="22"/>
          <w:szCs w:val="22"/>
        </w:rPr>
        <w:t xml:space="preserve">Detection mode: realtime (syscheck.mode)</w:t>
      </w:r>
    </w:p>
    <w:p>
      <w:pPr>
        <w:pStyle w:val="ListParagraph"/>
        <w:numPr>
          <w:ilvl w:val="0"/>
          <w:numId w:val="2"/>
        </w:numPr>
        <w:spacing w:after="80"/>
      </w:pPr>
      <w:r>
        <w:rPr>
          <w:sz w:val="22"/>
          <w:szCs w:val="22"/>
        </w:rPr>
        <w:t xml:space="preserve">File size changed: 824 bytes -&gt; 845 bytes</w:t>
      </w:r>
    </w:p>
    <w:p>
      <w:pPr>
        <w:pStyle w:val="ListParagraph"/>
        <w:numPr>
          <w:ilvl w:val="0"/>
          <w:numId w:val="2"/>
        </w:numPr>
        <w:spacing w:after="80"/>
      </w:pPr>
      <w:r>
        <w:rPr>
          <w:sz w:val="22"/>
          <w:szCs w:val="22"/>
        </w:rPr>
        <w:t xml:space="preserve">MD5 changed: 3688374325b992def12793500307566d -&gt; 26485bd1c5efd82cfbd2376afd64a626</w:t>
      </w:r>
    </w:p>
    <w:p>
      <w:pPr>
        <w:pStyle w:val="ListParagraph"/>
        <w:numPr>
          <w:ilvl w:val="0"/>
          <w:numId w:val="2"/>
        </w:numPr>
        <w:spacing w:after="80"/>
      </w:pPr>
      <w:r>
        <w:rPr>
          <w:sz w:val="22"/>
          <w:szCs w:val="22"/>
        </w:rPr>
        <w:t xml:space="preserve">SHA1 changed: 4bed0823746a2a8577ab08ac8711b79770e48274 -&gt; 387293ace7f5fefd10a9fc4f46c4d55e37adb1c6</w:t>
      </w:r>
    </w:p>
    <w:p>
      <w:pPr>
        <w:pStyle w:val="ListParagraph"/>
        <w:numPr>
          <w:ilvl w:val="0"/>
          <w:numId w:val="2"/>
        </w:numPr>
        <w:spacing w:after="80"/>
      </w:pPr>
      <w:r>
        <w:rPr>
          <w:sz w:val="22"/>
          <w:szCs w:val="22"/>
        </w:rPr>
        <w:t xml:space="preserve">SHA256 changed: 2d6bdfb341be3a6234b24742377f93aa7c7cfb0d9fd64efa9282c87852e57085 -&gt; 7b32e68febbd3c5e126cc11c365e20b076be144148ed006b9bfebbf788f9f2dd</w:t>
      </w:r>
    </w:p>
    <w:p>
      <w:pPr>
        <w:pStyle w:val="ListParagraph"/>
        <w:numPr>
          <w:ilvl w:val="0"/>
          <w:numId w:val="2"/>
        </w:numPr>
        <w:spacing w:after="80"/>
      </w:pPr>
      <w:r>
        <w:rPr>
          <w:sz w:val="22"/>
          <w:szCs w:val="22"/>
        </w:rPr>
        <w:t xml:space="preserve">Change attributed to a controlled test edit appending a comment line via PowerShell (Add-Content).</w:t>
      </w:r>
    </w:p>
    <w:p>
      <w:pPr>
        <w:spacing w:after="80" w:before="120"/>
      </w:pPr>
      <w:r>
        <w:rPr>
          <w:b/>
          <w:bCs/>
          <w:color w:val="1F3864"/>
          <w:sz w:val="22"/>
          <w:szCs w:val="22"/>
        </w:rPr>
        <w:t xml:space="preserve">Analyst Assessment</w:t>
      </w:r>
    </w:p>
    <w:p>
      <w:pPr>
        <w:spacing w:after="160" w:line="300"/>
      </w:pPr>
      <w:r>
        <w:rPr>
          <w:sz w:val="22"/>
          <w:szCs w:val="22"/>
        </w:rPr>
        <w:t xml:space="preserve">This was a controlled, authorized test of FIM coverage. In a real incident, an unauthorized hosts-file modification of this nature would warrant immediate investigation, as it can be used to redirect traffic for legitimate domains to attacker-controlled infrastructure. The alert correctly captured full before/after hash values, enabling forensic comparison and demonstrating regulatory-relevant integrity monitoring (mapped automatically to PCI DSS, HIPAA, NIST 800-53, and GDPR).</w:t>
      </w:r>
    </w:p>
    <w:p>
      <w:pPr>
        <w:spacing w:after="80" w:before="120"/>
      </w:pPr>
      <w:r>
        <w:rPr>
          <w:b/>
          <w:bCs/>
          <w:color w:val="1F3864"/>
          <w:sz w:val="22"/>
          <w:szCs w:val="22"/>
        </w:rPr>
        <w:t xml:space="preserve">Remediation / Response Action</w:t>
      </w:r>
    </w:p>
    <w:p>
      <w:pPr>
        <w:pStyle w:val="ListParagraph"/>
        <w:numPr>
          <w:ilvl w:val="0"/>
          <w:numId w:val="2"/>
        </w:numPr>
        <w:spacing w:after="80"/>
      </w:pPr>
      <w:r>
        <w:rPr>
          <w:sz w:val="22"/>
          <w:szCs w:val="22"/>
        </w:rPr>
        <w:t xml:space="preserve">Confirmed change was an authorized lab test; no unauthorized modification occurred.</w:t>
      </w:r>
    </w:p>
    <w:p>
      <w:pPr>
        <w:pStyle w:val="ListParagraph"/>
        <w:numPr>
          <w:ilvl w:val="0"/>
          <w:numId w:val="2"/>
        </w:numPr>
        <w:spacing w:after="80"/>
      </w:pPr>
      <w:r>
        <w:rPr>
          <w:sz w:val="22"/>
          <w:szCs w:val="22"/>
        </w:rPr>
        <w:t xml:space="preserve">Verified FIM real-time detection latency and hash-level reporting are functioning as designed.</w:t>
      </w:r>
    </w:p>
    <w:p>
      <w:pPr>
        <w:pStyle w:val="ListParagraph"/>
        <w:numPr>
          <w:ilvl w:val="0"/>
          <w:numId w:val="2"/>
        </w:numPr>
        <w:spacing w:after="80"/>
      </w:pPr>
      <w:r>
        <w:rPr>
          <w:sz w:val="22"/>
          <w:szCs w:val="22"/>
        </w:rPr>
        <w:t xml:space="preserve">In a production scenario: would compare current hosts file content against the known-good baseline and revert unauthorized entries immediately.</w:t>
      </w:r>
    </w:p>
    <w:p>
      <w:pPr>
        <w:spacing w:after="260" w:before="120"/>
      </w:pPr>
      <w:r>
        <w:rPr>
          <w:b/>
          <w:bCs/>
          <w:sz w:val="22"/>
          <w:szCs w:val="22"/>
        </w:rPr>
        <w:t xml:space="preserve">Status: </w:t>
      </w:r>
      <w:r>
        <w:rPr>
          <w:b/>
          <w:bCs/>
          <w:color w:val="375623"/>
          <w:sz w:val="22"/>
          <w:szCs w:val="22"/>
        </w:rPr>
        <w:t xml:space="preserve">Closed — Authorized Test / Detection Validated</w:t>
      </w:r>
    </w:p>
    <w:p>
      <w:pPr>
        <w:pStyle w:val="Heading2"/>
        <w:spacing w:after="120" w:before="280"/>
      </w:pPr>
      <w:r>
        <w:rPr>
          <w:b/>
          <w:bCs/>
          <w:color w:val="2E74B5"/>
          <w:sz w:val="24"/>
          <w:szCs w:val="24"/>
        </w:rPr>
        <w:t xml:space="preserve">INC-2026-0913-04 — Credential Brute-Force Attempt — Account Lockout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2F2F2" w:val="clear"/>
            <w:tcMar>
              <w:top w:type="dxa" w:w="80"/>
              <w:left w:type="dxa" w:w="120"/>
              <w:bottom w:type="dxa" w:w="80"/>
              <w:right w:type="dxa" w:w="120"/>
            </w:tcMar>
          </w:tcPr>
          <w:p>
            <w:r>
              <w:rPr>
                <w:b/>
                <w:bCs/>
                <w:color w:val="000000"/>
                <w:sz w:val="20"/>
                <w:szCs w:val="20"/>
              </w:rPr>
              <w:t xml:space="preserve">Ticket ID</w:t>
            </w:r>
          </w:p>
        </w:tc>
        <w:tc>
          <w:tcPr>
            <w:tcW w:type="dxa" w:w="6940"/>
            <w:tcMar>
              <w:top w:type="dxa" w:w="80"/>
              <w:left w:type="dxa" w:w="120"/>
              <w:bottom w:type="dxa" w:w="80"/>
              <w:right w:type="dxa" w:w="120"/>
            </w:tcMar>
          </w:tcPr>
          <w:p>
            <w:r>
              <w:rPr>
                <w:b w:val="false"/>
                <w:bCs w:val="false"/>
                <w:color w:val="000000"/>
                <w:sz w:val="20"/>
                <w:szCs w:val="20"/>
              </w:rPr>
              <w:t xml:space="preserve">INC-2026-0913-04</w:t>
            </w:r>
          </w:p>
        </w:tc>
      </w:tr>
      <w:tr>
        <w:tc>
          <w:tcPr>
            <w:tcW w:type="dxa" w:w="2600"/>
            <w:shd w:fill="F2F2F2" w:val="clear"/>
            <w:tcMar>
              <w:top w:type="dxa" w:w="80"/>
              <w:left w:type="dxa" w:w="120"/>
              <w:bottom w:type="dxa" w:w="80"/>
              <w:right w:type="dxa" w:w="120"/>
            </w:tcMar>
          </w:tcPr>
          <w:p>
            <w:r>
              <w:rPr>
                <w:b/>
                <w:bCs/>
                <w:color w:val="000000"/>
                <w:sz w:val="20"/>
                <w:szCs w:val="20"/>
              </w:rPr>
              <w:t xml:space="preserve">Date / Time (UTC)</w:t>
            </w:r>
          </w:p>
        </w:tc>
        <w:tc>
          <w:tcPr>
            <w:tcW w:type="dxa" w:w="6940"/>
            <w:tcMar>
              <w:top w:type="dxa" w:w="80"/>
              <w:left w:type="dxa" w:w="120"/>
              <w:bottom w:type="dxa" w:w="80"/>
              <w:right w:type="dxa" w:w="120"/>
            </w:tcMar>
          </w:tcPr>
          <w:p>
            <w:r>
              <w:rPr>
                <w:b w:val="false"/>
                <w:bCs w:val="false"/>
                <w:color w:val="000000"/>
                <w:sz w:val="20"/>
                <w:szCs w:val="20"/>
              </w:rPr>
              <w:t xml:space="preserve">2026-09-13 06:10:47 UTC (event) / 12:15:20 UTC (alert)</w:t>
            </w:r>
          </w:p>
        </w:tc>
      </w:tr>
      <w:tr>
        <w:tc>
          <w:tcPr>
            <w:tcW w:type="dxa" w:w="2600"/>
            <w:shd w:fill="F2F2F2" w:val="clear"/>
            <w:tcMar>
              <w:top w:type="dxa" w:w="80"/>
              <w:left w:type="dxa" w:w="120"/>
              <w:bottom w:type="dxa" w:w="80"/>
              <w:right w:type="dxa" w:w="120"/>
            </w:tcMar>
          </w:tcPr>
          <w:p>
            <w:r>
              <w:rPr>
                <w:b/>
                <w:bCs/>
                <w:color w:val="000000"/>
                <w:sz w:val="20"/>
                <w:szCs w:val="20"/>
              </w:rPr>
              <w:t xml:space="preserve">Detection Source</w:t>
            </w:r>
          </w:p>
        </w:tc>
        <w:tc>
          <w:tcPr>
            <w:tcW w:type="dxa" w:w="6940"/>
            <w:tcMar>
              <w:top w:type="dxa" w:w="80"/>
              <w:left w:type="dxa" w:w="120"/>
              <w:bottom w:type="dxa" w:w="80"/>
              <w:right w:type="dxa" w:w="120"/>
            </w:tcMar>
          </w:tcPr>
          <w:p>
            <w:r>
              <w:rPr>
                <w:b w:val="false"/>
                <w:bCs w:val="false"/>
                <w:color w:val="000000"/>
                <w:sz w:val="20"/>
                <w:szCs w:val="20"/>
              </w:rPr>
              <w:t xml:space="preserve">Windows Security Event Log (Event ID 4740) via Wazuh Agent</w:t>
            </w:r>
          </w:p>
        </w:tc>
      </w:tr>
      <w:tr>
        <w:tc>
          <w:tcPr>
            <w:tcW w:type="dxa" w:w="2600"/>
            <w:shd w:fill="F2F2F2" w:val="clear"/>
            <w:tcMar>
              <w:top w:type="dxa" w:w="80"/>
              <w:left w:type="dxa" w:w="120"/>
              <w:bottom w:type="dxa" w:w="80"/>
              <w:right w:type="dxa" w:w="120"/>
            </w:tcMar>
          </w:tcPr>
          <w:p>
            <w:r>
              <w:rPr>
                <w:b/>
                <w:bCs/>
                <w:color w:val="000000"/>
                <w:sz w:val="20"/>
                <w:szCs w:val="20"/>
              </w:rPr>
              <w:t xml:space="preserve">Wazuh Rule ID</w:t>
            </w:r>
          </w:p>
        </w:tc>
        <w:tc>
          <w:tcPr>
            <w:tcW w:type="dxa" w:w="6940"/>
            <w:tcMar>
              <w:top w:type="dxa" w:w="80"/>
              <w:left w:type="dxa" w:w="120"/>
              <w:bottom w:type="dxa" w:w="80"/>
              <w:right w:type="dxa" w:w="120"/>
            </w:tcMar>
          </w:tcPr>
          <w:p>
            <w:r>
              <w:rPr>
                <w:b w:val="false"/>
                <w:bCs w:val="false"/>
                <w:color w:val="000000"/>
                <w:sz w:val="20"/>
                <w:szCs w:val="20"/>
              </w:rPr>
              <w:t xml:space="preserve">60115</w:t>
            </w:r>
          </w:p>
        </w:tc>
      </w:tr>
      <w:tr>
        <w:tc>
          <w:tcPr>
            <w:tcW w:type="dxa" w:w="2600"/>
            <w:shd w:fill="F2F2F2" w:val="clear"/>
            <w:tcMar>
              <w:top w:type="dxa" w:w="80"/>
              <w:left w:type="dxa" w:w="120"/>
              <w:bottom w:type="dxa" w:w="80"/>
              <w:right w:type="dxa" w:w="120"/>
            </w:tcMar>
          </w:tcPr>
          <w:p>
            <w:r>
              <w:rPr>
                <w:b/>
                <w:bCs/>
                <w:color w:val="000000"/>
                <w:sz w:val="20"/>
                <w:szCs w:val="20"/>
              </w:rPr>
              <w:t xml:space="preserve">Rule Description</w:t>
            </w:r>
          </w:p>
        </w:tc>
        <w:tc>
          <w:tcPr>
            <w:tcW w:type="dxa" w:w="6940"/>
            <w:tcMar>
              <w:top w:type="dxa" w:w="80"/>
              <w:left w:type="dxa" w:w="120"/>
              <w:bottom w:type="dxa" w:w="80"/>
              <w:right w:type="dxa" w:w="120"/>
            </w:tcMar>
          </w:tcPr>
          <w:p>
            <w:r>
              <w:rPr>
                <w:b w:val="false"/>
                <w:bCs w:val="false"/>
                <w:color w:val="000000"/>
                <w:sz w:val="20"/>
                <w:szCs w:val="20"/>
              </w:rPr>
              <w:t xml:space="preserve">User account locked out (multiple login errors)</w:t>
            </w:r>
          </w:p>
        </w:tc>
      </w:tr>
      <w:tr>
        <w:tc>
          <w:tcPr>
            <w:tcW w:type="dxa" w:w="2600"/>
            <w:shd w:fill="F2F2F2" w:val="clear"/>
            <w:tcMar>
              <w:top w:type="dxa" w:w="80"/>
              <w:left w:type="dxa" w:w="120"/>
              <w:bottom w:type="dxa" w:w="80"/>
              <w:right w:type="dxa" w:w="120"/>
            </w:tcMar>
          </w:tcPr>
          <w:p>
            <w:r>
              <w:rPr>
                <w:b/>
                <w:bCs/>
                <w:color w:val="000000"/>
                <w:sz w:val="20"/>
                <w:szCs w:val="20"/>
              </w:rPr>
              <w:t xml:space="preserve">Severity</w:t>
            </w:r>
          </w:p>
        </w:tc>
        <w:tc>
          <w:tcPr>
            <w:tcW w:type="dxa" w:w="6940"/>
            <w:tcMar>
              <w:top w:type="dxa" w:w="80"/>
              <w:left w:type="dxa" w:w="120"/>
              <w:bottom w:type="dxa" w:w="80"/>
              <w:right w:type="dxa" w:w="120"/>
            </w:tcMar>
          </w:tcPr>
          <w:p>
            <w:r>
              <w:rPr>
                <w:b w:val="false"/>
                <w:bCs w:val="false"/>
                <w:color w:val="000000"/>
                <w:sz w:val="20"/>
                <w:szCs w:val="20"/>
              </w:rPr>
              <w:t xml:space="preserve">Level 9 (HIGH)</w:t>
            </w:r>
          </w:p>
        </w:tc>
      </w:tr>
      <w:tr>
        <w:tc>
          <w:tcPr>
            <w:tcW w:type="dxa" w:w="2600"/>
            <w:shd w:fill="F2F2F2" w:val="clear"/>
            <w:tcMar>
              <w:top w:type="dxa" w:w="80"/>
              <w:left w:type="dxa" w:w="120"/>
              <w:bottom w:type="dxa" w:w="80"/>
              <w:right w:type="dxa" w:w="120"/>
            </w:tcMar>
          </w:tcPr>
          <w:p>
            <w:r>
              <w:rPr>
                <w:b/>
                <w:bCs/>
                <w:color w:val="000000"/>
                <w:sz w:val="20"/>
                <w:szCs w:val="20"/>
              </w:rPr>
              <w:t xml:space="preserve">Affected Host</w:t>
            </w:r>
          </w:p>
        </w:tc>
        <w:tc>
          <w:tcPr>
            <w:tcW w:type="dxa" w:w="6940"/>
            <w:tcMar>
              <w:top w:type="dxa" w:w="80"/>
              <w:left w:type="dxa" w:w="120"/>
              <w:bottom w:type="dxa" w:w="80"/>
              <w:right w:type="dxa" w:w="120"/>
            </w:tcMar>
          </w:tcPr>
          <w:p>
            <w:r>
              <w:rPr>
                <w:b w:val="false"/>
                <w:bCs w:val="false"/>
                <w:color w:val="000000"/>
                <w:sz w:val="20"/>
                <w:szCs w:val="20"/>
              </w:rPr>
              <w:t xml:space="preserve">DESKTOP-P4S88B8 (192.168.0.102)</w:t>
            </w:r>
          </w:p>
        </w:tc>
      </w:tr>
      <w:tr>
        <w:tc>
          <w:tcPr>
            <w:tcW w:type="dxa" w:w="2600"/>
            <w:shd w:fill="F2F2F2" w:val="clear"/>
            <w:tcMar>
              <w:top w:type="dxa" w:w="80"/>
              <w:left w:type="dxa" w:w="120"/>
              <w:bottom w:type="dxa" w:w="80"/>
              <w:right w:type="dxa" w:w="120"/>
            </w:tcMar>
          </w:tcPr>
          <w:p>
            <w:r>
              <w:rPr>
                <w:b/>
                <w:bCs/>
                <w:color w:val="000000"/>
                <w:sz w:val="20"/>
                <w:szCs w:val="20"/>
              </w:rPr>
              <w:t xml:space="preserve">Affected User</w:t>
            </w:r>
          </w:p>
        </w:tc>
        <w:tc>
          <w:tcPr>
            <w:tcW w:type="dxa" w:w="6940"/>
            <w:tcMar>
              <w:top w:type="dxa" w:w="80"/>
              <w:left w:type="dxa" w:w="120"/>
              <w:bottom w:type="dxa" w:w="80"/>
              <w:right w:type="dxa" w:w="120"/>
            </w:tcMar>
          </w:tcPr>
          <w:p>
            <w:r>
              <w:rPr>
                <w:b w:val="false"/>
                <w:bCs w:val="false"/>
                <w:color w:val="000000"/>
                <w:sz w:val="20"/>
                <w:szCs w:val="20"/>
              </w:rPr>
              <w:t xml:space="preserve">vamsi (target account)</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Technique(s)</w:t>
            </w:r>
          </w:p>
        </w:tc>
        <w:tc>
          <w:tcPr>
            <w:tcW w:type="dxa" w:w="6940"/>
            <w:tcMar>
              <w:top w:type="dxa" w:w="80"/>
              <w:left w:type="dxa" w:w="120"/>
              <w:bottom w:type="dxa" w:w="80"/>
              <w:right w:type="dxa" w:w="120"/>
            </w:tcMar>
          </w:tcPr>
          <w:p>
            <w:r>
              <w:rPr>
                <w:b w:val="false"/>
                <w:bCs w:val="false"/>
                <w:color w:val="000000"/>
                <w:sz w:val="20"/>
                <w:szCs w:val="20"/>
              </w:rPr>
              <w:t xml:space="preserve">T1110 — Brute Force; T1531 — Account Access Removal</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Tactic(s)</w:t>
            </w:r>
          </w:p>
        </w:tc>
        <w:tc>
          <w:tcPr>
            <w:tcW w:type="dxa" w:w="6940"/>
            <w:tcMar>
              <w:top w:type="dxa" w:w="80"/>
              <w:left w:type="dxa" w:w="120"/>
              <w:bottom w:type="dxa" w:w="80"/>
              <w:right w:type="dxa" w:w="120"/>
            </w:tcMar>
          </w:tcPr>
          <w:p>
            <w:r>
              <w:rPr>
                <w:b w:val="false"/>
                <w:bCs w:val="false"/>
                <w:color w:val="000000"/>
                <w:sz w:val="20"/>
                <w:szCs w:val="20"/>
              </w:rPr>
              <w:t xml:space="preserve">Credential Access; Impact</w:t>
            </w:r>
          </w:p>
        </w:tc>
      </w:tr>
      <w:tr>
        <w:tc>
          <w:tcPr>
            <w:tcW w:type="dxa" w:w="2600"/>
            <w:shd w:fill="F2F2F2" w:val="clear"/>
            <w:tcMar>
              <w:top w:type="dxa" w:w="80"/>
              <w:left w:type="dxa" w:w="120"/>
              <w:bottom w:type="dxa" w:w="80"/>
              <w:right w:type="dxa" w:w="120"/>
            </w:tcMar>
          </w:tcPr>
          <w:p>
            <w:r>
              <w:rPr>
                <w:b/>
                <w:bCs/>
                <w:color w:val="000000"/>
                <w:sz w:val="20"/>
                <w:szCs w:val="20"/>
              </w:rPr>
              <w:t xml:space="preserve">Compliance Frameworks</w:t>
            </w:r>
          </w:p>
        </w:tc>
        <w:tc>
          <w:tcPr>
            <w:tcW w:type="dxa" w:w="6940"/>
            <w:tcMar>
              <w:top w:type="dxa" w:w="80"/>
              <w:left w:type="dxa" w:w="120"/>
              <w:bottom w:type="dxa" w:w="80"/>
              <w:right w:type="dxa" w:w="120"/>
            </w:tcMar>
          </w:tcPr>
          <w:p>
            <w:r>
              <w:rPr>
                <w:b w:val="false"/>
                <w:bCs w:val="false"/>
                <w:color w:val="000000"/>
                <w:sz w:val="20"/>
                <w:szCs w:val="20"/>
              </w:rPr>
              <w:t xml:space="preserve">PCI DSS 8.1.6/11.4 | HIPAA 164.312(a)(1) | NIST 800-53 AC-7/SI-4 | GDPR Art. 35.7(d)</w:t>
            </w:r>
          </w:p>
        </w:tc>
      </w:tr>
    </w:tbl>
    <w:p>
      <w:pPr>
        <w:spacing w:after="80" w:before="200"/>
      </w:pPr>
      <w:r>
        <w:rPr>
          <w:b/>
          <w:bCs/>
          <w:color w:val="1F3864"/>
          <w:sz w:val="22"/>
          <w:szCs w:val="22"/>
        </w:rPr>
        <w:t xml:space="preserve">Summary</w:t>
      </w:r>
    </w:p>
    <w:p>
      <w:pPr>
        <w:spacing w:after="160" w:line="300"/>
      </w:pPr>
      <w:r>
        <w:rPr>
          <w:sz w:val="22"/>
          <w:szCs w:val="22"/>
        </w:rPr>
        <w:t xml:space="preserve">A simulated credential brute-force attack was performed against the local 'vamsi' account using repeated failed authentication attempts via PowerShell (New-Object PSCredential with intentionally incorrect passwords). Windows' native account lockout policy triggered after the failure threshold was exceeded, and Wazuh correctly detected and alerted on the resulting lockout event.</w:t>
      </w:r>
    </w:p>
    <w:p>
      <w:pPr>
        <w:spacing w:after="80" w:before="120"/>
      </w:pPr>
      <w:r>
        <w:rPr>
          <w:b/>
          <w:bCs/>
          <w:color w:val="1F3864"/>
          <w:sz w:val="22"/>
          <w:szCs w:val="22"/>
        </w:rPr>
        <w:t xml:space="preserve">Technical Detail</w:t>
      </w:r>
    </w:p>
    <w:p>
      <w:pPr>
        <w:pStyle w:val="ListParagraph"/>
        <w:numPr>
          <w:ilvl w:val="0"/>
          <w:numId w:val="2"/>
        </w:numPr>
        <w:spacing w:after="80"/>
      </w:pPr>
      <w:r>
        <w:rPr>
          <w:sz w:val="22"/>
          <w:szCs w:val="22"/>
        </w:rPr>
        <w:t xml:space="preserve">Ten rapid failed authentication attempts were generated against the local 'vamsi' account.</w:t>
      </w:r>
    </w:p>
    <w:p>
      <w:pPr>
        <w:pStyle w:val="ListParagraph"/>
        <w:numPr>
          <w:ilvl w:val="0"/>
          <w:numId w:val="2"/>
        </w:numPr>
        <w:spacing w:after="80"/>
      </w:pPr>
      <w:r>
        <w:rPr>
          <w:sz w:val="22"/>
          <w:szCs w:val="22"/>
        </w:rPr>
        <w:t xml:space="preserve">Windows Security Event ID 4625 (failed logon) recorded 10 hits within a 15-minute window.</w:t>
      </w:r>
    </w:p>
    <w:p>
      <w:pPr>
        <w:pStyle w:val="ListParagraph"/>
        <w:numPr>
          <w:ilvl w:val="0"/>
          <w:numId w:val="2"/>
        </w:numPr>
        <w:spacing w:after="80"/>
      </w:pPr>
      <w:r>
        <w:rPr>
          <w:sz w:val="22"/>
          <w:szCs w:val="22"/>
        </w:rPr>
        <w:t xml:space="preserve">Windows Security Event ID 4740 (account locked out) subsequently fired once the built-in lockout threshold was reached.</w:t>
      </w:r>
    </w:p>
    <w:p>
      <w:pPr>
        <w:pStyle w:val="ListParagraph"/>
        <w:numPr>
          <w:ilvl w:val="0"/>
          <w:numId w:val="2"/>
        </w:numPr>
        <w:spacing w:after="80"/>
      </w:pPr>
      <w:r>
        <w:rPr>
          <w:sz w:val="22"/>
          <w:szCs w:val="22"/>
        </w:rPr>
        <w:t xml:space="preserve">Wazuh rule 60115 correlated the lockout event and produced a single alert mapped to two distinct MITRE techniques and two tactics simultaneously.</w:t>
      </w:r>
    </w:p>
    <w:p>
      <w:pPr>
        <w:spacing w:after="80" w:before="120"/>
      </w:pPr>
      <w:r>
        <w:rPr>
          <w:b/>
          <w:bCs/>
          <w:color w:val="1F3864"/>
          <w:sz w:val="22"/>
          <w:szCs w:val="22"/>
        </w:rPr>
        <w:t xml:space="preserve">Analyst Assessment</w:t>
      </w:r>
    </w:p>
    <w:p>
      <w:pPr>
        <w:spacing w:after="160" w:line="300"/>
      </w:pPr>
      <w:r>
        <w:rPr>
          <w:sz w:val="22"/>
          <w:szCs w:val="22"/>
        </w:rPr>
        <w:t xml:space="preserve">This alert demonstrates a complete detection chain: the attack attempt (T1110, Credential Access) and its consequence — denial of legitimate access to the account (T1531, Impact) — were both captured from a single native Windows security control (account lockout policy) with no custom rule required. This is a strong example of a well-designed default detection working exactly as intended, and shows the value of layering host-native protective controls (lockout policy) with centralized monitoring (Wazuh).</w:t>
      </w:r>
    </w:p>
    <w:p>
      <w:pPr>
        <w:spacing w:after="80" w:before="120"/>
      </w:pPr>
      <w:r>
        <w:rPr>
          <w:b/>
          <w:bCs/>
          <w:color w:val="1F3864"/>
          <w:sz w:val="22"/>
          <w:szCs w:val="22"/>
        </w:rPr>
        <w:t xml:space="preserve">Remediation / Response Action</w:t>
      </w:r>
    </w:p>
    <w:p>
      <w:pPr>
        <w:pStyle w:val="ListParagraph"/>
        <w:numPr>
          <w:ilvl w:val="0"/>
          <w:numId w:val="2"/>
        </w:numPr>
        <w:spacing w:after="80"/>
      </w:pPr>
      <w:r>
        <w:rPr>
          <w:sz w:val="22"/>
          <w:szCs w:val="22"/>
        </w:rPr>
        <w:t xml:space="preserve">Confirmed the lockout was the result of an authorized, controlled test.</w:t>
      </w:r>
    </w:p>
    <w:p>
      <w:pPr>
        <w:pStyle w:val="ListParagraph"/>
        <w:numPr>
          <w:ilvl w:val="0"/>
          <w:numId w:val="2"/>
        </w:numPr>
        <w:spacing w:after="80"/>
      </w:pPr>
      <w:r>
        <w:rPr>
          <w:sz w:val="22"/>
          <w:szCs w:val="22"/>
        </w:rPr>
        <w:t xml:space="preserve">Account unlocked (via net user / Local Users and Groups) once testing concluded.</w:t>
      </w:r>
    </w:p>
    <w:p>
      <w:pPr>
        <w:pStyle w:val="ListParagraph"/>
        <w:numPr>
          <w:ilvl w:val="0"/>
          <w:numId w:val="2"/>
        </w:numPr>
        <w:spacing w:after="80"/>
      </w:pPr>
      <w:r>
        <w:rPr>
          <w:sz w:val="22"/>
          <w:szCs w:val="22"/>
        </w:rPr>
        <w:t xml:space="preserve">In production: an unexpected lockout of this nature would trigger verification with the account owner and a check for the true source IP/host of the failed attempts before unlocking.</w:t>
      </w:r>
    </w:p>
    <w:p>
      <w:pPr>
        <w:spacing w:after="260" w:before="120"/>
      </w:pPr>
      <w:r>
        <w:rPr>
          <w:b/>
          <w:bCs/>
          <w:sz w:val="22"/>
          <w:szCs w:val="22"/>
        </w:rPr>
        <w:t xml:space="preserve">Status: </w:t>
      </w:r>
      <w:r>
        <w:rPr>
          <w:b/>
          <w:bCs/>
          <w:color w:val="375623"/>
          <w:sz w:val="22"/>
          <w:szCs w:val="22"/>
        </w:rPr>
        <w:t xml:space="preserve">Closed — Authorized Test / Detection Validated</w:t>
      </w:r>
    </w:p>
    <w:p>
      <w:pPr>
        <w:pStyle w:val="Heading2"/>
        <w:spacing w:after="120" w:before="280"/>
      </w:pPr>
      <w:r>
        <w:rPr>
          <w:b/>
          <w:bCs/>
          <w:color w:val="2E74B5"/>
          <w:sz w:val="24"/>
          <w:szCs w:val="24"/>
        </w:rPr>
        <w:t xml:space="preserve">INV-2026-0913-05 — Alert Triage — High-Volume DLL Search Order Hijacking Alerts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c>
          <w:tcPr>
            <w:tcW w:type="dxa" w:w="2600"/>
            <w:shd w:fill="F2F2F2" w:val="clear"/>
            <w:tcMar>
              <w:top w:type="dxa" w:w="80"/>
              <w:left w:type="dxa" w:w="120"/>
              <w:bottom w:type="dxa" w:w="80"/>
              <w:right w:type="dxa" w:w="120"/>
            </w:tcMar>
          </w:tcPr>
          <w:p>
            <w:r>
              <w:rPr>
                <w:b/>
                <w:bCs/>
                <w:color w:val="000000"/>
                <w:sz w:val="20"/>
                <w:szCs w:val="20"/>
              </w:rPr>
              <w:t xml:space="preserve">Ticket ID</w:t>
            </w:r>
          </w:p>
        </w:tc>
        <w:tc>
          <w:tcPr>
            <w:tcW w:type="dxa" w:w="6940"/>
            <w:tcMar>
              <w:top w:type="dxa" w:w="80"/>
              <w:left w:type="dxa" w:w="120"/>
              <w:bottom w:type="dxa" w:w="80"/>
              <w:right w:type="dxa" w:w="120"/>
            </w:tcMar>
          </w:tcPr>
          <w:p>
            <w:r>
              <w:rPr>
                <w:b w:val="false"/>
                <w:bCs w:val="false"/>
                <w:color w:val="000000"/>
                <w:sz w:val="20"/>
                <w:szCs w:val="20"/>
              </w:rPr>
              <w:t xml:space="preserve">INV-2026-0913-05</w:t>
            </w:r>
          </w:p>
        </w:tc>
      </w:tr>
      <w:tr>
        <w:tc>
          <w:tcPr>
            <w:tcW w:type="dxa" w:w="2600"/>
            <w:shd w:fill="F2F2F2" w:val="clear"/>
            <w:tcMar>
              <w:top w:type="dxa" w:w="80"/>
              <w:left w:type="dxa" w:w="120"/>
              <w:bottom w:type="dxa" w:w="80"/>
              <w:right w:type="dxa" w:w="120"/>
            </w:tcMar>
          </w:tcPr>
          <w:p>
            <w:r>
              <w:rPr>
                <w:b/>
                <w:bCs/>
                <w:color w:val="000000"/>
                <w:sz w:val="20"/>
                <w:szCs w:val="20"/>
              </w:rPr>
              <w:t xml:space="preserve">Date / Time (UTC)</w:t>
            </w:r>
          </w:p>
        </w:tc>
        <w:tc>
          <w:tcPr>
            <w:tcW w:type="dxa" w:w="6940"/>
            <w:tcMar>
              <w:top w:type="dxa" w:w="80"/>
              <w:left w:type="dxa" w:w="120"/>
              <w:bottom w:type="dxa" w:w="80"/>
              <w:right w:type="dxa" w:w="120"/>
            </w:tcMar>
          </w:tcPr>
          <w:p>
            <w:r>
              <w:rPr>
                <w:b w:val="false"/>
                <w:bCs w:val="false"/>
                <w:color w:val="000000"/>
                <w:sz w:val="20"/>
                <w:szCs w:val="20"/>
              </w:rPr>
              <w:t xml:space="preserve">2026-09-13 10:18:38 UTC (representative sample; 613 hits / 24h)</w:t>
            </w:r>
          </w:p>
        </w:tc>
      </w:tr>
      <w:tr>
        <w:tc>
          <w:tcPr>
            <w:tcW w:type="dxa" w:w="2600"/>
            <w:shd w:fill="F2F2F2" w:val="clear"/>
            <w:tcMar>
              <w:top w:type="dxa" w:w="80"/>
              <w:left w:type="dxa" w:w="120"/>
              <w:bottom w:type="dxa" w:w="80"/>
              <w:right w:type="dxa" w:w="120"/>
            </w:tcMar>
          </w:tcPr>
          <w:p>
            <w:r>
              <w:rPr>
                <w:b/>
                <w:bCs/>
                <w:color w:val="000000"/>
                <w:sz w:val="20"/>
                <w:szCs w:val="20"/>
              </w:rPr>
              <w:t xml:space="preserve">Detection Source</w:t>
            </w:r>
          </w:p>
        </w:tc>
        <w:tc>
          <w:tcPr>
            <w:tcW w:type="dxa" w:w="6940"/>
            <w:tcMar>
              <w:top w:type="dxa" w:w="80"/>
              <w:left w:type="dxa" w:w="120"/>
              <w:bottom w:type="dxa" w:w="80"/>
              <w:right w:type="dxa" w:w="120"/>
            </w:tcMar>
          </w:tcPr>
          <w:p>
            <w:r>
              <w:rPr>
                <w:b w:val="false"/>
                <w:bCs w:val="false"/>
                <w:color w:val="000000"/>
                <w:sz w:val="20"/>
                <w:szCs w:val="20"/>
              </w:rPr>
              <w:t xml:space="preserve">Sysmon Event ID 11 (File Created) — Default Wazuh Ruleset</w:t>
            </w:r>
          </w:p>
        </w:tc>
      </w:tr>
      <w:tr>
        <w:tc>
          <w:tcPr>
            <w:tcW w:type="dxa" w:w="2600"/>
            <w:shd w:fill="F2F2F2" w:val="clear"/>
            <w:tcMar>
              <w:top w:type="dxa" w:w="80"/>
              <w:left w:type="dxa" w:w="120"/>
              <w:bottom w:type="dxa" w:w="80"/>
              <w:right w:type="dxa" w:w="120"/>
            </w:tcMar>
          </w:tcPr>
          <w:p>
            <w:r>
              <w:rPr>
                <w:b/>
                <w:bCs/>
                <w:color w:val="000000"/>
                <w:sz w:val="20"/>
                <w:szCs w:val="20"/>
              </w:rPr>
              <w:t xml:space="preserve">Wazuh Rule ID</w:t>
            </w:r>
          </w:p>
        </w:tc>
        <w:tc>
          <w:tcPr>
            <w:tcW w:type="dxa" w:w="6940"/>
            <w:tcMar>
              <w:top w:type="dxa" w:w="80"/>
              <w:left w:type="dxa" w:w="120"/>
              <w:bottom w:type="dxa" w:w="80"/>
              <w:right w:type="dxa" w:w="120"/>
            </w:tcMar>
          </w:tcPr>
          <w:p>
            <w:r>
              <w:rPr>
                <w:b w:val="false"/>
                <w:bCs w:val="false"/>
                <w:color w:val="000000"/>
                <w:sz w:val="20"/>
                <w:szCs w:val="20"/>
              </w:rPr>
              <w:t xml:space="preserve">92219</w:t>
            </w:r>
          </w:p>
        </w:tc>
      </w:tr>
      <w:tr>
        <w:tc>
          <w:tcPr>
            <w:tcW w:type="dxa" w:w="2600"/>
            <w:shd w:fill="F2F2F2" w:val="clear"/>
            <w:tcMar>
              <w:top w:type="dxa" w:w="80"/>
              <w:left w:type="dxa" w:w="120"/>
              <w:bottom w:type="dxa" w:w="80"/>
              <w:right w:type="dxa" w:w="120"/>
            </w:tcMar>
          </w:tcPr>
          <w:p>
            <w:r>
              <w:rPr>
                <w:b/>
                <w:bCs/>
                <w:color w:val="000000"/>
                <w:sz w:val="20"/>
                <w:szCs w:val="20"/>
              </w:rPr>
              <w:t xml:space="preserve">Rule Description</w:t>
            </w:r>
          </w:p>
        </w:tc>
        <w:tc>
          <w:tcPr>
            <w:tcW w:type="dxa" w:w="6940"/>
            <w:tcMar>
              <w:top w:type="dxa" w:w="80"/>
              <w:left w:type="dxa" w:w="120"/>
              <w:bottom w:type="dxa" w:w="80"/>
              <w:right w:type="dxa" w:w="120"/>
            </w:tcMar>
          </w:tcPr>
          <w:p>
            <w:r>
              <w:rPr>
                <w:b w:val="false"/>
                <w:bCs w:val="false"/>
                <w:color w:val="000000"/>
                <w:sz w:val="20"/>
                <w:szCs w:val="20"/>
              </w:rPr>
              <w:t xml:space="preserve">Possible DLL search order hijack by &lt;file&gt; created in Windows root folder</w:t>
            </w:r>
          </w:p>
        </w:tc>
      </w:tr>
      <w:tr>
        <w:tc>
          <w:tcPr>
            <w:tcW w:type="dxa" w:w="2600"/>
            <w:shd w:fill="F2F2F2" w:val="clear"/>
            <w:tcMar>
              <w:top w:type="dxa" w:w="80"/>
              <w:left w:type="dxa" w:w="120"/>
              <w:bottom w:type="dxa" w:w="80"/>
              <w:right w:type="dxa" w:w="120"/>
            </w:tcMar>
          </w:tcPr>
          <w:p>
            <w:r>
              <w:rPr>
                <w:b/>
                <w:bCs/>
                <w:color w:val="000000"/>
                <w:sz w:val="20"/>
                <w:szCs w:val="20"/>
              </w:rPr>
              <w:t xml:space="preserve">Severity</w:t>
            </w:r>
          </w:p>
        </w:tc>
        <w:tc>
          <w:tcPr>
            <w:tcW w:type="dxa" w:w="6940"/>
            <w:tcMar>
              <w:top w:type="dxa" w:w="80"/>
              <w:left w:type="dxa" w:w="120"/>
              <w:bottom w:type="dxa" w:w="80"/>
              <w:right w:type="dxa" w:w="120"/>
            </w:tcMar>
          </w:tcPr>
          <w:p>
            <w:r>
              <w:rPr>
                <w:b w:val="false"/>
                <w:bCs w:val="false"/>
                <w:color w:val="000000"/>
                <w:sz w:val="20"/>
                <w:szCs w:val="20"/>
              </w:rPr>
              <w:t xml:space="preserve">Level 6 (LOW)</w:t>
            </w:r>
          </w:p>
        </w:tc>
      </w:tr>
      <w:tr>
        <w:tc>
          <w:tcPr>
            <w:tcW w:type="dxa" w:w="2600"/>
            <w:shd w:fill="F2F2F2" w:val="clear"/>
            <w:tcMar>
              <w:top w:type="dxa" w:w="80"/>
              <w:left w:type="dxa" w:w="120"/>
              <w:bottom w:type="dxa" w:w="80"/>
              <w:right w:type="dxa" w:w="120"/>
            </w:tcMar>
          </w:tcPr>
          <w:p>
            <w:r>
              <w:rPr>
                <w:b/>
                <w:bCs/>
                <w:color w:val="000000"/>
                <w:sz w:val="20"/>
                <w:szCs w:val="20"/>
              </w:rPr>
              <w:t xml:space="preserve">Affected Host</w:t>
            </w:r>
          </w:p>
        </w:tc>
        <w:tc>
          <w:tcPr>
            <w:tcW w:type="dxa" w:w="6940"/>
            <w:tcMar>
              <w:top w:type="dxa" w:w="80"/>
              <w:left w:type="dxa" w:w="120"/>
              <w:bottom w:type="dxa" w:w="80"/>
              <w:right w:type="dxa" w:w="120"/>
            </w:tcMar>
          </w:tcPr>
          <w:p>
            <w:r>
              <w:rPr>
                <w:b w:val="false"/>
                <w:bCs w:val="false"/>
                <w:color w:val="000000"/>
                <w:sz w:val="20"/>
                <w:szCs w:val="20"/>
              </w:rPr>
              <w:t xml:space="preserve">DESKTOP-P4S88B8 (192.168.0.102)</w:t>
            </w:r>
          </w:p>
        </w:tc>
      </w:tr>
      <w:tr>
        <w:tc>
          <w:tcPr>
            <w:tcW w:type="dxa" w:w="2600"/>
            <w:shd w:fill="F2F2F2" w:val="clear"/>
            <w:tcMar>
              <w:top w:type="dxa" w:w="80"/>
              <w:left w:type="dxa" w:w="120"/>
              <w:bottom w:type="dxa" w:w="80"/>
              <w:right w:type="dxa" w:w="120"/>
            </w:tcMar>
          </w:tcPr>
          <w:p>
            <w:r>
              <w:rPr>
                <w:b/>
                <w:bCs/>
                <w:color w:val="000000"/>
                <w:sz w:val="20"/>
                <w:szCs w:val="20"/>
              </w:rPr>
              <w:t xml:space="preserve">Affected User</w:t>
            </w:r>
          </w:p>
        </w:tc>
        <w:tc>
          <w:tcPr>
            <w:tcW w:type="dxa" w:w="6940"/>
            <w:tcMar>
              <w:top w:type="dxa" w:w="80"/>
              <w:left w:type="dxa" w:w="120"/>
              <w:bottom w:type="dxa" w:w="80"/>
              <w:right w:type="dxa" w:w="120"/>
            </w:tcMar>
          </w:tcPr>
          <w:p>
            <w:r>
              <w:rPr>
                <w:b w:val="false"/>
                <w:bCs w:val="false"/>
                <w:color w:val="000000"/>
                <w:sz w:val="20"/>
                <w:szCs w:val="20"/>
              </w:rPr>
              <w:t xml:space="preserve">NT AUTHORITY\SYSTEM</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Technique(s)</w:t>
            </w:r>
          </w:p>
        </w:tc>
        <w:tc>
          <w:tcPr>
            <w:tcW w:type="dxa" w:w="6940"/>
            <w:tcMar>
              <w:top w:type="dxa" w:w="80"/>
              <w:left w:type="dxa" w:w="120"/>
              <w:bottom w:type="dxa" w:w="80"/>
              <w:right w:type="dxa" w:w="120"/>
            </w:tcMar>
          </w:tcPr>
          <w:p>
            <w:r>
              <w:rPr>
                <w:b w:val="false"/>
                <w:bCs w:val="false"/>
                <w:color w:val="000000"/>
                <w:sz w:val="20"/>
                <w:szCs w:val="20"/>
              </w:rPr>
              <w:t xml:space="preserve">T1574.001 — DLL Search Order Hijacking; T1574.002 — DLL Side-Loading</w:t>
            </w:r>
          </w:p>
        </w:tc>
      </w:tr>
      <w:tr>
        <w:tc>
          <w:tcPr>
            <w:tcW w:type="dxa" w:w="2600"/>
            <w:shd w:fill="F2F2F2" w:val="clear"/>
            <w:tcMar>
              <w:top w:type="dxa" w:w="80"/>
              <w:left w:type="dxa" w:w="120"/>
              <w:bottom w:type="dxa" w:w="80"/>
              <w:right w:type="dxa" w:w="120"/>
            </w:tcMar>
          </w:tcPr>
          <w:p>
            <w:r>
              <w:rPr>
                <w:b/>
                <w:bCs/>
                <w:color w:val="000000"/>
                <w:sz w:val="20"/>
                <w:szCs w:val="20"/>
              </w:rPr>
              <w:t xml:space="preserve">MITRE ATT&amp;CK Tactic(s)</w:t>
            </w:r>
          </w:p>
        </w:tc>
        <w:tc>
          <w:tcPr>
            <w:tcW w:type="dxa" w:w="6940"/>
            <w:tcMar>
              <w:top w:type="dxa" w:w="80"/>
              <w:left w:type="dxa" w:w="120"/>
              <w:bottom w:type="dxa" w:w="80"/>
              <w:right w:type="dxa" w:w="120"/>
            </w:tcMar>
          </w:tcPr>
          <w:p>
            <w:r>
              <w:rPr>
                <w:b w:val="false"/>
                <w:bCs w:val="false"/>
                <w:color w:val="000000"/>
                <w:sz w:val="20"/>
                <w:szCs w:val="20"/>
              </w:rPr>
              <w:t xml:space="preserve">Persistence; Privilege Escalation; Defense Evasion</w:t>
            </w:r>
          </w:p>
        </w:tc>
      </w:tr>
      <w:tr>
        <w:tc>
          <w:tcPr>
            <w:tcW w:type="dxa" w:w="2600"/>
            <w:shd w:fill="F2F2F2" w:val="clear"/>
            <w:tcMar>
              <w:top w:type="dxa" w:w="80"/>
              <w:left w:type="dxa" w:w="120"/>
              <w:bottom w:type="dxa" w:w="80"/>
              <w:right w:type="dxa" w:w="120"/>
            </w:tcMar>
          </w:tcPr>
          <w:p>
            <w:r>
              <w:rPr>
                <w:b/>
                <w:bCs/>
                <w:color w:val="000000"/>
                <w:sz w:val="20"/>
                <w:szCs w:val="20"/>
              </w:rPr>
              <w:t xml:space="preserve">Compliance Frameworks</w:t>
            </w:r>
          </w:p>
        </w:tc>
        <w:tc>
          <w:tcPr>
            <w:tcW w:type="dxa" w:w="6940"/>
            <w:tcMar>
              <w:top w:type="dxa" w:w="80"/>
              <w:left w:type="dxa" w:w="120"/>
              <w:bottom w:type="dxa" w:w="80"/>
              <w:right w:type="dxa" w:w="120"/>
            </w:tcMar>
          </w:tcPr>
          <w:p>
            <w:r>
              <w:rPr>
                <w:b w:val="false"/>
                <w:bCs w:val="false"/>
                <w:color w:val="000000"/>
                <w:sz w:val="20"/>
                <w:szCs w:val="20"/>
              </w:rPr>
              <w:t xml:space="preserve">N/A (default heuristic rule)</w:t>
            </w:r>
          </w:p>
        </w:tc>
      </w:tr>
    </w:tbl>
    <w:p>
      <w:pPr>
        <w:spacing w:after="80" w:before="200"/>
      </w:pPr>
      <w:r>
        <w:rPr>
          <w:b/>
          <w:bCs/>
          <w:color w:val="1F3864"/>
          <w:sz w:val="22"/>
          <w:szCs w:val="22"/>
        </w:rPr>
        <w:t xml:space="preserve">Summary</w:t>
      </w:r>
    </w:p>
    <w:p>
      <w:pPr>
        <w:spacing w:after="160" w:line="300"/>
      </w:pPr>
      <w:r>
        <w:rPr>
          <w:sz w:val="22"/>
          <w:szCs w:val="22"/>
        </w:rPr>
        <w:t xml:space="preserve">During the Step 8 MITRE ATT&amp;CK coverage review, the dashboard surfaced 613 alerts over a 24-hour period for DLL Search Order Hijacking / DLL Side-Loading — a volume and technique combination that was not part of any planned test. This triggered a manual triage to determine whether the alerts represented genuine malicious activity or default-ruleset noise.</w:t>
      </w:r>
    </w:p>
    <w:p>
      <w:pPr>
        <w:spacing w:after="80" w:before="120"/>
      </w:pPr>
      <w:r>
        <w:rPr>
          <w:b/>
          <w:bCs/>
          <w:color w:val="1F3864"/>
          <w:sz w:val="22"/>
          <w:szCs w:val="22"/>
        </w:rPr>
        <w:t xml:space="preserve">Technical Detail</w:t>
      </w:r>
    </w:p>
    <w:p>
      <w:pPr>
        <w:pStyle w:val="ListParagraph"/>
        <w:numPr>
          <w:ilvl w:val="0"/>
          <w:numId w:val="2"/>
        </w:numPr>
        <w:spacing w:after="80"/>
      </w:pPr>
      <w:r>
        <w:rPr>
          <w:sz w:val="22"/>
          <w:szCs w:val="22"/>
        </w:rPr>
        <w:t xml:space="preserve">Representative alert: process C:\Windows\system32\svchost.exe created file fvereseal.dll inside C:\Windows\SoftwareDistribution\Download\&lt;GUID&gt;\Metadata\.</w:t>
      </w:r>
    </w:p>
    <w:p>
      <w:pPr>
        <w:pStyle w:val="ListParagraph"/>
        <w:numPr>
          <w:ilvl w:val="0"/>
          <w:numId w:val="2"/>
        </w:numPr>
        <w:spacing w:after="80"/>
      </w:pPr>
      <w:r>
        <w:rPr>
          <w:sz w:val="22"/>
          <w:szCs w:val="22"/>
        </w:rPr>
        <w:t xml:space="preserve">Executing user context: NT AUTHORITY\SYSTEM (highest-privilege built-in account, not attacker-controlled).</w:t>
      </w:r>
    </w:p>
    <w:p>
      <w:pPr>
        <w:pStyle w:val="ListParagraph"/>
        <w:numPr>
          <w:ilvl w:val="0"/>
          <w:numId w:val="2"/>
        </w:numPr>
        <w:spacing w:after="80"/>
      </w:pPr>
      <w:r>
        <w:rPr>
          <w:sz w:val="22"/>
          <w:szCs w:val="22"/>
        </w:rPr>
        <w:t xml:space="preserve">The SoftwareDistribution\Download directory is Windows Update's own staging location for update payloads.</w:t>
      </w:r>
    </w:p>
    <w:p>
      <w:pPr>
        <w:pStyle w:val="ListParagraph"/>
        <w:numPr>
          <w:ilvl w:val="0"/>
          <w:numId w:val="2"/>
        </w:numPr>
        <w:spacing w:after="80"/>
      </w:pPr>
      <w:r>
        <w:rPr>
          <w:sz w:val="22"/>
          <w:szCs w:val="22"/>
        </w:rPr>
        <w:t xml:space="preserve">svchost.exe is a core, expected host for the Windows Update service.</w:t>
      </w:r>
    </w:p>
    <w:p>
      <w:pPr>
        <w:pStyle w:val="ListParagraph"/>
        <w:numPr>
          <w:ilvl w:val="0"/>
          <w:numId w:val="2"/>
        </w:numPr>
        <w:spacing w:after="80"/>
      </w:pPr>
      <w:r>
        <w:rPr>
          <w:sz w:val="22"/>
          <w:szCs w:val="22"/>
        </w:rPr>
        <w:t xml:space="preserve">Rule 92219 is a broad heuristic that flags any DLL creation under the Windows root folder as a 'possible' hijack, deliberately erring toward over-detection.</w:t>
      </w:r>
    </w:p>
    <w:p>
      <w:pPr>
        <w:spacing w:after="80" w:before="120"/>
      </w:pPr>
      <w:r>
        <w:rPr>
          <w:b/>
          <w:bCs/>
          <w:color w:val="1F3864"/>
          <w:sz w:val="22"/>
          <w:szCs w:val="22"/>
        </w:rPr>
        <w:t xml:space="preserve">Analyst Assessment</w:t>
      </w:r>
    </w:p>
    <w:p>
      <w:pPr>
        <w:spacing w:after="160" w:line="300"/>
      </w:pPr>
      <w:r>
        <w:rPr>
          <w:sz w:val="22"/>
          <w:szCs w:val="22"/>
        </w:rPr>
        <w:t xml:space="preserve">Investigation determined this alert cluster is a false positive caused by normal Windows Update activity, not attacker behavior. The process (svchost.exe), path (Windows Update's own staging folder), and user context (SYSTEM) are all consistent with routine OS update processing, not code injection or persistence establishment. The rule's own wording ('Possible DLL search order hijack') correctly signals this is a heuristic requiring human review, not a confirmed finding.</w:t>
      </w:r>
    </w:p>
    <w:p>
      <w:pPr>
        <w:spacing w:after="80" w:before="120"/>
      </w:pPr>
      <w:r>
        <w:rPr>
          <w:b/>
          <w:bCs/>
          <w:color w:val="1F3864"/>
          <w:sz w:val="22"/>
          <w:szCs w:val="22"/>
        </w:rPr>
        <w:t xml:space="preserve">Remediation / Response Action</w:t>
      </w:r>
    </w:p>
    <w:p>
      <w:pPr>
        <w:pStyle w:val="ListParagraph"/>
        <w:numPr>
          <w:ilvl w:val="0"/>
          <w:numId w:val="2"/>
        </w:numPr>
        <w:spacing w:after="80"/>
      </w:pPr>
      <w:r>
        <w:rPr>
          <w:sz w:val="22"/>
          <w:szCs w:val="22"/>
        </w:rPr>
        <w:t xml:space="preserve">Sampled and reviewed a representative alert; confirmed benign Windows Update behavior.</w:t>
      </w:r>
    </w:p>
    <w:p>
      <w:pPr>
        <w:pStyle w:val="ListParagraph"/>
        <w:numPr>
          <w:ilvl w:val="0"/>
          <w:numId w:val="2"/>
        </w:numPr>
        <w:spacing w:after="80"/>
      </w:pPr>
      <w:r>
        <w:rPr>
          <w:sz w:val="22"/>
          <w:szCs w:val="22"/>
        </w:rPr>
        <w:t xml:space="preserve">No containment or remediation action required.</w:t>
      </w:r>
    </w:p>
    <w:p>
      <w:pPr>
        <w:pStyle w:val="ListParagraph"/>
        <w:numPr>
          <w:ilvl w:val="0"/>
          <w:numId w:val="2"/>
        </w:numPr>
        <w:spacing w:after="80"/>
      </w:pPr>
      <w:r>
        <w:rPr>
          <w:sz w:val="22"/>
          <w:szCs w:val="22"/>
        </w:rPr>
        <w:t xml:space="preserve">Documented this pattern so future occurrences can be triaged quickly rather than treated as novel findings; a tuning exception for svchost.exe writes within SoftwareDistribution\Download could be considered to reduce alert volume in a production deployment.</w:t>
      </w:r>
    </w:p>
    <w:p>
      <w:pPr>
        <w:spacing w:after="260" w:before="120"/>
      </w:pPr>
      <w:r>
        <w:rPr>
          <w:b/>
          <w:bCs/>
          <w:sz w:val="22"/>
          <w:szCs w:val="22"/>
        </w:rPr>
        <w:t xml:space="preserve">Status: </w:t>
      </w:r>
      <w:r>
        <w:rPr>
          <w:b/>
          <w:bCs/>
          <w:color w:val="375623"/>
          <w:sz w:val="22"/>
          <w:szCs w:val="22"/>
        </w:rPr>
        <w:t xml:space="preserve">Closed — False Positive (Benign, High-Confidence)</w:t>
      </w:r>
    </w:p>
    <w:p>
      <w:r>
        <w:br w:type="page"/>
      </w:r>
    </w:p>
    <w:p>
      <w:pPr>
        <w:pStyle w:val="Heading1"/>
        <w:pBdr>
          <w:bottom w:val="single" w:color="1F3864" w:sz="8" w:space="4"/>
        </w:pBdr>
        <w:spacing w:after="160" w:before="360"/>
      </w:pPr>
      <w:r>
        <w:rPr>
          <w:b/>
          <w:bCs/>
          <w:color w:val="1F3864"/>
          <w:sz w:val="30"/>
          <w:szCs w:val="30"/>
        </w:rPr>
        <w:t xml:space="preserve">4. MITRE ATT&amp;CK Coverage Summary</w:t>
      </w:r>
    </w:p>
    <w:p>
      <w:pPr>
        <w:spacing w:after="160" w:line="300"/>
      </w:pPr>
      <w:r>
        <w:rPr>
          <w:sz w:val="22"/>
          <w:szCs w:val="22"/>
        </w:rPr>
        <w:t xml:space="preserve">The table below consolidates every MITRE ATT&amp;CK technique observed during this engagement, its associated tactic(s), the incident ticket that documents it, and its final disposition.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00"/>
        <w:gridCol w:w="1600"/>
        <w:gridCol w:w="1440"/>
      </w:tblGrid>
      <w:tr>
        <w:trPr>
          <w:tblHeader/>
        </w:trPr>
        <w:tc>
          <w:tcPr>
            <w:tcW w:type="dxa" w:w="1400"/>
            <w:shd w:fill="1F3864" w:val="clear"/>
            <w:tcMar>
              <w:top w:type="dxa" w:w="80"/>
              <w:left w:type="dxa" w:w="120"/>
              <w:bottom w:type="dxa" w:w="80"/>
              <w:right w:type="dxa" w:w="120"/>
            </w:tcMar>
          </w:tcPr>
          <w:p>
            <w:r>
              <w:rPr>
                <w:b/>
                <w:bCs/>
                <w:color w:val="FFFFFF"/>
                <w:sz w:val="20"/>
                <w:szCs w:val="20"/>
              </w:rPr>
              <w:t xml:space="preserve">Technique ID</w:t>
            </w:r>
          </w:p>
        </w:tc>
        <w:tc>
          <w:tcPr>
            <w:tcW w:type="dxa" w:w="2500"/>
            <w:shd w:fill="1F3864" w:val="clear"/>
            <w:tcMar>
              <w:top w:type="dxa" w:w="80"/>
              <w:left w:type="dxa" w:w="120"/>
              <w:bottom w:type="dxa" w:w="80"/>
              <w:right w:type="dxa" w:w="120"/>
            </w:tcMar>
          </w:tcPr>
          <w:p>
            <w:r>
              <w:rPr>
                <w:b/>
                <w:bCs/>
                <w:color w:val="FFFFFF"/>
                <w:sz w:val="20"/>
                <w:szCs w:val="20"/>
              </w:rPr>
              <w:t xml:space="preserve">Technique Name</w:t>
            </w:r>
          </w:p>
        </w:tc>
        <w:tc>
          <w:tcPr>
            <w:tcW w:type="dxa" w:w="2600"/>
            <w:shd w:fill="1F3864" w:val="clear"/>
            <w:tcMar>
              <w:top w:type="dxa" w:w="80"/>
              <w:left w:type="dxa" w:w="120"/>
              <w:bottom w:type="dxa" w:w="80"/>
              <w:right w:type="dxa" w:w="120"/>
            </w:tcMar>
          </w:tcPr>
          <w:p>
            <w:r>
              <w:rPr>
                <w:b/>
                <w:bCs/>
                <w:color w:val="FFFFFF"/>
                <w:sz w:val="20"/>
                <w:szCs w:val="20"/>
              </w:rPr>
              <w:t xml:space="preserve">Tactic</w:t>
            </w:r>
          </w:p>
        </w:tc>
        <w:tc>
          <w:tcPr>
            <w:tcW w:type="dxa" w:w="1600"/>
            <w:shd w:fill="1F3864" w:val="clear"/>
            <w:tcMar>
              <w:top w:type="dxa" w:w="80"/>
              <w:left w:type="dxa" w:w="120"/>
              <w:bottom w:type="dxa" w:w="80"/>
              <w:right w:type="dxa" w:w="120"/>
            </w:tcMar>
          </w:tcPr>
          <w:p>
            <w:r>
              <w:rPr>
                <w:b/>
                <w:bCs/>
                <w:color w:val="FFFFFF"/>
                <w:sz w:val="20"/>
                <w:szCs w:val="20"/>
              </w:rPr>
              <w:t xml:space="preserve">Source</w:t>
            </w:r>
          </w:p>
        </w:tc>
        <w:tc>
          <w:tcPr>
            <w:tcW w:type="dxa" w:w="1440"/>
            <w:shd w:fill="1F3864" w:val="clear"/>
            <w:tcMar>
              <w:top w:type="dxa" w:w="80"/>
              <w:left w:type="dxa" w:w="120"/>
              <w:bottom w:type="dxa" w:w="80"/>
              <w:right w:type="dxa" w:w="120"/>
            </w:tcMar>
          </w:tcPr>
          <w:p>
            <w:r>
              <w:rPr>
                <w:b/>
                <w:bCs/>
                <w:color w:val="FFFFFF"/>
                <w:sz w:val="20"/>
                <w:szCs w:val="20"/>
              </w:rPr>
              <w:t xml:space="preserve">Disposition</w:t>
            </w:r>
          </w:p>
        </w:tc>
      </w:tr>
      <w:tr>
        <w:trPr>
          <w:tblHeader w:val="false"/>
        </w:trPr>
        <w:tc>
          <w:tcPr>
            <w:tcW w:type="dxa" w:w="1400"/>
            <w:tcMar>
              <w:top w:type="dxa" w:w="80"/>
              <w:left w:type="dxa" w:w="120"/>
              <w:bottom w:type="dxa" w:w="80"/>
              <w:right w:type="dxa" w:w="120"/>
            </w:tcMar>
          </w:tcPr>
          <w:p>
            <w:r>
              <w:rPr>
                <w:b w:val="false"/>
                <w:bCs w:val="false"/>
                <w:color w:val="000000"/>
                <w:sz w:val="20"/>
                <w:szCs w:val="20"/>
              </w:rPr>
              <w:t xml:space="preserve">T1105</w:t>
            </w:r>
          </w:p>
        </w:tc>
        <w:tc>
          <w:tcPr>
            <w:tcW w:type="dxa" w:w="2500"/>
            <w:tcMar>
              <w:top w:type="dxa" w:w="80"/>
              <w:left w:type="dxa" w:w="120"/>
              <w:bottom w:type="dxa" w:w="80"/>
              <w:right w:type="dxa" w:w="120"/>
            </w:tcMar>
          </w:tcPr>
          <w:p>
            <w:r>
              <w:rPr>
                <w:b w:val="false"/>
                <w:bCs w:val="false"/>
                <w:color w:val="000000"/>
                <w:sz w:val="20"/>
                <w:szCs w:val="20"/>
              </w:rPr>
              <w:t xml:space="preserve">Ingress Tool Transfer</w:t>
            </w:r>
          </w:p>
        </w:tc>
        <w:tc>
          <w:tcPr>
            <w:tcW w:type="dxa" w:w="2600"/>
            <w:tcMar>
              <w:top w:type="dxa" w:w="80"/>
              <w:left w:type="dxa" w:w="120"/>
              <w:bottom w:type="dxa" w:w="80"/>
              <w:right w:type="dxa" w:w="120"/>
            </w:tcMar>
          </w:tcPr>
          <w:p>
            <w:r>
              <w:rPr>
                <w:b w:val="false"/>
                <w:bCs w:val="false"/>
                <w:color w:val="000000"/>
                <w:sz w:val="20"/>
                <w:szCs w:val="20"/>
              </w:rPr>
              <w:t xml:space="preserve">Command and Control</w:t>
            </w:r>
          </w:p>
        </w:tc>
        <w:tc>
          <w:tcPr>
            <w:tcW w:type="dxa" w:w="1600"/>
            <w:tcMar>
              <w:top w:type="dxa" w:w="80"/>
              <w:left w:type="dxa" w:w="120"/>
              <w:bottom w:type="dxa" w:w="80"/>
              <w:right w:type="dxa" w:w="120"/>
            </w:tcMar>
          </w:tcPr>
          <w:p>
            <w:r>
              <w:rPr>
                <w:b w:val="false"/>
                <w:bCs w:val="false"/>
                <w:color w:val="000000"/>
                <w:sz w:val="20"/>
                <w:szCs w:val="20"/>
              </w:rPr>
              <w:t xml:space="preserve">INC-2026-0912-01</w:t>
            </w:r>
          </w:p>
        </w:tc>
        <w:tc>
          <w:tcPr>
            <w:tcW w:type="dxa" w:w="1440"/>
            <w:tcMar>
              <w:top w:type="dxa" w:w="80"/>
              <w:left w:type="dxa" w:w="120"/>
              <w:bottom w:type="dxa" w:w="80"/>
              <w:right w:type="dxa" w:w="120"/>
            </w:tcMar>
          </w:tcPr>
          <w:p>
            <w:r>
              <w:rPr>
                <w:b w:val="false"/>
                <w:bCs w:val="false"/>
                <w:color w:val="000000"/>
                <w:sz w:val="20"/>
                <w:szCs w:val="20"/>
              </w:rPr>
              <w:t xml:space="preserve">False Positive</w:t>
            </w:r>
          </w:p>
        </w:tc>
      </w:tr>
      <w:tr>
        <w:trPr>
          <w:tblHeader w:val="false"/>
        </w:trPr>
        <w:tc>
          <w:tcPr>
            <w:tcW w:type="dxa" w:w="1400"/>
            <w:shd w:fill="F2F2F2" w:val="clear"/>
            <w:tcMar>
              <w:top w:type="dxa" w:w="80"/>
              <w:left w:type="dxa" w:w="120"/>
              <w:bottom w:type="dxa" w:w="80"/>
              <w:right w:type="dxa" w:w="120"/>
            </w:tcMar>
          </w:tcPr>
          <w:p>
            <w:r>
              <w:rPr>
                <w:b w:val="false"/>
                <w:bCs w:val="false"/>
                <w:color w:val="000000"/>
                <w:sz w:val="20"/>
                <w:szCs w:val="20"/>
              </w:rPr>
              <w:t xml:space="preserve">T1059.001</w:t>
            </w:r>
          </w:p>
        </w:tc>
        <w:tc>
          <w:tcPr>
            <w:tcW w:type="dxa" w:w="2500"/>
            <w:shd w:fill="F2F2F2" w:val="clear"/>
            <w:tcMar>
              <w:top w:type="dxa" w:w="80"/>
              <w:left w:type="dxa" w:w="120"/>
              <w:bottom w:type="dxa" w:w="80"/>
              <w:right w:type="dxa" w:w="120"/>
            </w:tcMar>
          </w:tcPr>
          <w:p>
            <w:r>
              <w:rPr>
                <w:b w:val="false"/>
                <w:bCs w:val="false"/>
                <w:color w:val="000000"/>
                <w:sz w:val="20"/>
                <w:szCs w:val="20"/>
              </w:rPr>
              <w:t xml:space="preserve">PowerShell</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Execution</w:t>
            </w:r>
          </w:p>
        </w:tc>
        <w:tc>
          <w:tcPr>
            <w:tcW w:type="dxa" w:w="1600"/>
            <w:shd w:fill="F2F2F2" w:val="clear"/>
            <w:tcMar>
              <w:top w:type="dxa" w:w="80"/>
              <w:left w:type="dxa" w:w="120"/>
              <w:bottom w:type="dxa" w:w="80"/>
              <w:right w:type="dxa" w:w="120"/>
            </w:tcMar>
          </w:tcPr>
          <w:p>
            <w:r>
              <w:rPr>
                <w:b w:val="false"/>
                <w:bCs w:val="false"/>
                <w:color w:val="000000"/>
                <w:sz w:val="20"/>
                <w:szCs w:val="20"/>
              </w:rPr>
              <w:t xml:space="preserve">INC-2026-0913-02</w:t>
            </w:r>
          </w:p>
        </w:tc>
        <w:tc>
          <w:tcPr>
            <w:tcW w:type="dxa" w:w="1440"/>
            <w:shd w:fill="F2F2F2" w:val="clear"/>
            <w:tcMar>
              <w:top w:type="dxa" w:w="80"/>
              <w:left w:type="dxa" w:w="120"/>
              <w:bottom w:type="dxa" w:w="80"/>
              <w:right w:type="dxa" w:w="120"/>
            </w:tcMar>
          </w:tcPr>
          <w:p>
            <w:r>
              <w:rPr>
                <w:b w:val="false"/>
                <w:bCs w:val="false"/>
                <w:color w:val="000000"/>
                <w:sz w:val="20"/>
                <w:szCs w:val="20"/>
              </w:rPr>
              <w:t xml:space="preserve">Detection Validated</w:t>
            </w:r>
          </w:p>
        </w:tc>
      </w:tr>
      <w:tr>
        <w:trPr>
          <w:tblHeader w:val="false"/>
        </w:trPr>
        <w:tc>
          <w:tcPr>
            <w:tcW w:type="dxa" w:w="1400"/>
            <w:tcMar>
              <w:top w:type="dxa" w:w="80"/>
              <w:left w:type="dxa" w:w="120"/>
              <w:bottom w:type="dxa" w:w="80"/>
              <w:right w:type="dxa" w:w="120"/>
            </w:tcMar>
          </w:tcPr>
          <w:p>
            <w:r>
              <w:rPr>
                <w:b w:val="false"/>
                <w:bCs w:val="false"/>
                <w:color w:val="000000"/>
                <w:sz w:val="20"/>
                <w:szCs w:val="20"/>
              </w:rPr>
              <w:t xml:space="preserve">T1565.001</w:t>
            </w:r>
          </w:p>
        </w:tc>
        <w:tc>
          <w:tcPr>
            <w:tcW w:type="dxa" w:w="2500"/>
            <w:tcMar>
              <w:top w:type="dxa" w:w="80"/>
              <w:left w:type="dxa" w:w="120"/>
              <w:bottom w:type="dxa" w:w="80"/>
              <w:right w:type="dxa" w:w="120"/>
            </w:tcMar>
          </w:tcPr>
          <w:p>
            <w:r>
              <w:rPr>
                <w:b w:val="false"/>
                <w:bCs w:val="false"/>
                <w:color w:val="000000"/>
                <w:sz w:val="20"/>
                <w:szCs w:val="20"/>
              </w:rPr>
              <w:t xml:space="preserve">Stored Data Manipulation</w:t>
            </w:r>
          </w:p>
        </w:tc>
        <w:tc>
          <w:tcPr>
            <w:tcW w:type="dxa" w:w="2600"/>
            <w:tcMar>
              <w:top w:type="dxa" w:w="80"/>
              <w:left w:type="dxa" w:w="120"/>
              <w:bottom w:type="dxa" w:w="80"/>
              <w:right w:type="dxa" w:w="120"/>
            </w:tcMar>
          </w:tcPr>
          <w:p>
            <w:r>
              <w:rPr>
                <w:b w:val="false"/>
                <w:bCs w:val="false"/>
                <w:color w:val="000000"/>
                <w:sz w:val="20"/>
                <w:szCs w:val="20"/>
              </w:rPr>
              <w:t xml:space="preserve">Impact</w:t>
            </w:r>
          </w:p>
        </w:tc>
        <w:tc>
          <w:tcPr>
            <w:tcW w:type="dxa" w:w="1600"/>
            <w:tcMar>
              <w:top w:type="dxa" w:w="80"/>
              <w:left w:type="dxa" w:w="120"/>
              <w:bottom w:type="dxa" w:w="80"/>
              <w:right w:type="dxa" w:w="120"/>
            </w:tcMar>
          </w:tcPr>
          <w:p>
            <w:r>
              <w:rPr>
                <w:b w:val="false"/>
                <w:bCs w:val="false"/>
                <w:color w:val="000000"/>
                <w:sz w:val="20"/>
                <w:szCs w:val="20"/>
              </w:rPr>
              <w:t xml:space="preserve">INC-2026-0912-03</w:t>
            </w:r>
          </w:p>
        </w:tc>
        <w:tc>
          <w:tcPr>
            <w:tcW w:type="dxa" w:w="1440"/>
            <w:tcMar>
              <w:top w:type="dxa" w:w="80"/>
              <w:left w:type="dxa" w:w="120"/>
              <w:bottom w:type="dxa" w:w="80"/>
              <w:right w:type="dxa" w:w="120"/>
            </w:tcMar>
          </w:tcPr>
          <w:p>
            <w:r>
              <w:rPr>
                <w:b w:val="false"/>
                <w:bCs w:val="false"/>
                <w:color w:val="000000"/>
                <w:sz w:val="20"/>
                <w:szCs w:val="20"/>
              </w:rPr>
              <w:t xml:space="preserve">Detection Validated</w:t>
            </w:r>
          </w:p>
        </w:tc>
      </w:tr>
      <w:tr>
        <w:trPr>
          <w:tblHeader w:val="false"/>
        </w:trPr>
        <w:tc>
          <w:tcPr>
            <w:tcW w:type="dxa" w:w="1400"/>
            <w:shd w:fill="F2F2F2" w:val="clear"/>
            <w:tcMar>
              <w:top w:type="dxa" w:w="80"/>
              <w:left w:type="dxa" w:w="120"/>
              <w:bottom w:type="dxa" w:w="80"/>
              <w:right w:type="dxa" w:w="120"/>
            </w:tcMar>
          </w:tcPr>
          <w:p>
            <w:r>
              <w:rPr>
                <w:b w:val="false"/>
                <w:bCs w:val="false"/>
                <w:color w:val="000000"/>
                <w:sz w:val="20"/>
                <w:szCs w:val="20"/>
              </w:rPr>
              <w:t xml:space="preserve">T1110</w:t>
            </w:r>
          </w:p>
        </w:tc>
        <w:tc>
          <w:tcPr>
            <w:tcW w:type="dxa" w:w="2500"/>
            <w:shd w:fill="F2F2F2" w:val="clear"/>
            <w:tcMar>
              <w:top w:type="dxa" w:w="80"/>
              <w:left w:type="dxa" w:w="120"/>
              <w:bottom w:type="dxa" w:w="80"/>
              <w:right w:type="dxa" w:w="120"/>
            </w:tcMar>
          </w:tcPr>
          <w:p>
            <w:r>
              <w:rPr>
                <w:b w:val="false"/>
                <w:bCs w:val="false"/>
                <w:color w:val="000000"/>
                <w:sz w:val="20"/>
                <w:szCs w:val="20"/>
              </w:rPr>
              <w:t xml:space="preserve">Brute Force</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Credential Access</w:t>
            </w:r>
          </w:p>
        </w:tc>
        <w:tc>
          <w:tcPr>
            <w:tcW w:type="dxa" w:w="1600"/>
            <w:shd w:fill="F2F2F2" w:val="clear"/>
            <w:tcMar>
              <w:top w:type="dxa" w:w="80"/>
              <w:left w:type="dxa" w:w="120"/>
              <w:bottom w:type="dxa" w:w="80"/>
              <w:right w:type="dxa" w:w="120"/>
            </w:tcMar>
          </w:tcPr>
          <w:p>
            <w:r>
              <w:rPr>
                <w:b w:val="false"/>
                <w:bCs w:val="false"/>
                <w:color w:val="000000"/>
                <w:sz w:val="20"/>
                <w:szCs w:val="20"/>
              </w:rPr>
              <w:t xml:space="preserve">INC-2026-0913-04</w:t>
            </w:r>
          </w:p>
        </w:tc>
        <w:tc>
          <w:tcPr>
            <w:tcW w:type="dxa" w:w="1440"/>
            <w:shd w:fill="F2F2F2" w:val="clear"/>
            <w:tcMar>
              <w:top w:type="dxa" w:w="80"/>
              <w:left w:type="dxa" w:w="120"/>
              <w:bottom w:type="dxa" w:w="80"/>
              <w:right w:type="dxa" w:w="120"/>
            </w:tcMar>
          </w:tcPr>
          <w:p>
            <w:r>
              <w:rPr>
                <w:b w:val="false"/>
                <w:bCs w:val="false"/>
                <w:color w:val="000000"/>
                <w:sz w:val="20"/>
                <w:szCs w:val="20"/>
              </w:rPr>
              <w:t xml:space="preserve">Detection Validated</w:t>
            </w:r>
          </w:p>
        </w:tc>
      </w:tr>
      <w:tr>
        <w:trPr>
          <w:tblHeader w:val="false"/>
        </w:trPr>
        <w:tc>
          <w:tcPr>
            <w:tcW w:type="dxa" w:w="1400"/>
            <w:tcMar>
              <w:top w:type="dxa" w:w="80"/>
              <w:left w:type="dxa" w:w="120"/>
              <w:bottom w:type="dxa" w:w="80"/>
              <w:right w:type="dxa" w:w="120"/>
            </w:tcMar>
          </w:tcPr>
          <w:p>
            <w:r>
              <w:rPr>
                <w:b w:val="false"/>
                <w:bCs w:val="false"/>
                <w:color w:val="000000"/>
                <w:sz w:val="20"/>
                <w:szCs w:val="20"/>
              </w:rPr>
              <w:t xml:space="preserve">T1531</w:t>
            </w:r>
          </w:p>
        </w:tc>
        <w:tc>
          <w:tcPr>
            <w:tcW w:type="dxa" w:w="2500"/>
            <w:tcMar>
              <w:top w:type="dxa" w:w="80"/>
              <w:left w:type="dxa" w:w="120"/>
              <w:bottom w:type="dxa" w:w="80"/>
              <w:right w:type="dxa" w:w="120"/>
            </w:tcMar>
          </w:tcPr>
          <w:p>
            <w:r>
              <w:rPr>
                <w:b w:val="false"/>
                <w:bCs w:val="false"/>
                <w:color w:val="000000"/>
                <w:sz w:val="20"/>
                <w:szCs w:val="20"/>
              </w:rPr>
              <w:t xml:space="preserve">Account Access Removal</w:t>
            </w:r>
          </w:p>
        </w:tc>
        <w:tc>
          <w:tcPr>
            <w:tcW w:type="dxa" w:w="2600"/>
            <w:tcMar>
              <w:top w:type="dxa" w:w="80"/>
              <w:left w:type="dxa" w:w="120"/>
              <w:bottom w:type="dxa" w:w="80"/>
              <w:right w:type="dxa" w:w="120"/>
            </w:tcMar>
          </w:tcPr>
          <w:p>
            <w:r>
              <w:rPr>
                <w:b w:val="false"/>
                <w:bCs w:val="false"/>
                <w:color w:val="000000"/>
                <w:sz w:val="20"/>
                <w:szCs w:val="20"/>
              </w:rPr>
              <w:t xml:space="preserve">Impact</w:t>
            </w:r>
          </w:p>
        </w:tc>
        <w:tc>
          <w:tcPr>
            <w:tcW w:type="dxa" w:w="1600"/>
            <w:tcMar>
              <w:top w:type="dxa" w:w="80"/>
              <w:left w:type="dxa" w:w="120"/>
              <w:bottom w:type="dxa" w:w="80"/>
              <w:right w:type="dxa" w:w="120"/>
            </w:tcMar>
          </w:tcPr>
          <w:p>
            <w:r>
              <w:rPr>
                <w:b w:val="false"/>
                <w:bCs w:val="false"/>
                <w:color w:val="000000"/>
                <w:sz w:val="20"/>
                <w:szCs w:val="20"/>
              </w:rPr>
              <w:t xml:space="preserve">INC-2026-0913-04</w:t>
            </w:r>
          </w:p>
        </w:tc>
        <w:tc>
          <w:tcPr>
            <w:tcW w:type="dxa" w:w="1440"/>
            <w:tcMar>
              <w:top w:type="dxa" w:w="80"/>
              <w:left w:type="dxa" w:w="120"/>
              <w:bottom w:type="dxa" w:w="80"/>
              <w:right w:type="dxa" w:w="120"/>
            </w:tcMar>
          </w:tcPr>
          <w:p>
            <w:r>
              <w:rPr>
                <w:b w:val="false"/>
                <w:bCs w:val="false"/>
                <w:color w:val="000000"/>
                <w:sz w:val="20"/>
                <w:szCs w:val="20"/>
              </w:rPr>
              <w:t xml:space="preserve">Detection Validated</w:t>
            </w:r>
          </w:p>
        </w:tc>
      </w:tr>
      <w:tr>
        <w:trPr>
          <w:tblHeader w:val="false"/>
        </w:trPr>
        <w:tc>
          <w:tcPr>
            <w:tcW w:type="dxa" w:w="1400"/>
            <w:shd w:fill="F2F2F2" w:val="clear"/>
            <w:tcMar>
              <w:top w:type="dxa" w:w="80"/>
              <w:left w:type="dxa" w:w="120"/>
              <w:bottom w:type="dxa" w:w="80"/>
              <w:right w:type="dxa" w:w="120"/>
            </w:tcMar>
          </w:tcPr>
          <w:p>
            <w:r>
              <w:rPr>
                <w:b w:val="false"/>
                <w:bCs w:val="false"/>
                <w:color w:val="000000"/>
                <w:sz w:val="20"/>
                <w:szCs w:val="20"/>
              </w:rPr>
              <w:t xml:space="preserve">T1574.001</w:t>
            </w:r>
          </w:p>
        </w:tc>
        <w:tc>
          <w:tcPr>
            <w:tcW w:type="dxa" w:w="2500"/>
            <w:shd w:fill="F2F2F2" w:val="clear"/>
            <w:tcMar>
              <w:top w:type="dxa" w:w="80"/>
              <w:left w:type="dxa" w:w="120"/>
              <w:bottom w:type="dxa" w:w="80"/>
              <w:right w:type="dxa" w:w="120"/>
            </w:tcMar>
          </w:tcPr>
          <w:p>
            <w:r>
              <w:rPr>
                <w:b w:val="false"/>
                <w:bCs w:val="false"/>
                <w:color w:val="000000"/>
                <w:sz w:val="20"/>
                <w:szCs w:val="20"/>
              </w:rPr>
              <w:t xml:space="preserve">DLL Search Order Hijacking</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Persistence / Priv. Esc. / Defense Evasion</w:t>
            </w:r>
          </w:p>
        </w:tc>
        <w:tc>
          <w:tcPr>
            <w:tcW w:type="dxa" w:w="1600"/>
            <w:shd w:fill="F2F2F2" w:val="clear"/>
            <w:tcMar>
              <w:top w:type="dxa" w:w="80"/>
              <w:left w:type="dxa" w:w="120"/>
              <w:bottom w:type="dxa" w:w="80"/>
              <w:right w:type="dxa" w:w="120"/>
            </w:tcMar>
          </w:tcPr>
          <w:p>
            <w:r>
              <w:rPr>
                <w:b w:val="false"/>
                <w:bCs w:val="false"/>
                <w:color w:val="000000"/>
                <w:sz w:val="20"/>
                <w:szCs w:val="20"/>
              </w:rPr>
              <w:t xml:space="preserve">INV-2026-0913-05</w:t>
            </w:r>
          </w:p>
        </w:tc>
        <w:tc>
          <w:tcPr>
            <w:tcW w:type="dxa" w:w="1440"/>
            <w:shd w:fill="F2F2F2" w:val="clear"/>
            <w:tcMar>
              <w:top w:type="dxa" w:w="80"/>
              <w:left w:type="dxa" w:w="120"/>
              <w:bottom w:type="dxa" w:w="80"/>
              <w:right w:type="dxa" w:w="120"/>
            </w:tcMar>
          </w:tcPr>
          <w:p>
            <w:r>
              <w:rPr>
                <w:b w:val="false"/>
                <w:bCs w:val="false"/>
                <w:color w:val="000000"/>
                <w:sz w:val="20"/>
                <w:szCs w:val="20"/>
              </w:rPr>
              <w:t xml:space="preserve">False Positive</w:t>
            </w:r>
          </w:p>
        </w:tc>
      </w:tr>
      <w:tr>
        <w:trPr>
          <w:tblHeader w:val="false"/>
        </w:trPr>
        <w:tc>
          <w:tcPr>
            <w:tcW w:type="dxa" w:w="1400"/>
            <w:tcMar>
              <w:top w:type="dxa" w:w="80"/>
              <w:left w:type="dxa" w:w="120"/>
              <w:bottom w:type="dxa" w:w="80"/>
              <w:right w:type="dxa" w:w="120"/>
            </w:tcMar>
          </w:tcPr>
          <w:p>
            <w:r>
              <w:rPr>
                <w:b w:val="false"/>
                <w:bCs w:val="false"/>
                <w:color w:val="000000"/>
                <w:sz w:val="20"/>
                <w:szCs w:val="20"/>
              </w:rPr>
              <w:t xml:space="preserve">T1574.002</w:t>
            </w:r>
          </w:p>
        </w:tc>
        <w:tc>
          <w:tcPr>
            <w:tcW w:type="dxa" w:w="2500"/>
            <w:tcMar>
              <w:top w:type="dxa" w:w="80"/>
              <w:left w:type="dxa" w:w="120"/>
              <w:bottom w:type="dxa" w:w="80"/>
              <w:right w:type="dxa" w:w="120"/>
            </w:tcMar>
          </w:tcPr>
          <w:p>
            <w:r>
              <w:rPr>
                <w:b w:val="false"/>
                <w:bCs w:val="false"/>
                <w:color w:val="000000"/>
                <w:sz w:val="20"/>
                <w:szCs w:val="20"/>
              </w:rPr>
              <w:t xml:space="preserve">DLL Side-Loading</w:t>
            </w:r>
          </w:p>
        </w:tc>
        <w:tc>
          <w:tcPr>
            <w:tcW w:type="dxa" w:w="2600"/>
            <w:tcMar>
              <w:top w:type="dxa" w:w="80"/>
              <w:left w:type="dxa" w:w="120"/>
              <w:bottom w:type="dxa" w:w="80"/>
              <w:right w:type="dxa" w:w="120"/>
            </w:tcMar>
          </w:tcPr>
          <w:p>
            <w:r>
              <w:rPr>
                <w:b w:val="false"/>
                <w:bCs w:val="false"/>
                <w:color w:val="000000"/>
                <w:sz w:val="20"/>
                <w:szCs w:val="20"/>
              </w:rPr>
              <w:t xml:space="preserve">Persistence / Priv. Esc. / Defense Evasion</w:t>
            </w:r>
          </w:p>
        </w:tc>
        <w:tc>
          <w:tcPr>
            <w:tcW w:type="dxa" w:w="1600"/>
            <w:tcMar>
              <w:top w:type="dxa" w:w="80"/>
              <w:left w:type="dxa" w:w="120"/>
              <w:bottom w:type="dxa" w:w="80"/>
              <w:right w:type="dxa" w:w="120"/>
            </w:tcMar>
          </w:tcPr>
          <w:p>
            <w:r>
              <w:rPr>
                <w:b w:val="false"/>
                <w:bCs w:val="false"/>
                <w:color w:val="000000"/>
                <w:sz w:val="20"/>
                <w:szCs w:val="20"/>
              </w:rPr>
              <w:t xml:space="preserve">INV-2026-0913-05</w:t>
            </w:r>
          </w:p>
        </w:tc>
        <w:tc>
          <w:tcPr>
            <w:tcW w:type="dxa" w:w="1440"/>
            <w:tcMar>
              <w:top w:type="dxa" w:w="80"/>
              <w:left w:type="dxa" w:w="120"/>
              <w:bottom w:type="dxa" w:w="80"/>
              <w:right w:type="dxa" w:w="120"/>
            </w:tcMar>
          </w:tcPr>
          <w:p>
            <w:r>
              <w:rPr>
                <w:b w:val="false"/>
                <w:bCs w:val="false"/>
                <w:color w:val="000000"/>
                <w:sz w:val="20"/>
                <w:szCs w:val="20"/>
              </w:rPr>
              <w:t xml:space="preserve">False Positive</w:t>
            </w:r>
          </w:p>
        </w:tc>
      </w:tr>
    </w:tbl>
    <w:p>
      <w:r>
        <w:br w:type="page"/>
      </w:r>
    </w:p>
    <w:p>
      <w:pPr>
        <w:pStyle w:val="Heading1"/>
        <w:pBdr>
          <w:bottom w:val="single" w:color="1F3864" w:sz="8" w:space="4"/>
        </w:pBdr>
        <w:spacing w:after="160" w:before="360"/>
      </w:pPr>
      <w:r>
        <w:rPr>
          <w:b/>
          <w:bCs/>
          <w:color w:val="1F3864"/>
          <w:sz w:val="30"/>
          <w:szCs w:val="30"/>
        </w:rPr>
        <w:t xml:space="preserve">5. Lessons Learned &amp; Technical Challenges</w:t>
      </w:r>
    </w:p>
    <w:p>
      <w:pPr>
        <w:spacing w:after="160" w:line="300"/>
      </w:pPr>
      <w:r>
        <w:rPr>
          <w:sz w:val="22"/>
          <w:szCs w:val="22"/>
        </w:rPr>
        <w:t xml:space="preserve">A significant portion of this engagement's value came from resolving real infrastructure failures rather than from the detection scenarios themselves. These are documented below, as they reflect authentic SOC/infrastructure engineering work.</w:t>
      </w:r>
    </w:p>
    <w:p>
      <w:pPr>
        <w:pStyle w:val="Heading2"/>
        <w:spacing w:after="120" w:before="280"/>
      </w:pPr>
      <w:r>
        <w:rPr>
          <w:b/>
          <w:bCs/>
          <w:color w:val="2E74B5"/>
          <w:sz w:val="24"/>
          <w:szCs w:val="24"/>
        </w:rPr>
        <w:t xml:space="preserve">5.1 VM Networking Misconfiguration</w:t>
      </w:r>
    </w:p>
    <w:p>
      <w:pPr>
        <w:spacing w:after="160" w:line="300"/>
      </w:pPr>
      <w:r>
        <w:rPr>
          <w:sz w:val="22"/>
          <w:szCs w:val="22"/>
        </w:rPr>
        <w:t xml:space="preserve">The Wazuh Manager and Windows endpoint were initially placed on mismatched VirtualBox network adapter modes (NAT vs. Bridged), preventing any connectivity between them. Resolved by placing both VMs on Bridged networking, giving each a routable address on the same LAN segment.</w:t>
      </w:r>
    </w:p>
    <w:p>
      <w:pPr>
        <w:pStyle w:val="Heading2"/>
        <w:spacing w:after="120" w:before="280"/>
      </w:pPr>
      <w:r>
        <w:rPr>
          <w:b/>
          <w:bCs/>
          <w:color w:val="2E74B5"/>
          <w:sz w:val="24"/>
          <w:szCs w:val="24"/>
        </w:rPr>
        <w:t xml:space="preserve">5.2 Agent/Manager Version Mismatch</w:t>
      </w:r>
    </w:p>
    <w:p>
      <w:pPr>
        <w:spacing w:after="160" w:line="300"/>
      </w:pPr>
      <w:r>
        <w:rPr>
          <w:sz w:val="22"/>
          <w:szCs w:val="22"/>
        </w:rPr>
        <w:t xml:space="preserve">Agent registration repeatedly failed with 'agent version must be lower or equal to manager version.' The Windows agent had been installed at a newer release (4.14.7) than the manager (4.10.4). Resolved by upgrading the manager stack to match.</w:t>
      </w:r>
    </w:p>
    <w:p>
      <w:pPr>
        <w:pStyle w:val="Heading2"/>
        <w:spacing w:after="120" w:before="280"/>
      </w:pPr>
      <w:r>
        <w:rPr>
          <w:b/>
          <w:bCs/>
          <w:color w:val="2E74B5"/>
          <w:sz w:val="24"/>
          <w:szCs w:val="24"/>
        </w:rPr>
        <w:t xml:space="preserve">5.3 Disk Exhaustion and Indexer Corruption</w:t>
      </w:r>
    </w:p>
    <w:p>
      <w:pPr>
        <w:spacing w:after="160" w:line="300"/>
      </w:pPr>
      <w:r>
        <w:rPr>
          <w:sz w:val="22"/>
          <w:szCs w:val="22"/>
        </w:rPr>
        <w:t xml:space="preserve">Following the manager upgrade, the Wazuh Dashboard failed to start with a missing-certificate error, which was traced through several layers: a certificate filename mismatch, then a certificate ownership mismatch, then complete disk exhaustion (31 GB volume at ~100% utilization, traced to an 11 GB vulnerability-detector cache under /var/ossec/queue/vd). After clearing the cache, the OpenSearch Security plugin itself failed to initialize, indicating deeper state corruption likely caused by the disk-full condition occurring mid-write to security configuration files. This was ultimately resolved with a full, clean reinstall of the Wazuh stack (manager, indexer, and dashboard) using the official all-in-one installer, followed by re-registration of the Windows agent.</w:t>
      </w:r>
    </w:p>
    <w:p>
      <w:pPr>
        <w:pStyle w:val="Heading2"/>
        <w:spacing w:after="120" w:before="280"/>
      </w:pPr>
      <w:r>
        <w:rPr>
          <w:b/>
          <w:bCs/>
          <w:color w:val="2E74B5"/>
          <w:sz w:val="24"/>
          <w:szCs w:val="24"/>
        </w:rPr>
        <w:t xml:space="preserve">5.4 Detection Engineering Pivot — Sysmon Event ID 1 Forwarding Gap</w:t>
      </w:r>
    </w:p>
    <w:p>
      <w:pPr>
        <w:spacing w:after="160" w:line="300"/>
      </w:pPr>
      <w:r>
        <w:rPr>
          <w:sz w:val="22"/>
          <w:szCs w:val="22"/>
        </w:rPr>
        <w:t xml:space="preserve">The custom PowerShell-detection rule was originally designed against Sysmon Event ID 1 (Process Creation), matching the command line for encoded-command flags. Testing confirmed Sysmon was generating these events correctly on the endpoint (verified directly against the local Windows Event Log), but the events were not appearing in the Wazuh Dashboard despite a healthy pipeline for other Sysmon event types (Event ID 11 was flowing normally). Rather than continue troubleshooting an unresolved forwarding gap indefinitely, the detection logic was pivoted to key off Event ID 11 (File Creation) triggered by a PowerShell process — a reliable, already-validated data source — while preserving the same detection intent and MITRE mapping. This is documented as a known limitation for future remediation.</w:t>
      </w:r>
    </w:p>
    <w:p>
      <w:pPr>
        <w:pStyle w:val="Heading2"/>
        <w:spacing w:after="120" w:before="280"/>
      </w:pPr>
      <w:r>
        <w:rPr>
          <w:b/>
          <w:bCs/>
          <w:color w:val="2E74B5"/>
          <w:sz w:val="24"/>
          <w:szCs w:val="24"/>
        </w:rPr>
        <w:t xml:space="preserve">5.5 Rules-File XML Validation</w:t>
      </w:r>
    </w:p>
    <w:p>
      <w:pPr>
        <w:spacing w:after="160" w:line="300"/>
      </w:pPr>
      <w:r>
        <w:rPr>
          <w:sz w:val="22"/>
          <w:szCs w:val="22"/>
        </w:rPr>
        <w:t xml:space="preserve">Multiple iterations of local_rules.xml produced parser errors ('extra content at the end of the document', 'field not closed') despite visually correct content, ultimately traced to residual content from prior edit attempts rather than a true syntax defect. Resolved by fully deleting and recreating the file from a single clean write, and confirming activation via a live service-restart test rather than relying solely on xmllint (which flags Wazuh's intentionally non-single-root rule file structure as invalid even when Wazuh's own parser accepts it).</w:t>
      </w:r>
    </w:p>
    <w:p>
      <w:pPr>
        <w:pStyle w:val="Heading1"/>
        <w:pBdr>
          <w:bottom w:val="single" w:color="1F3864" w:sz="8" w:space="4"/>
        </w:pBdr>
        <w:spacing w:after="160" w:before="360"/>
      </w:pPr>
      <w:r>
        <w:rPr>
          <w:b/>
          <w:bCs/>
          <w:color w:val="1F3864"/>
          <w:sz w:val="30"/>
          <w:szCs w:val="30"/>
        </w:rPr>
        <w:t xml:space="preserve">6. Conclusion</w:t>
      </w:r>
    </w:p>
    <w:p>
      <w:pPr>
        <w:spacing w:after="160" w:line="300"/>
      </w:pPr>
      <w:r>
        <w:rPr>
          <w:sz w:val="22"/>
          <w:szCs w:val="22"/>
        </w:rPr>
        <w:t xml:space="preserve">This lab successfully demonstrates a functioning, end-to-end SIEM detection pipeline covering five MITRE ATT&amp;CK techniques across four tactics, including one custom-authored detection rule and one independently-triaged false-positive investigation. Beyond the detection engineering itself, the engagement required resolving genuine infrastructure failures spanning networking, version compatibility, disk management, and security-plugin recovery — collectively representative of the operational troubleshooting expected of a SOC or security infrastructure role.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2026-09-13T09:08:23.779Z</dcterms:created>
  <dcterms:modified xsi:type="dcterms:W3CDTF">2026-09-13T09:08:23.789Z</dcterms:modified>
</cp:coreProperties>
</file>

<file path=docProps/custom.xml><?xml version="1.0" encoding="utf-8"?>
<Properties xmlns="http://schemas.openxmlformats.org/officeDocument/2006/custom-properties" xmlns:vt="http://schemas.openxmlformats.org/officeDocument/2006/docPropsVTypes"/>
</file>