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#10</w:t>
      </w:r>
    </w:p>
    <w:p>
      <w:pPr>
        <w:pStyle w:val="Heading2"/>
      </w:pPr>
      <w:r>
        <w:t>CV Generation Knowledge</w:t>
      </w:r>
    </w:p>
    <w:p>
      <w:pPr>
        <w:pStyle w:val="ListBullet"/>
      </w:pPr>
      <w:r>
        <w:t>Build the CV after determining the target position level.</w:t>
      </w:r>
    </w:p>
    <w:p>
      <w:pPr>
        <w:pStyle w:val="ListBullet"/>
      </w:pPr>
      <w:r>
        <w:t>Prioritize business impact before responsibilities.</w:t>
      </w:r>
    </w:p>
    <w:p>
      <w:pPr>
        <w:pStyle w:val="ListBullet"/>
      </w:pPr>
      <w:r>
        <w:t>Select only evidence-backed achievements.</w:t>
      </w:r>
    </w:p>
    <w:p>
      <w:pPr>
        <w:pStyle w:val="ListBullet"/>
      </w:pPr>
      <w:r>
        <w:t>Keep the CV concise, ATS-friendly and recruiter-readable.</w:t>
      </w:r>
    </w:p>
    <w:p>
      <w:pPr>
        <w:pStyle w:val="Heading2"/>
      </w:pPr>
      <w:r>
        <w:t>Cover Letter Knowledge</w:t>
      </w:r>
    </w:p>
    <w:p>
      <w:pPr>
        <w:pStyle w:val="ListBullet"/>
      </w:pPr>
      <w:r>
        <w:t>Explain why the company and role fit the candidate.</w:t>
      </w:r>
    </w:p>
    <w:p>
      <w:pPr>
        <w:pStyle w:val="ListBullet"/>
      </w:pPr>
      <w:r>
        <w:t>Connect experience to business outcomes.</w:t>
      </w:r>
    </w:p>
    <w:p>
      <w:pPr>
        <w:pStyle w:val="ListBullet"/>
      </w:pPr>
      <w:r>
        <w:t>Keep a confident but factual tone.</w:t>
      </w:r>
    </w:p>
    <w:p>
      <w:pPr>
        <w:pStyle w:val="ListBullet"/>
      </w:pPr>
      <w:r>
        <w:t>Finish with a professional call to action.</w:t>
      </w:r>
    </w:p>
    <w:p>
      <w:pPr>
        <w:pStyle w:val="Heading2"/>
      </w:pPr>
      <w:r>
        <w:t>Role Alignment Library</w:t>
      </w:r>
    </w:p>
    <w:p>
      <w:pPr>
        <w:pStyle w:val="ListBullet"/>
      </w:pPr>
      <w:r>
        <w:t>Match leadership depth to the target role.</w:t>
      </w:r>
    </w:p>
    <w:p>
      <w:pPr>
        <w:pStyle w:val="ListBullet"/>
      </w:pPr>
      <w:r>
        <w:t>Increase emphasis on governance for Director roles.</w:t>
      </w:r>
    </w:p>
    <w:p>
      <w:pPr>
        <w:pStyle w:val="ListBullet"/>
      </w:pPr>
      <w:r>
        <w:t>Balance leadership and execution for Manager roles.</w:t>
      </w:r>
    </w:p>
    <w:p>
      <w:pPr>
        <w:pStyle w:val="ListBullet"/>
      </w:pPr>
      <w:r>
        <w:t>Emphasize technical execution for Professional roles.</w:t>
      </w:r>
    </w:p>
    <w:p>
      <w:pPr>
        <w:pStyle w:val="Heading2"/>
      </w:pPr>
      <w:r>
        <w:t>Knowledge Maintenance Rules</w:t>
      </w:r>
    </w:p>
    <w:p>
      <w:pPr>
        <w:pStyle w:val="ListBullet"/>
      </w:pPr>
      <w:r>
        <w:t>Update this library when verified experience changes.</w:t>
      </w:r>
    </w:p>
    <w:p>
      <w:pPr>
        <w:pStyle w:val="ListBullet"/>
      </w:pPr>
      <w:r>
        <w:t>Remove duplicate knowledge.</w:t>
      </w:r>
    </w:p>
    <w:p>
      <w:pPr>
        <w:pStyle w:val="ListBullet"/>
      </w:pPr>
      <w:r>
        <w:t>Keep terminology consistent across all sections.</w:t>
      </w:r>
    </w:p>
    <w:p>
      <w:pPr>
        <w:pStyle w:val="ListBullet"/>
      </w:pPr>
      <w:r>
        <w:t>Treat this document as the PromptBuilder source of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