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v2.0 Working Draft #18</w:t>
      </w:r>
    </w:p>
    <w:p>
      <w:pPr>
        <w:pStyle w:val="Heading2"/>
      </w:pPr>
      <w:r>
        <w:t>IT Service Management Library</w:t>
      </w:r>
    </w:p>
    <w:p>
      <w:pPr>
        <w:pStyle w:val="ListBullet"/>
      </w:pPr>
      <w:r>
        <w:t>ITIL-aligned service management</w:t>
      </w:r>
    </w:p>
    <w:p>
      <w:pPr>
        <w:pStyle w:val="ListBullet"/>
      </w:pPr>
      <w:r>
        <w:t>Incident, Problem and Change Management</w:t>
      </w:r>
    </w:p>
    <w:p>
      <w:pPr>
        <w:pStyle w:val="ListBullet"/>
      </w:pPr>
      <w:r>
        <w:t>Service Request Fulfillment</w:t>
      </w:r>
    </w:p>
    <w:p>
      <w:pPr>
        <w:pStyle w:val="ListBullet"/>
      </w:pPr>
      <w:r>
        <w:t>SLA and KPI governance</w:t>
      </w:r>
    </w:p>
    <w:p>
      <w:pPr>
        <w:pStyle w:val="ListBullet"/>
      </w:pPr>
      <w:r>
        <w:t>Continuous Service Improvement</w:t>
      </w:r>
    </w:p>
    <w:p>
      <w:pPr>
        <w:pStyle w:val="ListBullet"/>
      </w:pPr>
      <w:r>
        <w:t>Service Review Meetings</w:t>
      </w:r>
    </w:p>
    <w:p>
      <w:pPr>
        <w:pStyle w:val="Heading2"/>
      </w:pPr>
      <w:r>
        <w:t>Business Continuity Library</w:t>
      </w:r>
    </w:p>
    <w:p>
      <w:pPr>
        <w:pStyle w:val="ListBullet"/>
      </w:pPr>
      <w:r>
        <w:t>Business Impact Analysis (BIA)</w:t>
      </w:r>
    </w:p>
    <w:p>
      <w:pPr>
        <w:pStyle w:val="ListBullet"/>
      </w:pPr>
      <w:r>
        <w:t>Disaster Recovery Planning</w:t>
      </w:r>
    </w:p>
    <w:p>
      <w:pPr>
        <w:pStyle w:val="ListBullet"/>
      </w:pPr>
      <w:r>
        <w:t>Crisis Communication</w:t>
      </w:r>
    </w:p>
    <w:p>
      <w:pPr>
        <w:pStyle w:val="ListBullet"/>
      </w:pPr>
      <w:r>
        <w:t>Recovery Testing</w:t>
      </w:r>
    </w:p>
    <w:p>
      <w:pPr>
        <w:pStyle w:val="ListBullet"/>
      </w:pPr>
      <w:r>
        <w:t>Operational Resilience</w:t>
      </w:r>
    </w:p>
    <w:p>
      <w:pPr>
        <w:pStyle w:val="ListBullet"/>
      </w:pPr>
      <w:r>
        <w:t>Emergency Response Coordination</w:t>
      </w:r>
    </w:p>
    <w:p>
      <w:pPr>
        <w:pStyle w:val="Heading2"/>
      </w:pPr>
      <w:r>
        <w:t>Compliance &amp; Audit Evidence</w:t>
      </w:r>
    </w:p>
    <w:p>
      <w:pPr>
        <w:pStyle w:val="ListBullet"/>
      </w:pPr>
      <w:r>
        <w:t>ISO 27001 audit support</w:t>
      </w:r>
    </w:p>
    <w:p>
      <w:pPr>
        <w:pStyle w:val="ListBullet"/>
      </w:pPr>
      <w:r>
        <w:t>GDPR and LGPD compliance activities</w:t>
      </w:r>
    </w:p>
    <w:p>
      <w:pPr>
        <w:pStyle w:val="ListBullet"/>
      </w:pPr>
      <w:r>
        <w:t>Internal control documentation</w:t>
      </w:r>
    </w:p>
    <w:p>
      <w:pPr>
        <w:pStyle w:val="ListBullet"/>
      </w:pPr>
      <w:r>
        <w:t>Corrective action tracking</w:t>
      </w:r>
    </w:p>
    <w:p>
      <w:pPr>
        <w:pStyle w:val="ListBullet"/>
      </w:pPr>
      <w:r>
        <w:t>Audit evidence management</w:t>
      </w:r>
    </w:p>
    <w:p>
      <w:pPr>
        <w:pStyle w:val="Heading2"/>
      </w:pPr>
      <w:r>
        <w:t>Executive Writing Standards</w:t>
      </w:r>
    </w:p>
    <w:p>
      <w:pPr>
        <w:pStyle w:val="ListBullet"/>
      </w:pPr>
      <w:r>
        <w:t>Lead with business value.</w:t>
      </w:r>
    </w:p>
    <w:p>
      <w:pPr>
        <w:pStyle w:val="ListBullet"/>
      </w:pPr>
      <w:r>
        <w:t>Use concise executive language.</w:t>
      </w:r>
    </w:p>
    <w:p>
      <w:pPr>
        <w:pStyle w:val="ListBullet"/>
      </w:pPr>
      <w:r>
        <w:t>Avoid unsupported superlatives.</w:t>
      </w:r>
    </w:p>
    <w:p>
      <w:pPr>
        <w:pStyle w:val="ListBullet"/>
      </w:pPr>
      <w:r>
        <w:t>Prefer measurable outcomes when available.</w:t>
      </w:r>
    </w:p>
    <w:p>
      <w:pPr>
        <w:pStyle w:val="ListBullet"/>
      </w:pPr>
      <w:r>
        <w:t>Maintain consistency across all documents.</w:t>
      </w:r>
    </w:p>
    <w:p>
      <w:pPr>
        <w:pStyle w:val="Heading2"/>
      </w:pPr>
      <w:r>
        <w:t>Release Readiness</w:t>
      </w:r>
    </w:p>
    <w:p>
      <w:pPr>
        <w:pStyle w:val="ListBullet"/>
      </w:pPr>
      <w:r>
        <w:t>Suitable for PromptBuilder integration.</w:t>
      </w:r>
    </w:p>
    <w:p>
      <w:pPr>
        <w:pStyle w:val="ListBullet"/>
      </w:pPr>
      <w:r>
        <w:t>Maintain as the single production knowledge source.</w:t>
      </w:r>
    </w:p>
    <w:p>
      <w:pPr>
        <w:pStyle w:val="ListBullet"/>
      </w:pPr>
      <w:r>
        <w:t>Future updates should preserve backward compatibility.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