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#20</w:t>
      </w:r>
    </w:p>
    <w:p>
      <w:pPr>
        <w:pStyle w:val="Heading2"/>
      </w:pPr>
      <w:r>
        <w:t>Career Evidence Mapping</w:t>
      </w:r>
    </w:p>
    <w:p>
      <w:pPr>
        <w:pStyle w:val="ListBullet"/>
      </w:pPr>
      <w:r>
        <w:t>Map every competency to verified experience.</w:t>
      </w:r>
    </w:p>
    <w:p>
      <w:pPr>
        <w:pStyle w:val="ListBullet"/>
      </w:pPr>
      <w:r>
        <w:t>Prefer direct evidence over inferred capability.</w:t>
      </w:r>
    </w:p>
    <w:p>
      <w:pPr>
        <w:pStyle w:val="ListBullet"/>
      </w:pPr>
      <w:r>
        <w:t>Reuse evidence consistently across CV and Cover Letter.</w:t>
      </w:r>
    </w:p>
    <w:p>
      <w:pPr>
        <w:pStyle w:val="ListBullet"/>
      </w:pPr>
      <w:r>
        <w:t>Maintain traceability to the Source of Truth.</w:t>
      </w:r>
    </w:p>
    <w:p>
      <w:pPr>
        <w:pStyle w:val="Heading2"/>
      </w:pPr>
      <w:r>
        <w:t>Executive Business Value Library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Operational resilience</w:t>
      </w:r>
    </w:p>
    <w:p>
      <w:pPr>
        <w:pStyle w:val="ListBullet"/>
      </w:pPr>
      <w:r>
        <w:t>Governance maturity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Cost efficiency</w:t>
      </w:r>
    </w:p>
    <w:p>
      <w:pPr>
        <w:pStyle w:val="ListBullet"/>
      </w:pPr>
      <w:r>
        <w:t>Digital enablement</w:t>
      </w:r>
    </w:p>
    <w:p>
      <w:pPr>
        <w:pStyle w:val="ListBullet"/>
      </w:pPr>
      <w:r>
        <w:t>Service reliability</w:t>
      </w:r>
    </w:p>
    <w:p>
      <w:pPr>
        <w:pStyle w:val="ListBullet"/>
      </w:pPr>
      <w:r>
        <w:t>Business partnership</w:t>
      </w:r>
    </w:p>
    <w:p>
      <w:pPr>
        <w:pStyle w:val="Heading2"/>
      </w:pPr>
      <w:r>
        <w:t>Technology Grouping Rules</w:t>
      </w:r>
    </w:p>
    <w:p>
      <w:pPr>
        <w:pStyle w:val="ListBullet"/>
      </w:pPr>
      <w:r>
        <w:t>Group related technologies into ATS-friendly competency lines.</w:t>
      </w:r>
    </w:p>
    <w:p>
      <w:pPr>
        <w:pStyle w:val="ListBullet"/>
      </w:pPr>
      <w:r>
        <w:t>Separate platforms, governance and business capabilities.</w:t>
      </w:r>
    </w:p>
    <w:p>
      <w:pPr>
        <w:pStyle w:val="ListBullet"/>
      </w:pPr>
      <w:r>
        <w:t>Avoid long unstructured technology lists.</w:t>
      </w:r>
    </w:p>
    <w:p>
      <w:pPr>
        <w:pStyle w:val="Heading2"/>
      </w:pPr>
      <w:r>
        <w:t>Final Editorial Rules</w:t>
      </w:r>
    </w:p>
    <w:p>
      <w:pPr>
        <w:pStyle w:val="ListBullet"/>
      </w:pPr>
      <w:r>
        <w:t>Remove duplicated concepts before each release.</w:t>
      </w:r>
    </w:p>
    <w:p>
      <w:pPr>
        <w:pStyle w:val="ListBullet"/>
      </w:pPr>
      <w:r>
        <w:t>Use concise business English.</w:t>
      </w:r>
    </w:p>
    <w:p>
      <w:pPr>
        <w:pStyle w:val="ListBullet"/>
      </w:pPr>
      <w:r>
        <w:t>Preserve chronological consistency.</w:t>
      </w:r>
    </w:p>
    <w:p>
      <w:pPr>
        <w:pStyle w:val="ListBullet"/>
      </w:pPr>
      <w:r>
        <w:t>Keep the document suitable for automated prompt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