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#21</w:t>
      </w:r>
    </w:p>
    <w:p>
      <w:pPr>
        <w:pStyle w:val="Heading2"/>
      </w:pPr>
      <w:r>
        <w:t>Infrastructure Operations Library</w:t>
      </w:r>
    </w:p>
    <w:p>
      <w:pPr>
        <w:pStyle w:val="ListBullet"/>
      </w:pPr>
      <w:r>
        <w:t>Network lifecycle management</w:t>
      </w:r>
    </w:p>
    <w:p>
      <w:pPr>
        <w:pStyle w:val="ListBullet"/>
      </w:pPr>
      <w:r>
        <w:t>Server and storage governance</w:t>
      </w:r>
    </w:p>
    <w:p>
      <w:pPr>
        <w:pStyle w:val="ListBullet"/>
      </w:pPr>
      <w:r>
        <w:t>Backup and recovery management</w:t>
      </w:r>
    </w:p>
    <w:p>
      <w:pPr>
        <w:pStyle w:val="ListBullet"/>
      </w:pPr>
      <w:r>
        <w:t>Capacity and performance planning</w:t>
      </w:r>
    </w:p>
    <w:p>
      <w:pPr>
        <w:pStyle w:val="ListBullet"/>
      </w:pPr>
      <w:r>
        <w:t>Monitoring and alerting</w:t>
      </w:r>
    </w:p>
    <w:p>
      <w:pPr>
        <w:pStyle w:val="ListBullet"/>
      </w:pPr>
      <w:r>
        <w:t>High availability design</w:t>
      </w:r>
    </w:p>
    <w:p>
      <w:pPr>
        <w:pStyle w:val="Heading2"/>
      </w:pPr>
      <w:r>
        <w:t>Identity &amp; Access Library</w:t>
      </w:r>
    </w:p>
    <w:p>
      <w:pPr>
        <w:pStyle w:val="ListBullet"/>
      </w:pPr>
      <w:r>
        <w:t>Identity lifecycle management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Privileged access governance</w:t>
      </w:r>
    </w:p>
    <w:p>
      <w:pPr>
        <w:pStyle w:val="ListBullet"/>
      </w:pPr>
      <w:r>
        <w:t>Single Sign-On</w:t>
      </w:r>
    </w:p>
    <w:p>
      <w:pPr>
        <w:pStyle w:val="ListBullet"/>
      </w:pPr>
      <w:r>
        <w:t>Multi-Factor Authentication</w:t>
      </w:r>
    </w:p>
    <w:p>
      <w:pPr>
        <w:pStyle w:val="ListBullet"/>
      </w:pPr>
      <w:r>
        <w:t>Periodic access reviews</w:t>
      </w:r>
    </w:p>
    <w:p>
      <w:pPr>
        <w:pStyle w:val="Heading2"/>
      </w:pPr>
      <w:r>
        <w:t>Digital Transformation Outcomes</w:t>
      </w:r>
    </w:p>
    <w:p>
      <w:pPr>
        <w:pStyle w:val="ListBullet"/>
      </w:pPr>
      <w:r>
        <w:t>Business process simplification</w:t>
      </w:r>
    </w:p>
    <w:p>
      <w:pPr>
        <w:pStyle w:val="ListBullet"/>
      </w:pPr>
      <w:r>
        <w:t>Automation enablement</w:t>
      </w:r>
    </w:p>
    <w:p>
      <w:pPr>
        <w:pStyle w:val="ListBullet"/>
      </w:pPr>
      <w:r>
        <w:t>User productivity improvement</w:t>
      </w:r>
    </w:p>
    <w:p>
      <w:pPr>
        <w:pStyle w:val="ListBullet"/>
      </w:pPr>
      <w:r>
        <w:t>Technology standardization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agility</w:t>
      </w:r>
    </w:p>
    <w:p>
      <w:pPr>
        <w:pStyle w:val="Heading2"/>
      </w:pPr>
      <w:r>
        <w:t>Quality Assurance Rules</w:t>
      </w:r>
    </w:p>
    <w:p>
      <w:pPr>
        <w:pStyle w:val="ListBullet"/>
      </w:pPr>
      <w:r>
        <w:t>Every library entry must support CV, Cover Letter or Position Analysis.</w:t>
      </w:r>
    </w:p>
    <w:p>
      <w:pPr>
        <w:pStyle w:val="ListBullet"/>
      </w:pPr>
      <w:r>
        <w:t>Remove overlap between libraries.</w:t>
      </w:r>
    </w:p>
    <w:p>
      <w:pPr>
        <w:pStyle w:val="ListBullet"/>
      </w:pPr>
      <w:r>
        <w:t>Prefer business terminology over internal jargon.</w:t>
      </w:r>
    </w:p>
    <w:p>
      <w:pPr>
        <w:pStyle w:val="ListBullet"/>
      </w:pPr>
      <w:r>
        <w:t>Keep wording reusable across multiple job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